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CD" w:rsidRDefault="00ED63CD" w:rsidP="00ED63CD">
      <w:r>
        <w:rPr>
          <w:rStyle w:val="lawnum"/>
        </w:rPr>
        <w:t xml:space="preserve">1560/2016. (X. 13.) Korm. határozat </w:t>
      </w:r>
    </w:p>
    <w:p w:rsidR="00ED63CD" w:rsidRDefault="00ED63CD" w:rsidP="00ED63CD">
      <w:bookmarkStart w:id="0" w:name="old0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10" name="Kép 10" descr="https://www.opten.hu/system/cms/modules/optijus/img/oldline-v142252660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ten.hu/system/cms/modules/optijus/img/oldline-v142252660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chp1"/>
      <w:bookmarkEnd w:id="0"/>
      <w:bookmarkEnd w:id="1"/>
      <w:proofErr w:type="gramStart"/>
      <w:r>
        <w:rPr>
          <w:rStyle w:val="desc"/>
        </w:rPr>
        <w:t>a</w:t>
      </w:r>
      <w:proofErr w:type="gramEnd"/>
      <w:r>
        <w:rPr>
          <w:rStyle w:val="desc"/>
        </w:rPr>
        <w:t xml:space="preserve"> Környezeti és Energiahatékonysági Operatív Program éves fejlesztési keretének megállapításáról szóló </w:t>
      </w:r>
      <w:hyperlink r:id="rId7" w:tgtFrame="_blank" w:history="1">
        <w:r>
          <w:rPr>
            <w:rStyle w:val="Hiperhivatkozs"/>
          </w:rPr>
          <w:t>1084/2016. (II. 29.) Korm. határozat</w:t>
        </w:r>
      </w:hyperlink>
      <w:r>
        <w:rPr>
          <w:rStyle w:val="desc"/>
        </w:rPr>
        <w:t xml:space="preserve"> módosításáról </w:t>
      </w:r>
    </w:p>
    <w:p w:rsidR="00ED63CD" w:rsidRDefault="00ED63CD" w:rsidP="00ED63CD">
      <w:bookmarkStart w:id="2" w:name="old1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9" name="Kép 9" descr="https://www.opten.hu/system/cms/modules/optijus/img/oldline-v142252660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ten.hu/system/cms/modules/optijus/img/oldline-v142252660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Style w:val="point"/>
        </w:rPr>
        <w:t xml:space="preserve">1. </w:t>
      </w:r>
      <w:r>
        <w:t xml:space="preserve">A Környezeti és Energiahatékonysági Operatív Program éves fejlesztési keretének megállapításáról szóló </w:t>
      </w:r>
      <w:hyperlink r:id="rId9" w:anchor="sid256" w:history="1">
        <w:r>
          <w:rPr>
            <w:rStyle w:val="Hiperhivatkozs"/>
          </w:rPr>
          <w:t>1084/2016. (II. 29.) Korm. határozat</w:t>
        </w:r>
      </w:hyperlink>
      <w:r>
        <w:t xml:space="preserve"> (a továbbiakban: </w:t>
      </w:r>
      <w:hyperlink r:id="rId10" w:anchor="sid256" w:history="1">
        <w:r>
          <w:rPr>
            <w:rStyle w:val="Hiperhivatkozs"/>
          </w:rPr>
          <w:t>határozat</w:t>
        </w:r>
      </w:hyperlink>
      <w:r>
        <w:t xml:space="preserve">) 2. melléklete az 1. melléklet szerint módosul. </w:t>
      </w:r>
    </w:p>
    <w:p w:rsidR="00ED63CD" w:rsidRDefault="00ED63CD" w:rsidP="00ED63CD">
      <w:bookmarkStart w:id="3" w:name="old2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8" name="Kép 8" descr="https://www.opten.hu/system/cms/modules/optijus/img/oldline-v142252660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pten.hu/system/cms/modules/optijus/img/oldline-v142252660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>
        <w:rPr>
          <w:rStyle w:val="point"/>
        </w:rPr>
        <w:t xml:space="preserve">2. </w:t>
      </w:r>
      <w:r>
        <w:t xml:space="preserve">Ez a </w:t>
      </w:r>
      <w:hyperlink r:id="rId12" w:anchor="sid256" w:history="1">
        <w:r>
          <w:rPr>
            <w:rStyle w:val="Hiperhivatkozs"/>
          </w:rPr>
          <w:t>határozat</w:t>
        </w:r>
      </w:hyperlink>
      <w:r>
        <w:t xml:space="preserve"> a közzétételét követő napon lép hatályba. </w:t>
      </w:r>
    </w:p>
    <w:p w:rsidR="00ED63CD" w:rsidRDefault="00ED63CD" w:rsidP="00ED63CD">
      <w:bookmarkStart w:id="4" w:name="old3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7" name="Kép 7" descr="https://www.opten.hu/system/cms/modules/optijus/img/oldline-v142252660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pten.hu/system/cms/modules/optijus/img/oldline-v142252660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t xml:space="preserve">Orbán Viktor s. </w:t>
      </w:r>
      <w:proofErr w:type="gramStart"/>
      <w:r>
        <w:t>k.</w:t>
      </w:r>
      <w:proofErr w:type="gramEnd"/>
      <w:r>
        <w:t xml:space="preserve">, </w:t>
      </w:r>
    </w:p>
    <w:p w:rsidR="00ED63CD" w:rsidRDefault="00ED63CD" w:rsidP="00ED63CD">
      <w:bookmarkStart w:id="5" w:name="old4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6" name="Kép 6" descr="https://www.opten.hu/system/cms/modules/optijus/img/oldline-v142252660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pten.hu/system/cms/modules/optijus/img/oldline-v142252660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proofErr w:type="gramStart"/>
      <w:r>
        <w:t>miniszterelnök</w:t>
      </w:r>
      <w:proofErr w:type="gramEnd"/>
      <w:r>
        <w:t xml:space="preserve"> </w:t>
      </w:r>
    </w:p>
    <w:p w:rsidR="00ED63CD" w:rsidRDefault="00ED63CD" w:rsidP="00ED63CD">
      <w:bookmarkStart w:id="6" w:name="old5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5" name="Kép 5" descr="https://www.opten.hu/system/cms/modules/optijus/img/oldline-v142252660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pten.hu/system/cms/modules/optijus/img/oldline-v142252660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>
        <w:rPr>
          <w:rStyle w:val="chapter1"/>
        </w:rPr>
        <w:t xml:space="preserve">1. melléklet az 1560/2016. (X. 13.) Korm. határozathoz </w:t>
      </w:r>
    </w:p>
    <w:p w:rsidR="00ED63CD" w:rsidRDefault="00ED63CD" w:rsidP="00ED63CD">
      <w:bookmarkStart w:id="7" w:name="old6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4" name="Kép 4" descr="https://www.opten.hu/system/cms/modules/optijus/img/oldline-v142252660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pten.hu/system/cms/modules/optijus/img/oldline-v142252660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>
        <w:t xml:space="preserve">1. A </w:t>
      </w:r>
      <w:hyperlink r:id="rId17" w:anchor="sid256" w:history="1">
        <w:r>
          <w:rPr>
            <w:rStyle w:val="Hiperhivatkozs"/>
          </w:rPr>
          <w:t>határozat</w:t>
        </w:r>
      </w:hyperlink>
      <w:r>
        <w:t xml:space="preserve"> 2. mellékletében foglalt táblázat 170. sora helyébe a következő sor lép: </w:t>
      </w:r>
    </w:p>
    <w:p w:rsidR="00ED63CD" w:rsidRDefault="00ED63CD" w:rsidP="00ED63CD">
      <w:bookmarkStart w:id="8" w:name="old7"/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3" name="Kép 3" descr="https://www.opten.hu/system/cms/modules/optijus/img/oldline-v142252660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pten.hu/system/cms/modules/optijus/img/oldline-v142252660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7"/>
        <w:gridCol w:w="953"/>
        <w:gridCol w:w="1253"/>
        <w:gridCol w:w="1286"/>
        <w:gridCol w:w="995"/>
        <w:gridCol w:w="1417"/>
        <w:gridCol w:w="1260"/>
        <w:gridCol w:w="1589"/>
      </w:tblGrid>
      <w:tr w:rsidR="00ED63CD" w:rsidTr="00891D0D">
        <w:trPr>
          <w:tblCellSpacing w:w="7" w:type="dxa"/>
        </w:trPr>
        <w:tc>
          <w:tcPr>
            <w:tcW w:w="585" w:type="dxa"/>
            <w:hideMark/>
          </w:tcPr>
          <w:p w:rsidR="00ED63CD" w:rsidRDefault="00ED63CD" w:rsidP="00891D0D">
            <w:r>
              <w:t> </w:t>
            </w:r>
          </w:p>
        </w:tc>
        <w:tc>
          <w:tcPr>
            <w:tcW w:w="127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144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96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99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(D)</w:t>
            </w:r>
          </w:p>
        </w:tc>
        <w:tc>
          <w:tcPr>
            <w:tcW w:w="141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(E)</w:t>
            </w:r>
          </w:p>
        </w:tc>
        <w:tc>
          <w:tcPr>
            <w:tcW w:w="114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(F)</w:t>
            </w:r>
          </w:p>
        </w:tc>
        <w:tc>
          <w:tcPr>
            <w:tcW w:w="415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(G)</w:t>
            </w:r>
          </w:p>
        </w:tc>
      </w:tr>
      <w:tr w:rsidR="00ED63CD" w:rsidTr="00891D0D">
        <w:trPr>
          <w:tblCellSpacing w:w="7" w:type="dxa"/>
        </w:trPr>
        <w:tc>
          <w:tcPr>
            <w:tcW w:w="585" w:type="dxa"/>
            <w:hideMark/>
          </w:tcPr>
          <w:p w:rsidR="00ED63CD" w:rsidRDefault="00ED63CD" w:rsidP="00891D0D">
            <w:r>
              <w:rPr>
                <w:i/>
                <w:iCs/>
                <w:sz w:val="20"/>
                <w:szCs w:val="20"/>
              </w:rPr>
              <w:t>(1.)</w:t>
            </w:r>
          </w:p>
        </w:tc>
        <w:tc>
          <w:tcPr>
            <w:tcW w:w="127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(Felhívás azonosító jele)</w:t>
            </w:r>
          </w:p>
        </w:tc>
        <w:tc>
          <w:tcPr>
            <w:tcW w:w="144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(Projekt megnevezése)</w:t>
            </w:r>
          </w:p>
        </w:tc>
        <w:tc>
          <w:tcPr>
            <w:tcW w:w="196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(Támogatást igénylő neve)</w:t>
            </w:r>
          </w:p>
        </w:tc>
        <w:tc>
          <w:tcPr>
            <w:tcW w:w="99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[Projekt indikatív támogatási kerete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(Mrd Ft)]</w:t>
            </w:r>
          </w:p>
        </w:tc>
        <w:tc>
          <w:tcPr>
            <w:tcW w:w="141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[Magyarország központi költségvetéséből megtéríthető indikatív önerő (Mrd Ft)]</w:t>
            </w:r>
          </w:p>
        </w:tc>
        <w:tc>
          <w:tcPr>
            <w:tcW w:w="114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(Projekt benyújtásának várható ideje)</w:t>
            </w:r>
          </w:p>
        </w:tc>
        <w:tc>
          <w:tcPr>
            <w:tcW w:w="4155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i/>
                <w:iCs/>
                <w:sz w:val="20"/>
                <w:szCs w:val="20"/>
              </w:rPr>
              <w:t>(Szakmai elvárások)</w:t>
            </w:r>
          </w:p>
        </w:tc>
      </w:tr>
    </w:tbl>
    <w:p w:rsidR="00ED63CD" w:rsidRDefault="00ED63CD" w:rsidP="00ED63CD">
      <w:bookmarkStart w:id="9" w:name="_GoBack"/>
      <w:bookmarkEnd w:id="9"/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974"/>
        <w:gridCol w:w="1117"/>
        <w:gridCol w:w="1597"/>
        <w:gridCol w:w="620"/>
        <w:gridCol w:w="747"/>
        <w:gridCol w:w="1042"/>
        <w:gridCol w:w="2588"/>
      </w:tblGrid>
      <w:tr w:rsidR="00ED63CD" w:rsidTr="00891D0D">
        <w:trPr>
          <w:tblCellSpacing w:w="7" w:type="dxa"/>
        </w:trPr>
        <w:tc>
          <w:tcPr>
            <w:tcW w:w="585" w:type="dxa"/>
            <w:hideMark/>
          </w:tcPr>
          <w:p w:rsidR="00ED63CD" w:rsidRDefault="00ED63CD" w:rsidP="00891D0D">
            <w:r>
              <w:rPr>
                <w:sz w:val="20"/>
                <w:szCs w:val="20"/>
              </w:rPr>
              <w:t>170.</w:t>
            </w:r>
          </w:p>
        </w:tc>
        <w:tc>
          <w:tcPr>
            <w:tcW w:w="1275" w:type="dxa"/>
            <w:hideMark/>
          </w:tcPr>
          <w:p w:rsidR="00ED63CD" w:rsidRDefault="00ED63CD" w:rsidP="00891D0D">
            <w:r>
              <w:rPr>
                <w:sz w:val="20"/>
                <w:szCs w:val="20"/>
              </w:rPr>
              <w:t>KEHOP-2.2.1.</w:t>
            </w:r>
          </w:p>
        </w:tc>
        <w:tc>
          <w:tcPr>
            <w:tcW w:w="1440" w:type="dxa"/>
            <w:hideMark/>
          </w:tcPr>
          <w:p w:rsidR="00ED63CD" w:rsidRDefault="00ED63CD" w:rsidP="00891D0D">
            <w:r>
              <w:rPr>
                <w:sz w:val="20"/>
                <w:szCs w:val="20"/>
              </w:rPr>
              <w:t xml:space="preserve">Észak- és Közép-Dunántúli szennyvíz- elvezetési </w:t>
            </w:r>
            <w:r>
              <w:rPr>
                <w:sz w:val="20"/>
                <w:szCs w:val="20"/>
              </w:rPr>
              <w:br/>
              <w:t xml:space="preserve">és </w:t>
            </w:r>
            <w:proofErr w:type="spellStart"/>
            <w:r>
              <w:rPr>
                <w:sz w:val="20"/>
                <w:szCs w:val="20"/>
              </w:rPr>
              <w:t>-kezelési</w:t>
            </w:r>
            <w:proofErr w:type="spellEnd"/>
            <w:r>
              <w:rPr>
                <w:sz w:val="20"/>
                <w:szCs w:val="20"/>
              </w:rPr>
              <w:t xml:space="preserve"> fejlesztés 1. (ÉKDU 1)</w:t>
            </w:r>
          </w:p>
        </w:tc>
        <w:tc>
          <w:tcPr>
            <w:tcW w:w="1965" w:type="dxa"/>
            <w:hideMark/>
          </w:tcPr>
          <w:p w:rsidR="00ED63CD" w:rsidRDefault="00ED63CD" w:rsidP="00891D0D">
            <w:r>
              <w:rPr>
                <w:sz w:val="20"/>
                <w:szCs w:val="20"/>
              </w:rPr>
              <w:t>Gyúró Község Önkormányzata, Martonvásár Város Önkormányzata, Ráckeresztúr Község Önkormányzat, Tordas Község Önkormányzata, Pincehely Nagyközség Önkormányzata, Bátaszék Város Önkormányzata, Báta Község Önkormányzata és Tapolca Város Önkormányzata a</w:t>
            </w:r>
            <w:r>
              <w:rPr>
                <w:sz w:val="20"/>
                <w:szCs w:val="20"/>
              </w:rPr>
              <w:br/>
              <w:t>339/2014. (XII. 19.) Korm. rendelet szerint</w:t>
            </w:r>
          </w:p>
        </w:tc>
        <w:tc>
          <w:tcPr>
            <w:tcW w:w="99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1410" w:type="dxa"/>
            <w:hideMark/>
          </w:tcPr>
          <w:p w:rsidR="00ED63CD" w:rsidRDefault="00ED63CD" w:rsidP="00891D0D">
            <w:pPr>
              <w:pStyle w:val="NormlWeb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140" w:type="dxa"/>
            <w:hideMark/>
          </w:tcPr>
          <w:p w:rsidR="00ED63CD" w:rsidRDefault="00ED63CD" w:rsidP="00891D0D">
            <w:r>
              <w:rPr>
                <w:sz w:val="20"/>
                <w:szCs w:val="20"/>
              </w:rPr>
              <w:t>Megtörtént</w:t>
            </w:r>
            <w:r>
              <w:rPr>
                <w:sz w:val="20"/>
                <w:szCs w:val="20"/>
              </w:rPr>
              <w:br/>
              <w:t>2015-ben</w:t>
            </w:r>
          </w:p>
        </w:tc>
        <w:tc>
          <w:tcPr>
            <w:tcW w:w="4155" w:type="dxa"/>
            <w:hideMark/>
          </w:tcPr>
          <w:p w:rsidR="00ED63CD" w:rsidRDefault="00ED63CD" w:rsidP="00891D0D">
            <w:pPr>
              <w:pStyle w:val="NormlWeb"/>
            </w:pPr>
            <w:r>
              <w:rPr>
                <w:sz w:val="20"/>
                <w:szCs w:val="20"/>
              </w:rPr>
              <w:t>A beruházás keretében az érintett</w:t>
            </w:r>
            <w:r>
              <w:rPr>
                <w:sz w:val="20"/>
                <w:szCs w:val="20"/>
              </w:rPr>
              <w:br/>
              <w:t xml:space="preserve">2000 </w:t>
            </w:r>
            <w:proofErr w:type="spellStart"/>
            <w:r>
              <w:rPr>
                <w:sz w:val="20"/>
                <w:szCs w:val="20"/>
              </w:rPr>
              <w:t>lakosegyenérték</w:t>
            </w:r>
            <w:proofErr w:type="spellEnd"/>
            <w:r>
              <w:rPr>
                <w:sz w:val="20"/>
                <w:szCs w:val="20"/>
              </w:rPr>
              <w:t xml:space="preserve"> terhelést meghaladó kibocsátású szennyvízelvezetési agglomeráció megfelelő szennyvízkezelésének feltételei teljesülnek, annak érdekében, hogy a szennyvízközművel való lefedettség megközelítse a közműves ivóvízzel ellátott fogyasztók csaknem</w:t>
            </w:r>
            <w:r>
              <w:rPr>
                <w:sz w:val="20"/>
                <w:szCs w:val="20"/>
              </w:rPr>
              <w:br/>
              <w:t>100%-át. A projekttel szembeni szakmai elvárás, hogy Magyarország megfeleljen az uniós jogi követelményeknek a kijelölt határidőig.</w:t>
            </w:r>
            <w:r>
              <w:rPr>
                <w:sz w:val="20"/>
                <w:szCs w:val="20"/>
              </w:rPr>
              <w:br/>
              <w:t>A beruházás keretében a martonvásári agglomeráció szennyvíztisztításának korszerűsítését, bővítését</w:t>
            </w:r>
            <w:r>
              <w:rPr>
                <w:sz w:val="20"/>
                <w:szCs w:val="20"/>
              </w:rPr>
              <w:br/>
              <w:t xml:space="preserve">és a csatornázatlan területek rendszerbe történő bekapcsolását végzik el. Emellett kiépítik Pincehely település szennyvízhálózatát, </w:t>
            </w:r>
            <w:r>
              <w:rPr>
                <w:sz w:val="20"/>
                <w:szCs w:val="20"/>
              </w:rPr>
              <w:lastRenderedPageBreak/>
              <w:t xml:space="preserve">fejlesztik a </w:t>
            </w:r>
            <w:proofErr w:type="spellStart"/>
            <w:r>
              <w:rPr>
                <w:sz w:val="20"/>
                <w:szCs w:val="20"/>
              </w:rPr>
              <w:t>bátaszéki</w:t>
            </w:r>
            <w:proofErr w:type="spellEnd"/>
            <w:r>
              <w:rPr>
                <w:sz w:val="20"/>
                <w:szCs w:val="20"/>
              </w:rPr>
              <w:t xml:space="preserve"> szennyvíztisztító telepet, befejezik a Bátaszék-Báta területén elvégzett szennyvízcsatornázást és elvégzik a Tapolcai Szennyvíztisztító Telep technológiai korszerűsítését.</w:t>
            </w:r>
          </w:p>
        </w:tc>
      </w:tr>
    </w:tbl>
    <w:p w:rsidR="007D72A7" w:rsidRDefault="007D72A7"/>
    <w:sectPr w:rsidR="007D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D"/>
    <w:rsid w:val="007D72A7"/>
    <w:rsid w:val="00E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D63C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D63CD"/>
    <w:pPr>
      <w:spacing w:before="280" w:after="280"/>
    </w:pPr>
    <w:rPr>
      <w:lang w:eastAsia="ar-SA"/>
    </w:rPr>
  </w:style>
  <w:style w:type="character" w:customStyle="1" w:styleId="lawnum">
    <w:name w:val="lawnum"/>
    <w:rsid w:val="00ED63CD"/>
  </w:style>
  <w:style w:type="character" w:customStyle="1" w:styleId="desc">
    <w:name w:val="desc"/>
    <w:rsid w:val="00ED63CD"/>
  </w:style>
  <w:style w:type="character" w:customStyle="1" w:styleId="point">
    <w:name w:val="point"/>
    <w:rsid w:val="00ED63CD"/>
  </w:style>
  <w:style w:type="character" w:customStyle="1" w:styleId="chapter1">
    <w:name w:val="chapter1"/>
    <w:rsid w:val="00ED63CD"/>
  </w:style>
  <w:style w:type="paragraph" w:styleId="Buborkszveg">
    <w:name w:val="Balloon Text"/>
    <w:basedOn w:val="Norml"/>
    <w:link w:val="BuborkszvegChar"/>
    <w:uiPriority w:val="99"/>
    <w:semiHidden/>
    <w:unhideWhenUsed/>
    <w:rsid w:val="00ED63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3C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D63C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D63CD"/>
    <w:pPr>
      <w:spacing w:before="280" w:after="280"/>
    </w:pPr>
    <w:rPr>
      <w:lang w:eastAsia="ar-SA"/>
    </w:rPr>
  </w:style>
  <w:style w:type="character" w:customStyle="1" w:styleId="lawnum">
    <w:name w:val="lawnum"/>
    <w:rsid w:val="00ED63CD"/>
  </w:style>
  <w:style w:type="character" w:customStyle="1" w:styleId="desc">
    <w:name w:val="desc"/>
    <w:rsid w:val="00ED63CD"/>
  </w:style>
  <w:style w:type="character" w:customStyle="1" w:styleId="point">
    <w:name w:val="point"/>
    <w:rsid w:val="00ED63CD"/>
  </w:style>
  <w:style w:type="character" w:customStyle="1" w:styleId="chapter1">
    <w:name w:val="chapter1"/>
    <w:rsid w:val="00ED63CD"/>
  </w:style>
  <w:style w:type="paragraph" w:styleId="Buborkszveg">
    <w:name w:val="Balloon Text"/>
    <w:basedOn w:val="Norml"/>
    <w:link w:val="BuborkszvegChar"/>
    <w:uiPriority w:val="99"/>
    <w:semiHidden/>
    <w:unhideWhenUsed/>
    <w:rsid w:val="00ED63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3C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76767?tvalid=2016.10.14.&amp;tline=undefined#old2" TargetMode="External"/><Relationship Id="rId13" Type="http://schemas.openxmlformats.org/officeDocument/2006/relationships/hyperlink" Target="https://www.opten.hu/optijus/lawtext/1076767?tvalid=2016.10.14.&amp;tline=undefined#old4" TargetMode="External"/><Relationship Id="rId18" Type="http://schemas.openxmlformats.org/officeDocument/2006/relationships/hyperlink" Target="https://www.opten.hu/optijus/lawtext/1076767?tvalid=2016.10.14.&amp;tline=undefined#ol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046156/tvalid/2016.10.14./tsid/256" TargetMode="External"/><Relationship Id="rId12" Type="http://schemas.openxmlformats.org/officeDocument/2006/relationships/hyperlink" Target="https://www.opten.hu/optijus/lawtext/1046156" TargetMode="External"/><Relationship Id="rId17" Type="http://schemas.openxmlformats.org/officeDocument/2006/relationships/hyperlink" Target="https://www.opten.hu/optijus/lawtext/10461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pten.hu/optijus/lawtext/1076767?tvalid=2016.10.14.&amp;tline=undefined#old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pten.hu/optijus/lawtext/1076767?tvalid=2016.10.14.&amp;tline=undefined#old3" TargetMode="External"/><Relationship Id="rId5" Type="http://schemas.openxmlformats.org/officeDocument/2006/relationships/hyperlink" Target="https://www.opten.hu/optijus/lawtext/1076767?tvalid=2016.10.14.&amp;tline=undefined#old1" TargetMode="External"/><Relationship Id="rId15" Type="http://schemas.openxmlformats.org/officeDocument/2006/relationships/hyperlink" Target="https://www.opten.hu/optijus/lawtext/1076767?tvalid=2016.10.14.&amp;tline=undefined#old6" TargetMode="External"/><Relationship Id="rId10" Type="http://schemas.openxmlformats.org/officeDocument/2006/relationships/hyperlink" Target="https://www.opten.hu/optijus/lawtext/10461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046156" TargetMode="External"/><Relationship Id="rId14" Type="http://schemas.openxmlformats.org/officeDocument/2006/relationships/hyperlink" Target="https://www.opten.hu/optijus/lawtext/1076767?tvalid=2016.10.14.&amp;tline=undefined#old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1</cp:revision>
  <dcterms:created xsi:type="dcterms:W3CDTF">2016-11-15T13:18:00Z</dcterms:created>
  <dcterms:modified xsi:type="dcterms:W3CDTF">2016-11-15T13:19:00Z</dcterms:modified>
</cp:coreProperties>
</file>