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0D0670" w:rsidP="00224E7B">
      <w:pPr>
        <w:pStyle w:val="Style2"/>
        <w:numPr>
          <w:ilvl w:val="0"/>
          <w:numId w:val="9"/>
        </w:numPr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</w:t>
      </w:r>
      <w:proofErr w:type="spellStart"/>
      <w:r w:rsidRPr="000D0670">
        <w:rPr>
          <w:rFonts w:ascii="Times New Roman" w:eastAsia="Calibri" w:hAnsi="Times New Roman" w:cs="Times New Roman"/>
          <w:color w:val="000000"/>
        </w:rPr>
        <w:t>önk.-i</w:t>
      </w:r>
      <w:proofErr w:type="spellEnd"/>
      <w:r w:rsidRPr="000D0670">
        <w:rPr>
          <w:rFonts w:ascii="Times New Roman" w:eastAsia="Calibri" w:hAnsi="Times New Roman" w:cs="Times New Roman"/>
          <w:color w:val="000000"/>
        </w:rPr>
        <w:t xml:space="preserve">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 w:rsidR="00224E7B">
        <w:rPr>
          <w:rFonts w:ascii="Times New Roman" w:hAnsi="Times New Roman" w:cs="Times New Roman"/>
          <w:bCs/>
          <w:i/>
          <w:u w:val="single"/>
        </w:rPr>
        <w:t>2018</w:t>
      </w:r>
      <w:r>
        <w:rPr>
          <w:rFonts w:ascii="Times New Roman" w:hAnsi="Times New Roman" w:cs="Times New Roman"/>
          <w:bCs/>
          <w:i/>
          <w:u w:val="single"/>
        </w:rPr>
        <w:t xml:space="preserve">. </w:t>
      </w:r>
      <w:r w:rsidR="00224E7B">
        <w:rPr>
          <w:rFonts w:ascii="Times New Roman" w:hAnsi="Times New Roman" w:cs="Times New Roman"/>
          <w:bCs/>
          <w:i/>
          <w:u w:val="single"/>
        </w:rPr>
        <w:t>február</w:t>
      </w:r>
      <w:r w:rsidRPr="000D0670">
        <w:rPr>
          <w:rFonts w:ascii="Times New Roman" w:hAnsi="Times New Roman" w:cs="Times New Roman"/>
          <w:bCs/>
          <w:i/>
          <w:u w:val="single"/>
        </w:rPr>
        <w:t xml:space="preserve"> 1</w:t>
      </w:r>
      <w:r w:rsidR="00224E7B">
        <w:rPr>
          <w:rFonts w:ascii="Times New Roman" w:hAnsi="Times New Roman" w:cs="Times New Roman"/>
          <w:bCs/>
          <w:i/>
          <w:u w:val="single"/>
        </w:rPr>
        <w:t>5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Pr="000D0670">
        <w:rPr>
          <w:rFonts w:ascii="Times New Roman" w:hAnsi="Times New Roman" w:cs="Times New Roman"/>
          <w:bCs/>
          <w:i/>
          <w:u w:val="single"/>
        </w:rPr>
        <w:t>ével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>
        <w:rPr>
          <w:rFonts w:ascii="Times New Roman" w:eastAsia="Calibri" w:hAnsi="Times New Roman" w:cs="Times New Roman"/>
          <w:color w:val="000000"/>
        </w:rPr>
        <w:t xml:space="preserve"> 2018</w:t>
      </w:r>
      <w:r w:rsidRPr="000D0670">
        <w:rPr>
          <w:rFonts w:ascii="Times New Roman" w:eastAsia="Calibri" w:hAnsi="Times New Roman" w:cs="Times New Roman"/>
          <w:color w:val="000000"/>
        </w:rPr>
        <w:t xml:space="preserve">. </w:t>
      </w:r>
      <w:r w:rsidR="00224E7B">
        <w:rPr>
          <w:rFonts w:ascii="Times New Roman" w:eastAsia="Calibri" w:hAnsi="Times New Roman" w:cs="Times New Roman"/>
          <w:color w:val="000000"/>
        </w:rPr>
        <w:t>február 15.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Kondriczné</w:t>
      </w:r>
      <w:proofErr w:type="spellEnd"/>
      <w:r>
        <w:rPr>
          <w:rFonts w:ascii="Times New Roman" w:hAnsi="Times New Roman" w:cs="Times New Roman"/>
        </w:rPr>
        <w:t xml:space="preserve">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61406E" w:rsidRDefault="002D5FFB" w:rsidP="002D5FFB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12BD4">
        <w:rPr>
          <w:rFonts w:ascii="Times New Roman" w:hAnsi="Times New Roman" w:cs="Times New Roman"/>
          <w:b/>
          <w:sz w:val="24"/>
          <w:szCs w:val="24"/>
        </w:rPr>
        <w:t>.</w:t>
      </w:r>
      <w:r w:rsidRPr="0061406E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34"/>
        <w:gridCol w:w="2532"/>
        <w:gridCol w:w="2322"/>
      </w:tblGrid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2322" w:type="dxa"/>
          </w:tcPr>
          <w:p w:rsidR="00DD39F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232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Default="00DD39F9" w:rsidP="00051BEB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2532" w:type="dxa"/>
          </w:tcPr>
          <w:p w:rsidR="00DD39F9" w:rsidRPr="00224E7B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2322" w:type="dxa"/>
          </w:tcPr>
          <w:p w:rsidR="00DD39F9" w:rsidRPr="00224E7B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Default="00DD39F9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232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27AC0" w:rsidRDefault="00DD39F9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hrsz-ú</w:t>
            </w:r>
            <w:proofErr w:type="spellEnd"/>
            <w:r w:rsidRPr="00127AC0">
              <w:t xml:space="preserve">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232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27AC0" w:rsidRDefault="00DD39F9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</w:t>
            </w:r>
            <w:proofErr w:type="spellStart"/>
            <w:r w:rsidRPr="00050558">
              <w:rPr>
                <w:rFonts w:eastAsia="Calibri"/>
                <w:bCs/>
                <w:color w:val="000000"/>
                <w:lang w:eastAsia="en-US"/>
              </w:rPr>
              <w:t>a-b</w:t>
            </w:r>
            <w:proofErr w:type="spellEnd"/>
            <w:r w:rsidRPr="00050558">
              <w:rPr>
                <w:rFonts w:eastAsia="Calibri"/>
                <w:bCs/>
                <w:color w:val="000000"/>
                <w:lang w:eastAsia="en-US"/>
              </w:rPr>
              <w:t>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2322" w:type="dxa"/>
          </w:tcPr>
          <w:p w:rsidR="00DD39F9" w:rsidRPr="00050558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224E7B" w:rsidRDefault="00DD39F9" w:rsidP="00181CB6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/>
                <w:bCs/>
                <w:i/>
                <w:color w:val="000000"/>
                <w:lang w:eastAsia="en-US"/>
              </w:rPr>
            </w:pPr>
            <w:r w:rsidRPr="00224E7B">
              <w:rPr>
                <w:rFonts w:eastAsia="Calibri"/>
                <w:b/>
                <w:bCs/>
                <w:i/>
                <w:color w:val="000000"/>
                <w:lang w:eastAsia="en-US"/>
              </w:rPr>
              <w:t>Hunyadi utca 2/</w:t>
            </w:r>
            <w:proofErr w:type="gramStart"/>
            <w:r w:rsidRPr="00224E7B">
              <w:rPr>
                <w:rFonts w:eastAsia="Calibri"/>
                <w:b/>
                <w:bCs/>
                <w:i/>
                <w:color w:val="000000"/>
                <w:lang w:eastAsia="en-US"/>
              </w:rPr>
              <w:t>A</w:t>
            </w:r>
            <w:proofErr w:type="gramEnd"/>
            <w:r w:rsidRPr="00224E7B">
              <w:rPr>
                <w:rFonts w:eastAsia="Calibri"/>
                <w:b/>
                <w:bCs/>
                <w:i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2532" w:type="dxa"/>
          </w:tcPr>
          <w:p w:rsidR="00DD39F9" w:rsidRPr="00224E7B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22" w:type="dxa"/>
          </w:tcPr>
          <w:p w:rsidR="00DD39F9" w:rsidRPr="00224E7B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/>
                <w:bCs/>
                <w:i/>
                <w:iCs/>
                <w:lang w:eastAsia="en-US"/>
              </w:rPr>
            </w:pPr>
            <w:r w:rsidRPr="00224E7B">
              <w:rPr>
                <w:rStyle w:val="CharacterStyle1"/>
                <w:rFonts w:eastAsia="Calibri"/>
                <w:b/>
                <w:bCs/>
                <w:i/>
                <w:iCs/>
                <w:lang w:eastAsia="en-US"/>
              </w:rPr>
              <w:t>618,-</w:t>
            </w:r>
          </w:p>
        </w:tc>
      </w:tr>
    </w:tbl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spacing w:after="200" w:line="276" w:lineRule="auto"/>
      </w:pPr>
    </w:p>
    <w:p w:rsidR="002D5FFB" w:rsidRDefault="002D5FFB" w:rsidP="002D5FFB"/>
    <w:p w:rsidR="002D5FFB" w:rsidRPr="000D0670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D5FFB" w:rsidRPr="000D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27AC0"/>
    <w:rsid w:val="00131A1F"/>
    <w:rsid w:val="00170D05"/>
    <w:rsid w:val="001A1225"/>
    <w:rsid w:val="001B6EED"/>
    <w:rsid w:val="00224E7B"/>
    <w:rsid w:val="00246837"/>
    <w:rsid w:val="00286106"/>
    <w:rsid w:val="002D5FFB"/>
    <w:rsid w:val="00312BD4"/>
    <w:rsid w:val="005E5AFE"/>
    <w:rsid w:val="00713781"/>
    <w:rsid w:val="00755E59"/>
    <w:rsid w:val="00763216"/>
    <w:rsid w:val="007E7DBB"/>
    <w:rsid w:val="00841DF6"/>
    <w:rsid w:val="00957690"/>
    <w:rsid w:val="00A61424"/>
    <w:rsid w:val="00AB6A39"/>
    <w:rsid w:val="00AE19C0"/>
    <w:rsid w:val="00DD39F9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A34A-76BC-4C1F-9A55-AA430E2D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6</cp:revision>
  <cp:lastPrinted>2017-09-07T13:07:00Z</cp:lastPrinted>
  <dcterms:created xsi:type="dcterms:W3CDTF">2017-09-11T08:08:00Z</dcterms:created>
  <dcterms:modified xsi:type="dcterms:W3CDTF">2018-02-06T15:05:00Z</dcterms:modified>
</cp:coreProperties>
</file>