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4373" w:rsidRPr="00772565" w:rsidRDefault="00D24373">
      <w:pPr>
        <w:jc w:val="right"/>
        <w:rPr>
          <w:i/>
          <w:color w:val="3366FF"/>
          <w:sz w:val="22"/>
          <w:szCs w:val="22"/>
          <w:highlight w:val="green"/>
        </w:rPr>
      </w:pPr>
      <w:r w:rsidRPr="00772565">
        <w:rPr>
          <w:i/>
          <w:color w:val="3366FF"/>
          <w:sz w:val="22"/>
          <w:szCs w:val="22"/>
          <w:highlight w:val="green"/>
        </w:rPr>
        <w:t>A határozati javaslatok elfogadásához</w:t>
      </w:r>
    </w:p>
    <w:p w:rsidR="00D24373" w:rsidRPr="00772565" w:rsidRDefault="00D24373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772565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772565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D24373" w:rsidRDefault="00D24373">
      <w:pPr>
        <w:jc w:val="right"/>
        <w:rPr>
          <w:i/>
          <w:color w:val="3366FF"/>
          <w:sz w:val="22"/>
          <w:szCs w:val="22"/>
        </w:rPr>
      </w:pPr>
      <w:r w:rsidRPr="00772565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772565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D24373" w:rsidRDefault="00D24373">
      <w:pPr>
        <w:rPr>
          <w:color w:val="3366FF"/>
        </w:rPr>
      </w:pPr>
    </w:p>
    <w:p w:rsidR="00D24373" w:rsidRDefault="00D24373">
      <w:pPr>
        <w:rPr>
          <w:color w:val="3366FF"/>
        </w:rPr>
      </w:pPr>
    </w:p>
    <w:p w:rsidR="00D24373" w:rsidRDefault="00B33465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</w:t>
      </w:r>
      <w:r w:rsidR="00FC0C3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</w:t>
      </w:r>
      <w:r w:rsidR="00D2437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24373" w:rsidRDefault="00D24373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762286" w:rsidRDefault="00762286" w:rsidP="00762286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</w:t>
      </w:r>
      <w:r w:rsidR="00CB0839">
        <w:rPr>
          <w:rFonts w:ascii="Arial" w:hAnsi="Arial" w:cs="Arial"/>
          <w:color w:val="3366FF"/>
          <w:sz w:val="22"/>
          <w:szCs w:val="22"/>
        </w:rPr>
        <w:t>2016. június 29</w:t>
      </w:r>
      <w:r>
        <w:rPr>
          <w:rFonts w:ascii="Arial" w:hAnsi="Arial" w:cs="Arial"/>
          <w:color w:val="3366FF"/>
          <w:sz w:val="22"/>
          <w:szCs w:val="22"/>
        </w:rPr>
        <w:t xml:space="preserve">-én, </w:t>
      </w:r>
    </w:p>
    <w:p w:rsidR="00762286" w:rsidRDefault="00CB0839" w:rsidP="00762286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15.00 </w:t>
      </w:r>
      <w:r w:rsidR="00762286" w:rsidRPr="00FA53A1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24373" w:rsidRDefault="00D24373">
      <w:pPr>
        <w:jc w:val="center"/>
        <w:rPr>
          <w:color w:val="3366FF"/>
        </w:rPr>
      </w:pPr>
    </w:p>
    <w:p w:rsidR="00D24373" w:rsidRDefault="00D24373">
      <w:pPr>
        <w:widowControl w:val="0"/>
        <w:tabs>
          <w:tab w:val="left" w:pos="360"/>
        </w:tabs>
        <w:overflowPunct/>
        <w:spacing w:before="240"/>
        <w:jc w:val="center"/>
        <w:textAlignment w:val="auto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Tájékoztató a 201</w:t>
      </w:r>
      <w:r w:rsidR="0092666A">
        <w:rPr>
          <w:rFonts w:ascii="Arial" w:hAnsi="Arial" w:cs="Arial"/>
          <w:i/>
          <w:color w:val="3366FF"/>
          <w:sz w:val="32"/>
          <w:szCs w:val="32"/>
          <w:u w:val="single"/>
        </w:rPr>
        <w:t>5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adóigazgatási feladatok végrehajtásáról, az adóterv teljesüléséről</w:t>
      </w:r>
    </w:p>
    <w:p w:rsidR="00D24373" w:rsidRDefault="00D24373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24373" w:rsidRDefault="00D24373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43"/>
      </w:tblGrid>
      <w:tr w:rsidR="00D24373">
        <w:trPr>
          <w:trHeight w:val="2756"/>
          <w:jc w:val="center"/>
        </w:trPr>
        <w:tc>
          <w:tcPr>
            <w:tcW w:w="81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24373" w:rsidRDefault="00D24373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24373" w:rsidRDefault="00D2437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CB0839">
              <w:rPr>
                <w:rFonts w:ascii="Arial" w:hAnsi="Arial" w:cs="Arial"/>
                <w:color w:val="3366FF"/>
                <w:sz w:val="22"/>
                <w:szCs w:val="22"/>
              </w:rPr>
              <w:t>Takácsné</w:t>
            </w:r>
            <w:proofErr w:type="gramEnd"/>
            <w:r w:rsidR="00CB0839"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aljegyző</w:t>
            </w:r>
          </w:p>
          <w:p w:rsidR="00D24373" w:rsidRDefault="00D24373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156E8" w:rsidRDefault="00D24373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0503B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0156E8">
              <w:rPr>
                <w:rFonts w:ascii="Arial" w:hAnsi="Arial" w:cs="Arial"/>
                <w:color w:val="3366FF"/>
                <w:sz w:val="22"/>
                <w:szCs w:val="22"/>
              </w:rPr>
              <w:t>Kőművesné</w:t>
            </w:r>
            <w:r w:rsidR="000503B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0156E8">
              <w:rPr>
                <w:rFonts w:ascii="Arial" w:hAnsi="Arial" w:cs="Arial"/>
                <w:color w:val="3366FF"/>
                <w:sz w:val="22"/>
                <w:szCs w:val="22"/>
              </w:rPr>
              <w:t>Monigl</w:t>
            </w:r>
            <w:proofErr w:type="spellEnd"/>
            <w:r w:rsidR="000156E8">
              <w:rPr>
                <w:rFonts w:ascii="Arial" w:hAnsi="Arial" w:cs="Arial"/>
                <w:color w:val="3366FF"/>
                <w:sz w:val="22"/>
                <w:szCs w:val="22"/>
              </w:rPr>
              <w:t xml:space="preserve"> Zsuzsanna</w:t>
            </w:r>
            <w:r w:rsidR="00FA53A1">
              <w:rPr>
                <w:rFonts w:ascii="Arial" w:hAnsi="Arial" w:cs="Arial"/>
                <w:color w:val="3366FF"/>
                <w:sz w:val="22"/>
                <w:szCs w:val="22"/>
              </w:rPr>
              <w:t xml:space="preserve"> főtanácsos</w:t>
            </w:r>
          </w:p>
          <w:p w:rsidR="000156E8" w:rsidRDefault="0092666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  <w:r w:rsidR="000503B5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156E8">
              <w:rPr>
                <w:rFonts w:ascii="Arial" w:hAnsi="Arial" w:cs="Arial"/>
                <w:color w:val="3366FF"/>
                <w:sz w:val="22"/>
                <w:szCs w:val="22"/>
              </w:rPr>
              <w:t>Dárdai Adrienn</w:t>
            </w:r>
            <w:r w:rsidR="00FA53A1">
              <w:rPr>
                <w:rFonts w:ascii="Arial" w:hAnsi="Arial" w:cs="Arial"/>
                <w:color w:val="3366FF"/>
                <w:sz w:val="22"/>
                <w:szCs w:val="22"/>
              </w:rPr>
              <w:t xml:space="preserve"> vezető</w:t>
            </w:r>
            <w:r w:rsidR="000503B5">
              <w:rPr>
                <w:rFonts w:ascii="Arial" w:hAnsi="Arial" w:cs="Arial"/>
                <w:color w:val="3366FF"/>
                <w:sz w:val="22"/>
                <w:szCs w:val="22"/>
              </w:rPr>
              <w:t>-</w:t>
            </w:r>
            <w:r w:rsidR="00FA53A1">
              <w:rPr>
                <w:rFonts w:ascii="Arial" w:hAnsi="Arial" w:cs="Arial"/>
                <w:color w:val="3366FF"/>
                <w:sz w:val="22"/>
                <w:szCs w:val="22"/>
              </w:rPr>
              <w:t>tanácsos</w:t>
            </w:r>
          </w:p>
          <w:p w:rsidR="00D24373" w:rsidRDefault="00D24373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0156E8" w:rsidRPr="00FA53A1" w:rsidRDefault="00D24373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FA53A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----------------</w:t>
            </w:r>
          </w:p>
          <w:p w:rsidR="000156E8" w:rsidRDefault="000156E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24373" w:rsidRDefault="00D24373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24373" w:rsidRDefault="00D24373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24373" w:rsidRDefault="00A400D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</w:t>
            </w:r>
            <w:r w:rsidR="00FA53A1">
              <w:rPr>
                <w:rFonts w:ascii="Arial" w:hAnsi="Arial" w:cs="Arial"/>
                <w:color w:val="3366FF"/>
                <w:sz w:val="22"/>
                <w:szCs w:val="22"/>
              </w:rPr>
              <w:t xml:space="preserve">G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Bizottság: </w:t>
            </w:r>
            <w:r w:rsidR="00CB0839">
              <w:rPr>
                <w:rFonts w:ascii="Arial" w:hAnsi="Arial" w:cs="Arial"/>
                <w:color w:val="3366FF"/>
                <w:sz w:val="22"/>
                <w:szCs w:val="22"/>
              </w:rPr>
              <w:t>2016.06.28.</w:t>
            </w:r>
          </w:p>
          <w:p w:rsidR="00D24373" w:rsidRDefault="00D24373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D24373" w:rsidRDefault="00D24373">
      <w:pPr>
        <w:pStyle w:val="Cmsor1"/>
        <w:keepNext w:val="0"/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:rsidR="00D24373" w:rsidRDefault="00D24373">
      <w:pPr>
        <w:jc w:val="both"/>
      </w:pPr>
    </w:p>
    <w:p w:rsidR="00D24373" w:rsidRDefault="00D24373">
      <w:pPr>
        <w:widowControl w:val="0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:rsidR="00D24373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24373" w:rsidRDefault="000156E8" w:rsidP="00FA53A1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32E88">
        <w:rPr>
          <w:rFonts w:ascii="Arial" w:hAnsi="Arial" w:cs="Arial"/>
          <w:sz w:val="22"/>
          <w:szCs w:val="22"/>
        </w:rPr>
        <w:t xml:space="preserve"> </w:t>
      </w:r>
      <w:r w:rsidR="00FA53A1">
        <w:rPr>
          <w:rFonts w:ascii="Arial" w:hAnsi="Arial" w:cs="Arial"/>
          <w:sz w:val="22"/>
          <w:szCs w:val="22"/>
        </w:rPr>
        <w:t xml:space="preserve">Bátaszéki KÖH által ellátott </w:t>
      </w:r>
      <w:r w:rsidR="00D24373">
        <w:rPr>
          <w:rFonts w:ascii="Arial" w:hAnsi="Arial" w:cs="Arial"/>
          <w:sz w:val="22"/>
          <w:szCs w:val="22"/>
        </w:rPr>
        <w:t>adóigazgatás</w:t>
      </w:r>
      <w:r w:rsidR="00FA53A1">
        <w:rPr>
          <w:rFonts w:ascii="Arial" w:hAnsi="Arial" w:cs="Arial"/>
          <w:sz w:val="22"/>
          <w:szCs w:val="22"/>
        </w:rPr>
        <w:t xml:space="preserve"> 201</w:t>
      </w:r>
      <w:r w:rsidR="0092666A">
        <w:rPr>
          <w:rFonts w:ascii="Arial" w:hAnsi="Arial" w:cs="Arial"/>
          <w:sz w:val="22"/>
          <w:szCs w:val="22"/>
        </w:rPr>
        <w:t>5</w:t>
      </w:r>
      <w:r w:rsidR="00FA53A1">
        <w:rPr>
          <w:rFonts w:ascii="Arial" w:hAnsi="Arial" w:cs="Arial"/>
          <w:sz w:val="22"/>
          <w:szCs w:val="22"/>
        </w:rPr>
        <w:t>. évi</w:t>
      </w:r>
      <w:r w:rsidR="00D24373">
        <w:rPr>
          <w:rFonts w:ascii="Arial" w:hAnsi="Arial" w:cs="Arial"/>
          <w:sz w:val="22"/>
          <w:szCs w:val="22"/>
        </w:rPr>
        <w:t xml:space="preserve"> feladatairól az alábbi tájékoztatás adom:</w:t>
      </w:r>
    </w:p>
    <w:p w:rsidR="00D24373" w:rsidRDefault="00D2437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24373" w:rsidRDefault="00D24373" w:rsidP="00FA53A1">
      <w:pPr>
        <w:ind w:firstLine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Az adóigazgatás által ellátandó feladatok:</w:t>
      </w:r>
    </w:p>
    <w:p w:rsidR="00D24373" w:rsidRDefault="00CB0839" w:rsidP="00FA53A1">
      <w:pPr>
        <w:numPr>
          <w:ilvl w:val="0"/>
          <w:numId w:val="4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r w:rsidR="00D24373">
        <w:rPr>
          <w:rFonts w:ascii="Arial" w:hAnsi="Arial" w:cs="Arial"/>
          <w:i/>
          <w:iCs/>
          <w:sz w:val="22"/>
          <w:szCs w:val="22"/>
        </w:rPr>
        <w:t xml:space="preserve"> központi és helyi adójogszabályokban meghatározott, jegyzői hatáskörbe utalt ad</w:t>
      </w:r>
      <w:r>
        <w:rPr>
          <w:rFonts w:ascii="Arial" w:hAnsi="Arial" w:cs="Arial"/>
          <w:i/>
          <w:iCs/>
          <w:sz w:val="22"/>
          <w:szCs w:val="22"/>
        </w:rPr>
        <w:t>óigazgatási feladatok elvégzése;</w:t>
      </w:r>
    </w:p>
    <w:p w:rsidR="00D24373" w:rsidRDefault="00CB0839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 </w:t>
      </w:r>
      <w:r w:rsidR="00D24373">
        <w:rPr>
          <w:rFonts w:ascii="Arial" w:hAnsi="Arial" w:cs="Arial"/>
          <w:i/>
          <w:iCs/>
          <w:sz w:val="22"/>
          <w:szCs w:val="22"/>
        </w:rPr>
        <w:t>központi adójogszabályokból eredő hel</w:t>
      </w:r>
      <w:r>
        <w:rPr>
          <w:rFonts w:ascii="Arial" w:hAnsi="Arial" w:cs="Arial"/>
          <w:i/>
          <w:iCs/>
          <w:sz w:val="22"/>
          <w:szCs w:val="22"/>
        </w:rPr>
        <w:t>yi rendeletalkotás előkészítése;</w:t>
      </w:r>
    </w:p>
    <w:p w:rsidR="00D24373" w:rsidRDefault="00CB0839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r w:rsidR="00D24373">
        <w:rPr>
          <w:rFonts w:ascii="Arial" w:hAnsi="Arial" w:cs="Arial"/>
          <w:i/>
          <w:iCs/>
          <w:sz w:val="22"/>
          <w:szCs w:val="22"/>
        </w:rPr>
        <w:t xml:space="preserve"> helyi adórendelete</w:t>
      </w:r>
      <w:r>
        <w:rPr>
          <w:rFonts w:ascii="Arial" w:hAnsi="Arial" w:cs="Arial"/>
          <w:i/>
          <w:iCs/>
          <w:sz w:val="22"/>
          <w:szCs w:val="22"/>
        </w:rPr>
        <w:t>k végrehajtásának érvényesítése;</w:t>
      </w:r>
    </w:p>
    <w:p w:rsidR="00D24373" w:rsidRDefault="00CB0839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r w:rsidR="00D24373">
        <w:rPr>
          <w:rFonts w:ascii="Arial" w:hAnsi="Arial" w:cs="Arial"/>
          <w:i/>
          <w:iCs/>
          <w:sz w:val="22"/>
          <w:szCs w:val="22"/>
        </w:rPr>
        <w:t xml:space="preserve"> helyi adók bejelentésével, kivetésével, közlésével és beszedésével kapcsolatos feladatok ell</w:t>
      </w:r>
      <w:r w:rsidR="00D24373">
        <w:rPr>
          <w:rFonts w:ascii="Arial" w:hAnsi="Arial" w:cs="Arial"/>
          <w:i/>
          <w:iCs/>
          <w:sz w:val="22"/>
          <w:szCs w:val="22"/>
        </w:rPr>
        <w:t>á</w:t>
      </w:r>
      <w:r w:rsidR="00D24373">
        <w:rPr>
          <w:rFonts w:ascii="Arial" w:hAnsi="Arial" w:cs="Arial"/>
          <w:i/>
          <w:iCs/>
          <w:sz w:val="22"/>
          <w:szCs w:val="22"/>
        </w:rPr>
        <w:t>tása.</w:t>
      </w:r>
    </w:p>
    <w:p w:rsidR="00D24373" w:rsidRDefault="00D24373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D24373" w:rsidRDefault="00D24373" w:rsidP="00FA53A1">
      <w:pPr>
        <w:ind w:firstLine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Egyéb feladatok:</w:t>
      </w:r>
    </w:p>
    <w:p w:rsidR="00D24373" w:rsidRDefault="00D24373" w:rsidP="00FA53A1">
      <w:pPr>
        <w:numPr>
          <w:ilvl w:val="0"/>
          <w:numId w:val="1"/>
        </w:numPr>
        <w:tabs>
          <w:tab w:val="left" w:pos="1065"/>
        </w:tabs>
        <w:spacing w:before="120"/>
        <w:ind w:left="106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folyószámlák vezetése;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adószámlákra beérkező banki utalások és postai befizetések könyvelése, költségvetési szá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lára történő utalása;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bevallások, folyószámlán történő előírások rögzítése</w:t>
      </w:r>
      <w:r w:rsidR="00CB0839">
        <w:rPr>
          <w:rFonts w:ascii="Arial" w:hAnsi="Arial" w:cs="Arial"/>
          <w:sz w:val="22"/>
          <w:szCs w:val="22"/>
        </w:rPr>
        <w:t>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tulajdonjog változások folyamatos regisztrálása;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adótúlfizetések rendezése 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adó és értékbizonyítvány kiadása;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adóigazolások kiadása;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talajterhelési díjjal kapcsolatos feladatok;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földbérbeadás adóztatásával kapcsolatos feladatok;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vállalkozók adóügyeivel kapcsolatos ügyintézés, regisztráció;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bevallások feldolgozása;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gépjármű adóval kapcsolatos feladatok;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értesítések, csekkek félévenkénti elkészítése, postázása;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csoportos beszedési megbízások elkészítése, továbbítása, feldolgozása;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méltányosságok előkészítése, határozathozatala, feldolgozása;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folyamatos behajtási cselekmények elkészítése, nyilvántartása, feldolgozása;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NAV-nak</w:t>
      </w:r>
      <w:proofErr w:type="spellEnd"/>
      <w:r>
        <w:rPr>
          <w:rFonts w:ascii="Arial" w:hAnsi="Arial" w:cs="Arial"/>
          <w:sz w:val="22"/>
          <w:szCs w:val="22"/>
        </w:rPr>
        <w:t xml:space="preserve"> havi elektronikus adatszolgáltatás önkormányzati adóhátralékról;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adóellenőrzések előkészítése, feldolgozása;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adók módjára behajtandó köztartozások nyilvántartása, behajtása;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behajthatatlan adótartozások, elévült tételek nyilvántartása</w:t>
      </w:r>
      <w:r w:rsidR="00CB0839">
        <w:rPr>
          <w:rFonts w:ascii="Arial" w:hAnsi="Arial" w:cs="Arial"/>
          <w:sz w:val="22"/>
          <w:szCs w:val="22"/>
        </w:rPr>
        <w:t>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zárási összesítők negyedéves, féléves, éves adatok elkészítése, jelentése, adatszolgáltatása;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onkadó</w:t>
      </w:r>
      <w:proofErr w:type="spellEnd"/>
      <w:r>
        <w:rPr>
          <w:rFonts w:ascii="Arial" w:hAnsi="Arial" w:cs="Arial"/>
          <w:sz w:val="22"/>
          <w:szCs w:val="22"/>
        </w:rPr>
        <w:t xml:space="preserve"> program folyamatos karbantartása, programm</w:t>
      </w:r>
      <w:r w:rsidR="00CB0839">
        <w:rPr>
          <w:rFonts w:ascii="Arial" w:hAnsi="Arial" w:cs="Arial"/>
          <w:sz w:val="22"/>
          <w:szCs w:val="22"/>
        </w:rPr>
        <w:t>ódosítások elvégzése;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havi adóbevételek számlánkénti bontása, nyilvántartása, költségvetésnek jelentése, ada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szolgáltatása;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adóerőképesség</w:t>
      </w:r>
      <w:proofErr w:type="spellEnd"/>
      <w:r>
        <w:rPr>
          <w:rFonts w:ascii="Arial" w:hAnsi="Arial" w:cs="Arial"/>
          <w:sz w:val="22"/>
          <w:szCs w:val="22"/>
        </w:rPr>
        <w:t xml:space="preserve"> nyilvántartása, elkészítése, jelentése, adatszolgáltatása;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ügyfélfogadás, adóalanyok felkutatása;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valamennyi iratanyag nyilvántartása, ügyiratkezelése, határidőre történő leadása;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Alsónána és Alsónyék község önkormányzat teljes körű ad</w:t>
      </w:r>
      <w:r w:rsidR="00CB0839">
        <w:rPr>
          <w:rFonts w:ascii="Arial" w:hAnsi="Arial" w:cs="Arial"/>
          <w:sz w:val="22"/>
          <w:szCs w:val="22"/>
        </w:rPr>
        <w:t>óigazgatási feladatok elvégzése;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központi adójogszabályokból adódó rendelettervezetek, adóügyekkel kapcsolatos testületi előterjesztések</w:t>
      </w:r>
      <w:r w:rsidR="00CB0839">
        <w:rPr>
          <w:rFonts w:ascii="Arial" w:hAnsi="Arial" w:cs="Arial"/>
          <w:sz w:val="22"/>
          <w:szCs w:val="22"/>
        </w:rPr>
        <w:t xml:space="preserve"> előkészítése;</w:t>
      </w:r>
      <w:r>
        <w:rPr>
          <w:rFonts w:ascii="Arial" w:hAnsi="Arial" w:cs="Arial"/>
          <w:sz w:val="22"/>
          <w:szCs w:val="22"/>
        </w:rPr>
        <w:t xml:space="preserve"> 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önkormányzati gazdálkodásához kapcsolódó bevételi javaslat kidolgozásának előkészít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se;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panaszok kivizsgálása;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adóbevételek alakulásának figyelemmel kísérése;</w:t>
      </w:r>
    </w:p>
    <w:p w:rsidR="00D24373" w:rsidRDefault="00D24373">
      <w:pPr>
        <w:numPr>
          <w:ilvl w:val="0"/>
          <w:numId w:val="1"/>
        </w:numPr>
        <w:tabs>
          <w:tab w:val="left" w:pos="1065"/>
        </w:tabs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ingatlan-végrehajtás elrendelése, előkészítése.</w:t>
      </w:r>
    </w:p>
    <w:p w:rsidR="00D24373" w:rsidRDefault="00D24373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D24373" w:rsidRDefault="00D243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24373" w:rsidRDefault="00D2437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Ügyiratforgalom, ügyintézés</w:t>
      </w:r>
    </w:p>
    <w:p w:rsidR="00D24373" w:rsidRDefault="00D24373">
      <w:pPr>
        <w:jc w:val="both"/>
        <w:rPr>
          <w:rFonts w:ascii="Arial" w:hAnsi="Arial" w:cs="Arial"/>
          <w:sz w:val="22"/>
          <w:szCs w:val="22"/>
        </w:rPr>
      </w:pPr>
    </w:p>
    <w:p w:rsidR="000156E8" w:rsidRDefault="000156E8" w:rsidP="000156E8">
      <w:pPr>
        <w:jc w:val="both"/>
        <w:rPr>
          <w:rFonts w:ascii="Arial" w:hAnsi="Arial" w:cs="Arial"/>
          <w:sz w:val="22"/>
          <w:szCs w:val="22"/>
        </w:rPr>
      </w:pPr>
      <w:r w:rsidRPr="000156E8">
        <w:rPr>
          <w:rFonts w:ascii="Arial" w:hAnsi="Arial" w:cs="Arial"/>
          <w:sz w:val="22"/>
          <w:szCs w:val="22"/>
        </w:rPr>
        <w:t xml:space="preserve">Az elmúlt esztendőben a Bátaszéki </w:t>
      </w:r>
      <w:r w:rsidR="007B2E4D">
        <w:rPr>
          <w:rFonts w:ascii="Arial" w:hAnsi="Arial" w:cs="Arial"/>
          <w:sz w:val="22"/>
          <w:szCs w:val="22"/>
        </w:rPr>
        <w:t>Közös Önkormányzati Hivatalban</w:t>
      </w:r>
      <w:r w:rsidRPr="000156E8">
        <w:rPr>
          <w:rFonts w:ascii="Arial" w:hAnsi="Arial" w:cs="Arial"/>
          <w:sz w:val="22"/>
          <w:szCs w:val="22"/>
        </w:rPr>
        <w:t xml:space="preserve"> 3 fő létszám látta el a 3 település </w:t>
      </w:r>
      <w:r w:rsidR="00CB0839">
        <w:rPr>
          <w:rFonts w:ascii="Arial" w:hAnsi="Arial" w:cs="Arial"/>
          <w:sz w:val="22"/>
          <w:szCs w:val="22"/>
        </w:rPr>
        <w:t xml:space="preserve">– </w:t>
      </w:r>
      <w:r w:rsidRPr="000156E8">
        <w:rPr>
          <w:rFonts w:ascii="Arial" w:hAnsi="Arial" w:cs="Arial"/>
          <w:sz w:val="22"/>
          <w:szCs w:val="22"/>
        </w:rPr>
        <w:t xml:space="preserve">Bátaszék, Alsónyék és Alsónána </w:t>
      </w:r>
      <w:r w:rsidR="00CB0839">
        <w:rPr>
          <w:rFonts w:ascii="Arial" w:hAnsi="Arial" w:cs="Arial"/>
          <w:sz w:val="22"/>
          <w:szCs w:val="22"/>
        </w:rPr>
        <w:t xml:space="preserve">– </w:t>
      </w:r>
      <w:r w:rsidRPr="000156E8">
        <w:rPr>
          <w:rFonts w:ascii="Arial" w:hAnsi="Arial" w:cs="Arial"/>
          <w:sz w:val="22"/>
          <w:szCs w:val="22"/>
        </w:rPr>
        <w:t>adóigazgatási feladatait. A dömpingmunkák (adókivetések) idején kisegítőket is kellett alkalmazni, hogy a jogszabályban meghatározott ügyintézési határidőket tartani tu</w:t>
      </w:r>
      <w:r w:rsidRPr="000156E8">
        <w:rPr>
          <w:rFonts w:ascii="Arial" w:hAnsi="Arial" w:cs="Arial"/>
          <w:sz w:val="22"/>
          <w:szCs w:val="22"/>
        </w:rPr>
        <w:t>d</w:t>
      </w:r>
      <w:r w:rsidRPr="000156E8">
        <w:rPr>
          <w:rFonts w:ascii="Arial" w:hAnsi="Arial" w:cs="Arial"/>
          <w:sz w:val="22"/>
          <w:szCs w:val="22"/>
        </w:rPr>
        <w:t>ja a csoport.</w:t>
      </w:r>
    </w:p>
    <w:p w:rsidR="00D30691" w:rsidRPr="000156E8" w:rsidRDefault="00D30691" w:rsidP="000156E8">
      <w:pPr>
        <w:jc w:val="both"/>
        <w:rPr>
          <w:rFonts w:ascii="Arial" w:hAnsi="Arial" w:cs="Arial"/>
          <w:sz w:val="22"/>
          <w:szCs w:val="22"/>
        </w:rPr>
      </w:pPr>
    </w:p>
    <w:p w:rsidR="000156E8" w:rsidRPr="000156E8" w:rsidRDefault="000156E8" w:rsidP="000156E8">
      <w:pPr>
        <w:jc w:val="both"/>
        <w:rPr>
          <w:rFonts w:ascii="Arial" w:hAnsi="Arial" w:cs="Arial"/>
          <w:sz w:val="22"/>
          <w:szCs w:val="22"/>
        </w:rPr>
      </w:pPr>
      <w:r w:rsidRPr="000156E8">
        <w:rPr>
          <w:rFonts w:ascii="Arial" w:hAnsi="Arial" w:cs="Arial"/>
          <w:sz w:val="22"/>
          <w:szCs w:val="22"/>
        </w:rPr>
        <w:t>A hivatal ügyiratainak 45-50 %-át az adócsoport készíti. Ez az adminisztrációs munka jelentősen leterh</w:t>
      </w:r>
      <w:r w:rsidRPr="000156E8">
        <w:rPr>
          <w:rFonts w:ascii="Arial" w:hAnsi="Arial" w:cs="Arial"/>
          <w:sz w:val="22"/>
          <w:szCs w:val="22"/>
        </w:rPr>
        <w:t>e</w:t>
      </w:r>
      <w:r w:rsidRPr="000156E8">
        <w:rPr>
          <w:rFonts w:ascii="Arial" w:hAnsi="Arial" w:cs="Arial"/>
          <w:sz w:val="22"/>
          <w:szCs w:val="22"/>
        </w:rPr>
        <w:t>li az ügyintézőket, ennek ellenére az ügyirathátralék nem éri el a 4 %-ot és ezek is javarészt olyan sp</w:t>
      </w:r>
      <w:r w:rsidRPr="000156E8">
        <w:rPr>
          <w:rFonts w:ascii="Arial" w:hAnsi="Arial" w:cs="Arial"/>
          <w:sz w:val="22"/>
          <w:szCs w:val="22"/>
        </w:rPr>
        <w:t>e</w:t>
      </w:r>
      <w:r w:rsidRPr="000156E8">
        <w:rPr>
          <w:rFonts w:ascii="Arial" w:hAnsi="Arial" w:cs="Arial"/>
          <w:sz w:val="22"/>
          <w:szCs w:val="22"/>
        </w:rPr>
        <w:t xml:space="preserve">ciális ügyek, melyek ügyintézése gyakorta külső okokból elhúzódik.   </w:t>
      </w:r>
    </w:p>
    <w:p w:rsidR="007B2E4D" w:rsidRDefault="007B2E4D" w:rsidP="000156E8">
      <w:pPr>
        <w:jc w:val="both"/>
        <w:rPr>
          <w:rFonts w:ascii="Arial" w:hAnsi="Arial" w:cs="Arial"/>
          <w:sz w:val="22"/>
          <w:szCs w:val="22"/>
        </w:rPr>
      </w:pPr>
    </w:p>
    <w:p w:rsidR="000156E8" w:rsidRPr="0092666A" w:rsidRDefault="000156E8" w:rsidP="000156E8">
      <w:pPr>
        <w:jc w:val="both"/>
        <w:rPr>
          <w:rFonts w:ascii="Arial" w:hAnsi="Arial" w:cs="Arial"/>
          <w:b/>
          <w:sz w:val="22"/>
          <w:szCs w:val="22"/>
        </w:rPr>
      </w:pPr>
      <w:r w:rsidRPr="0092666A">
        <w:rPr>
          <w:rFonts w:ascii="Arial" w:hAnsi="Arial" w:cs="Arial"/>
          <w:b/>
          <w:sz w:val="22"/>
          <w:szCs w:val="22"/>
        </w:rPr>
        <w:t>201</w:t>
      </w:r>
      <w:r w:rsidR="0092666A" w:rsidRPr="0092666A">
        <w:rPr>
          <w:rFonts w:ascii="Arial" w:hAnsi="Arial" w:cs="Arial"/>
          <w:b/>
          <w:sz w:val="22"/>
          <w:szCs w:val="22"/>
        </w:rPr>
        <w:t>5</w:t>
      </w:r>
      <w:r w:rsidRPr="0092666A">
        <w:rPr>
          <w:rFonts w:ascii="Arial" w:hAnsi="Arial" w:cs="Arial"/>
          <w:b/>
          <w:sz w:val="22"/>
          <w:szCs w:val="22"/>
        </w:rPr>
        <w:t xml:space="preserve">-ben bátaszéki adóügyekben keletkezett és iktatott ügyiratok száma </w:t>
      </w:r>
      <w:r w:rsidR="0092666A" w:rsidRPr="0092666A">
        <w:rPr>
          <w:rFonts w:ascii="Arial" w:hAnsi="Arial" w:cs="Arial"/>
          <w:b/>
          <w:sz w:val="22"/>
          <w:szCs w:val="22"/>
        </w:rPr>
        <w:t>9.507</w:t>
      </w:r>
      <w:r w:rsidRPr="0092666A">
        <w:rPr>
          <w:rFonts w:ascii="Arial" w:hAnsi="Arial" w:cs="Arial"/>
          <w:b/>
          <w:sz w:val="22"/>
          <w:szCs w:val="22"/>
        </w:rPr>
        <w:t xml:space="preserve"> db volt.</w:t>
      </w:r>
    </w:p>
    <w:p w:rsidR="000156E8" w:rsidRPr="0092666A" w:rsidRDefault="000156E8" w:rsidP="000156E8">
      <w:pPr>
        <w:jc w:val="both"/>
        <w:rPr>
          <w:rFonts w:ascii="Arial" w:hAnsi="Arial" w:cs="Arial"/>
          <w:sz w:val="22"/>
          <w:szCs w:val="22"/>
        </w:rPr>
      </w:pPr>
    </w:p>
    <w:p w:rsidR="00930C97" w:rsidRPr="0092666A" w:rsidRDefault="00930C97" w:rsidP="000156E8">
      <w:pPr>
        <w:jc w:val="both"/>
        <w:rPr>
          <w:rFonts w:ascii="Arial" w:hAnsi="Arial" w:cs="Arial"/>
          <w:b/>
          <w:sz w:val="22"/>
          <w:szCs w:val="22"/>
        </w:rPr>
      </w:pPr>
      <w:r w:rsidRPr="0092666A">
        <w:rPr>
          <w:rFonts w:ascii="Arial" w:hAnsi="Arial" w:cs="Arial"/>
          <w:b/>
          <w:sz w:val="22"/>
          <w:szCs w:val="22"/>
        </w:rPr>
        <w:t>Ebből 1</w:t>
      </w:r>
      <w:r w:rsidR="0092666A" w:rsidRPr="0092666A">
        <w:rPr>
          <w:rFonts w:ascii="Arial" w:hAnsi="Arial" w:cs="Arial"/>
          <w:b/>
          <w:sz w:val="22"/>
          <w:szCs w:val="22"/>
        </w:rPr>
        <w:t>.634</w:t>
      </w:r>
      <w:r w:rsidRPr="0092666A">
        <w:rPr>
          <w:rFonts w:ascii="Arial" w:hAnsi="Arial" w:cs="Arial"/>
          <w:b/>
          <w:sz w:val="22"/>
          <w:szCs w:val="22"/>
        </w:rPr>
        <w:t xml:space="preserve"> db volt a határozat</w:t>
      </w:r>
      <w:r w:rsidR="0092666A" w:rsidRPr="0092666A">
        <w:rPr>
          <w:rFonts w:ascii="Arial" w:hAnsi="Arial" w:cs="Arial"/>
          <w:b/>
          <w:sz w:val="22"/>
          <w:szCs w:val="22"/>
        </w:rPr>
        <w:t>,</w:t>
      </w:r>
      <w:r w:rsidRPr="0092666A">
        <w:rPr>
          <w:rFonts w:ascii="Arial" w:hAnsi="Arial" w:cs="Arial"/>
          <w:b/>
          <w:sz w:val="22"/>
          <w:szCs w:val="22"/>
        </w:rPr>
        <w:t xml:space="preserve"> fellebbezést </w:t>
      </w:r>
      <w:r w:rsidR="0092666A" w:rsidRPr="0092666A">
        <w:rPr>
          <w:rFonts w:ascii="Arial" w:hAnsi="Arial" w:cs="Arial"/>
          <w:b/>
          <w:sz w:val="22"/>
          <w:szCs w:val="22"/>
        </w:rPr>
        <w:t xml:space="preserve">nem </w:t>
      </w:r>
      <w:r w:rsidRPr="0092666A">
        <w:rPr>
          <w:rFonts w:ascii="Arial" w:hAnsi="Arial" w:cs="Arial"/>
          <w:b/>
          <w:sz w:val="22"/>
          <w:szCs w:val="22"/>
        </w:rPr>
        <w:t xml:space="preserve">nyújtottak be. </w:t>
      </w:r>
    </w:p>
    <w:p w:rsidR="0092666A" w:rsidRDefault="0092666A" w:rsidP="000156E8">
      <w:pPr>
        <w:jc w:val="both"/>
        <w:rPr>
          <w:rFonts w:ascii="Arial" w:hAnsi="Arial" w:cs="Arial"/>
          <w:sz w:val="22"/>
          <w:szCs w:val="22"/>
        </w:rPr>
      </w:pPr>
    </w:p>
    <w:p w:rsidR="000156E8" w:rsidRPr="000156E8" w:rsidRDefault="000156E8" w:rsidP="000156E8">
      <w:pPr>
        <w:jc w:val="both"/>
        <w:rPr>
          <w:rFonts w:ascii="Arial" w:hAnsi="Arial" w:cs="Arial"/>
          <w:sz w:val="22"/>
          <w:szCs w:val="22"/>
        </w:rPr>
      </w:pPr>
      <w:r w:rsidRPr="000156E8">
        <w:rPr>
          <w:rFonts w:ascii="Arial" w:hAnsi="Arial" w:cs="Arial"/>
          <w:sz w:val="22"/>
          <w:szCs w:val="22"/>
        </w:rPr>
        <w:t>Fentiekhez csatolva félévente (I. és II. félévi) összesen 1800-2000 egyenlegértesítő és fizetési felszól</w:t>
      </w:r>
      <w:r w:rsidRPr="000156E8">
        <w:rPr>
          <w:rFonts w:ascii="Arial" w:hAnsi="Arial" w:cs="Arial"/>
          <w:sz w:val="22"/>
          <w:szCs w:val="22"/>
        </w:rPr>
        <w:t>í</w:t>
      </w:r>
      <w:r w:rsidRPr="000156E8">
        <w:rPr>
          <w:rFonts w:ascii="Arial" w:hAnsi="Arial" w:cs="Arial"/>
          <w:sz w:val="22"/>
          <w:szCs w:val="22"/>
        </w:rPr>
        <w:t>tás, valamint közel 2500 db befizetési postautalvány (csekk) került kézbesítésre. A behajtási időszakban pedig szintén közel 1000 hátralékos felszólítás és csekk lett kinyomtatva, kipostázva tértivevényes ké</w:t>
      </w:r>
      <w:r w:rsidRPr="000156E8">
        <w:rPr>
          <w:rFonts w:ascii="Arial" w:hAnsi="Arial" w:cs="Arial"/>
          <w:sz w:val="22"/>
          <w:szCs w:val="22"/>
        </w:rPr>
        <w:t>z</w:t>
      </w:r>
      <w:r w:rsidRPr="000156E8">
        <w:rPr>
          <w:rFonts w:ascii="Arial" w:hAnsi="Arial" w:cs="Arial"/>
          <w:sz w:val="22"/>
          <w:szCs w:val="22"/>
        </w:rPr>
        <w:t>besítéssel.</w:t>
      </w:r>
    </w:p>
    <w:p w:rsidR="000156E8" w:rsidRPr="000156E8" w:rsidRDefault="000156E8" w:rsidP="000156E8">
      <w:pPr>
        <w:jc w:val="both"/>
        <w:rPr>
          <w:rFonts w:ascii="Arial" w:hAnsi="Arial" w:cs="Arial"/>
          <w:sz w:val="22"/>
          <w:szCs w:val="22"/>
        </w:rPr>
      </w:pPr>
    </w:p>
    <w:p w:rsidR="000156E8" w:rsidRPr="000156E8" w:rsidRDefault="000156E8" w:rsidP="000156E8">
      <w:pPr>
        <w:jc w:val="both"/>
        <w:rPr>
          <w:rFonts w:ascii="Arial" w:hAnsi="Arial" w:cs="Arial"/>
          <w:sz w:val="22"/>
          <w:szCs w:val="22"/>
        </w:rPr>
      </w:pPr>
      <w:r w:rsidRPr="000156E8">
        <w:rPr>
          <w:rFonts w:ascii="Arial" w:hAnsi="Arial" w:cs="Arial"/>
          <w:sz w:val="22"/>
          <w:szCs w:val="22"/>
        </w:rPr>
        <w:t>Az adóhatóságnál 12 db bankszámla vezetése történik. 201</w:t>
      </w:r>
      <w:r w:rsidR="0092666A">
        <w:rPr>
          <w:rFonts w:ascii="Arial" w:hAnsi="Arial" w:cs="Arial"/>
          <w:sz w:val="22"/>
          <w:szCs w:val="22"/>
        </w:rPr>
        <w:t>5</w:t>
      </w:r>
      <w:r w:rsidRPr="000156E8">
        <w:rPr>
          <w:rFonts w:ascii="Arial" w:hAnsi="Arial" w:cs="Arial"/>
          <w:sz w:val="22"/>
          <w:szCs w:val="22"/>
        </w:rPr>
        <w:t>-ben a feldolgozott könyvelési tételek sz</w:t>
      </w:r>
      <w:r w:rsidRPr="000156E8">
        <w:rPr>
          <w:rFonts w:ascii="Arial" w:hAnsi="Arial" w:cs="Arial"/>
          <w:sz w:val="22"/>
          <w:szCs w:val="22"/>
        </w:rPr>
        <w:t>á</w:t>
      </w:r>
      <w:r w:rsidR="00CB0839">
        <w:rPr>
          <w:rFonts w:ascii="Arial" w:hAnsi="Arial" w:cs="Arial"/>
          <w:sz w:val="22"/>
          <w:szCs w:val="22"/>
        </w:rPr>
        <w:t>ma megközelítőleg 5-</w:t>
      </w:r>
      <w:r w:rsidRPr="000156E8">
        <w:rPr>
          <w:rFonts w:ascii="Arial" w:hAnsi="Arial" w:cs="Arial"/>
          <w:sz w:val="22"/>
          <w:szCs w:val="22"/>
        </w:rPr>
        <w:t>6000 db volt.</w:t>
      </w:r>
    </w:p>
    <w:p w:rsidR="002F5AFF" w:rsidRDefault="002F5AFF" w:rsidP="000156E8">
      <w:pPr>
        <w:jc w:val="both"/>
        <w:rPr>
          <w:rFonts w:ascii="Arial" w:hAnsi="Arial" w:cs="Arial"/>
          <w:sz w:val="22"/>
          <w:szCs w:val="22"/>
        </w:rPr>
      </w:pPr>
    </w:p>
    <w:p w:rsidR="0092666A" w:rsidRDefault="0092666A" w:rsidP="000156E8">
      <w:pPr>
        <w:jc w:val="both"/>
        <w:rPr>
          <w:rFonts w:ascii="Arial" w:hAnsi="Arial" w:cs="Arial"/>
          <w:sz w:val="22"/>
          <w:szCs w:val="22"/>
        </w:rPr>
      </w:pPr>
    </w:p>
    <w:p w:rsidR="0092666A" w:rsidRDefault="0092666A" w:rsidP="000156E8">
      <w:pPr>
        <w:jc w:val="both"/>
        <w:rPr>
          <w:rFonts w:ascii="Arial" w:hAnsi="Arial" w:cs="Arial"/>
          <w:sz w:val="22"/>
          <w:szCs w:val="22"/>
        </w:rPr>
      </w:pPr>
    </w:p>
    <w:p w:rsidR="0092666A" w:rsidRDefault="0092666A" w:rsidP="000156E8">
      <w:pPr>
        <w:jc w:val="both"/>
        <w:rPr>
          <w:rFonts w:ascii="Arial" w:hAnsi="Arial" w:cs="Arial"/>
          <w:sz w:val="22"/>
          <w:szCs w:val="22"/>
        </w:rPr>
      </w:pPr>
    </w:p>
    <w:p w:rsidR="000156E8" w:rsidRPr="000156E8" w:rsidRDefault="000156E8" w:rsidP="000156E8">
      <w:pPr>
        <w:jc w:val="both"/>
        <w:rPr>
          <w:rFonts w:ascii="Arial" w:hAnsi="Arial" w:cs="Arial"/>
          <w:sz w:val="22"/>
          <w:szCs w:val="22"/>
        </w:rPr>
      </w:pPr>
      <w:r w:rsidRPr="000156E8">
        <w:rPr>
          <w:rFonts w:ascii="Arial" w:hAnsi="Arial" w:cs="Arial"/>
          <w:sz w:val="22"/>
          <w:szCs w:val="22"/>
        </w:rPr>
        <w:lastRenderedPageBreak/>
        <w:t>201</w:t>
      </w:r>
      <w:r w:rsidR="0092666A">
        <w:rPr>
          <w:rFonts w:ascii="Arial" w:hAnsi="Arial" w:cs="Arial"/>
          <w:sz w:val="22"/>
          <w:szCs w:val="22"/>
        </w:rPr>
        <w:t>5</w:t>
      </w:r>
      <w:r w:rsidR="00CB0839">
        <w:rPr>
          <w:rFonts w:ascii="Arial" w:hAnsi="Arial" w:cs="Arial"/>
          <w:sz w:val="22"/>
          <w:szCs w:val="22"/>
        </w:rPr>
        <w:t>.</w:t>
      </w:r>
      <w:r w:rsidRPr="000156E8">
        <w:rPr>
          <w:rFonts w:ascii="Arial" w:hAnsi="Arial" w:cs="Arial"/>
          <w:sz w:val="22"/>
          <w:szCs w:val="22"/>
        </w:rPr>
        <w:t xml:space="preserve"> évben a következő számú bevallások kerültek feldolgozásra:</w:t>
      </w:r>
    </w:p>
    <w:p w:rsidR="000156E8" w:rsidRPr="000156E8" w:rsidRDefault="0092666A" w:rsidP="00D53012">
      <w:pPr>
        <w:pStyle w:val="Listaszerbekezds"/>
        <w:numPr>
          <w:ilvl w:val="0"/>
          <w:numId w:val="6"/>
        </w:numPr>
        <w:spacing w:before="120" w:line="259" w:lineRule="auto"/>
        <w:ind w:left="1060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774</w:t>
      </w:r>
      <w:r w:rsidR="000156E8" w:rsidRPr="000156E8">
        <w:rPr>
          <w:rFonts w:ascii="Arial" w:hAnsi="Arial" w:cs="Arial"/>
          <w:sz w:val="22"/>
          <w:szCs w:val="22"/>
        </w:rPr>
        <w:t xml:space="preserve"> db állandó jellegű iparűzési adóbevallás</w:t>
      </w:r>
      <w:r w:rsidR="00CB0839">
        <w:rPr>
          <w:rFonts w:ascii="Arial" w:hAnsi="Arial" w:cs="Arial"/>
          <w:sz w:val="22"/>
          <w:szCs w:val="22"/>
        </w:rPr>
        <w:t>,</w:t>
      </w:r>
    </w:p>
    <w:p w:rsidR="000156E8" w:rsidRPr="000156E8" w:rsidRDefault="0092666A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156E8" w:rsidRPr="000156E8">
        <w:rPr>
          <w:rFonts w:ascii="Arial" w:hAnsi="Arial" w:cs="Arial"/>
          <w:sz w:val="22"/>
          <w:szCs w:val="22"/>
        </w:rPr>
        <w:t xml:space="preserve"> db gépjármű adó mentesség bejelentés</w:t>
      </w:r>
      <w:r w:rsidR="00CB0839">
        <w:rPr>
          <w:rFonts w:ascii="Arial" w:hAnsi="Arial" w:cs="Arial"/>
          <w:sz w:val="22"/>
          <w:szCs w:val="22"/>
        </w:rPr>
        <w:t>,</w:t>
      </w:r>
    </w:p>
    <w:p w:rsidR="000156E8" w:rsidRDefault="0092666A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158E4">
        <w:rPr>
          <w:rFonts w:ascii="Arial" w:hAnsi="Arial" w:cs="Arial"/>
          <w:sz w:val="22"/>
          <w:szCs w:val="22"/>
        </w:rPr>
        <w:t xml:space="preserve">8 </w:t>
      </w:r>
      <w:r w:rsidR="000156E8" w:rsidRPr="008158E4">
        <w:rPr>
          <w:rFonts w:ascii="Arial" w:hAnsi="Arial" w:cs="Arial"/>
          <w:sz w:val="22"/>
          <w:szCs w:val="22"/>
        </w:rPr>
        <w:t>db</w:t>
      </w:r>
      <w:r w:rsidR="000156E8" w:rsidRPr="000156E8">
        <w:rPr>
          <w:rFonts w:ascii="Arial" w:hAnsi="Arial" w:cs="Arial"/>
          <w:sz w:val="22"/>
          <w:szCs w:val="22"/>
        </w:rPr>
        <w:t xml:space="preserve"> magánszemélyek kommunális adóbevallása</w:t>
      </w:r>
      <w:r w:rsidR="00CB0839">
        <w:rPr>
          <w:rFonts w:ascii="Arial" w:hAnsi="Arial" w:cs="Arial"/>
          <w:sz w:val="22"/>
          <w:szCs w:val="22"/>
        </w:rPr>
        <w:t>,</w:t>
      </w:r>
    </w:p>
    <w:p w:rsidR="00D30691" w:rsidRPr="00506369" w:rsidRDefault="0092666A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</w:t>
      </w:r>
      <w:r w:rsidR="00D30691" w:rsidRPr="00506369">
        <w:rPr>
          <w:rFonts w:ascii="Arial" w:hAnsi="Arial" w:cs="Arial"/>
          <w:sz w:val="22"/>
          <w:szCs w:val="22"/>
        </w:rPr>
        <w:t xml:space="preserve"> db talajterhelési díj bevallása</w:t>
      </w:r>
      <w:r w:rsidR="00CB0839">
        <w:rPr>
          <w:rFonts w:ascii="Arial" w:hAnsi="Arial" w:cs="Arial"/>
          <w:sz w:val="22"/>
          <w:szCs w:val="22"/>
        </w:rPr>
        <w:t>.</w:t>
      </w:r>
    </w:p>
    <w:p w:rsidR="002F5AFF" w:rsidRDefault="002F5AFF" w:rsidP="000156E8">
      <w:pPr>
        <w:jc w:val="both"/>
        <w:rPr>
          <w:rFonts w:ascii="Arial" w:hAnsi="Arial" w:cs="Arial"/>
          <w:sz w:val="22"/>
          <w:szCs w:val="22"/>
        </w:rPr>
      </w:pPr>
    </w:p>
    <w:p w:rsidR="000156E8" w:rsidRPr="000156E8" w:rsidRDefault="000156E8" w:rsidP="000156E8">
      <w:pPr>
        <w:jc w:val="both"/>
        <w:rPr>
          <w:rFonts w:ascii="Arial" w:hAnsi="Arial" w:cs="Arial"/>
          <w:sz w:val="22"/>
          <w:szCs w:val="22"/>
        </w:rPr>
      </w:pPr>
      <w:r w:rsidRPr="000156E8">
        <w:rPr>
          <w:rFonts w:ascii="Arial" w:hAnsi="Arial" w:cs="Arial"/>
          <w:sz w:val="22"/>
          <w:szCs w:val="22"/>
        </w:rPr>
        <w:t>201</w:t>
      </w:r>
      <w:r w:rsidR="0092666A">
        <w:rPr>
          <w:rFonts w:ascii="Arial" w:hAnsi="Arial" w:cs="Arial"/>
          <w:sz w:val="22"/>
          <w:szCs w:val="22"/>
        </w:rPr>
        <w:t>5</w:t>
      </w:r>
      <w:r w:rsidR="00CB0839">
        <w:rPr>
          <w:rFonts w:ascii="Arial" w:hAnsi="Arial" w:cs="Arial"/>
          <w:sz w:val="22"/>
          <w:szCs w:val="22"/>
        </w:rPr>
        <w:t>.</w:t>
      </w:r>
      <w:r w:rsidRPr="000156E8">
        <w:rPr>
          <w:rFonts w:ascii="Arial" w:hAnsi="Arial" w:cs="Arial"/>
          <w:sz w:val="22"/>
          <w:szCs w:val="22"/>
        </w:rPr>
        <w:t xml:space="preserve"> évben az adózóknak küldött iratok száma:</w:t>
      </w:r>
    </w:p>
    <w:p w:rsidR="000156E8" w:rsidRPr="000156E8" w:rsidRDefault="000156E8" w:rsidP="00D53012">
      <w:pPr>
        <w:pStyle w:val="Listaszerbekezds"/>
        <w:numPr>
          <w:ilvl w:val="0"/>
          <w:numId w:val="6"/>
        </w:numPr>
        <w:spacing w:before="120" w:line="259" w:lineRule="auto"/>
        <w:ind w:left="1060" w:hanging="357"/>
        <w:contextualSpacing/>
        <w:jc w:val="both"/>
        <w:rPr>
          <w:rFonts w:ascii="Arial" w:hAnsi="Arial" w:cs="Arial"/>
          <w:sz w:val="22"/>
          <w:szCs w:val="22"/>
        </w:rPr>
      </w:pPr>
      <w:r w:rsidRPr="000156E8">
        <w:rPr>
          <w:rFonts w:ascii="Arial" w:hAnsi="Arial" w:cs="Arial"/>
          <w:sz w:val="22"/>
          <w:szCs w:val="22"/>
        </w:rPr>
        <w:t>163</w:t>
      </w:r>
      <w:r w:rsidR="0092666A">
        <w:rPr>
          <w:rFonts w:ascii="Arial" w:hAnsi="Arial" w:cs="Arial"/>
          <w:sz w:val="22"/>
          <w:szCs w:val="22"/>
        </w:rPr>
        <w:t>4</w:t>
      </w:r>
      <w:r w:rsidRPr="000156E8">
        <w:rPr>
          <w:rFonts w:ascii="Arial" w:hAnsi="Arial" w:cs="Arial"/>
          <w:sz w:val="22"/>
          <w:szCs w:val="22"/>
        </w:rPr>
        <w:t xml:space="preserve"> db kiadott határozat</w:t>
      </w:r>
      <w:r w:rsidR="00CB0839">
        <w:rPr>
          <w:rFonts w:ascii="Arial" w:hAnsi="Arial" w:cs="Arial"/>
          <w:sz w:val="22"/>
          <w:szCs w:val="22"/>
        </w:rPr>
        <w:t>,</w:t>
      </w:r>
    </w:p>
    <w:p w:rsidR="000156E8" w:rsidRPr="000156E8" w:rsidRDefault="0092666A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774</w:t>
      </w:r>
      <w:r w:rsidR="000156E8" w:rsidRPr="000156E8">
        <w:rPr>
          <w:rFonts w:ascii="Arial" w:hAnsi="Arial" w:cs="Arial"/>
          <w:sz w:val="22"/>
          <w:szCs w:val="22"/>
        </w:rPr>
        <w:t xml:space="preserve"> db helyi iparűzési adóbevallás feldolgozásáról készült napi számfejtés</w:t>
      </w:r>
      <w:r w:rsidR="00CB0839">
        <w:rPr>
          <w:rFonts w:ascii="Arial" w:hAnsi="Arial" w:cs="Arial"/>
          <w:sz w:val="22"/>
          <w:szCs w:val="22"/>
        </w:rPr>
        <w:t>,</w:t>
      </w:r>
    </w:p>
    <w:p w:rsidR="000156E8" w:rsidRPr="000156E8" w:rsidRDefault="000156E8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56E8">
        <w:rPr>
          <w:rFonts w:ascii="Arial" w:hAnsi="Arial" w:cs="Arial"/>
          <w:sz w:val="22"/>
          <w:szCs w:val="22"/>
        </w:rPr>
        <w:t>1800-2000 db egyenlegértesítő és fizetési felszólítás</w:t>
      </w:r>
      <w:r w:rsidR="00CB0839">
        <w:rPr>
          <w:rFonts w:ascii="Arial" w:hAnsi="Arial" w:cs="Arial"/>
          <w:sz w:val="22"/>
          <w:szCs w:val="22"/>
        </w:rPr>
        <w:t>,</w:t>
      </w:r>
    </w:p>
    <w:p w:rsidR="000156E8" w:rsidRPr="000156E8" w:rsidRDefault="0092666A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</w:t>
      </w:r>
      <w:r w:rsidR="000156E8" w:rsidRPr="000156E8">
        <w:rPr>
          <w:rFonts w:ascii="Arial" w:hAnsi="Arial" w:cs="Arial"/>
          <w:sz w:val="22"/>
          <w:szCs w:val="22"/>
        </w:rPr>
        <w:t xml:space="preserve"> db vállalkozói bevallásra felszólítás</w:t>
      </w:r>
      <w:r w:rsidR="00CB0839">
        <w:rPr>
          <w:rFonts w:ascii="Arial" w:hAnsi="Arial" w:cs="Arial"/>
          <w:sz w:val="22"/>
          <w:szCs w:val="22"/>
        </w:rPr>
        <w:t>,</w:t>
      </w:r>
    </w:p>
    <w:p w:rsidR="000156E8" w:rsidRPr="000156E8" w:rsidRDefault="0092666A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740</w:t>
      </w:r>
      <w:r w:rsidR="000156E8" w:rsidRPr="000156E8">
        <w:rPr>
          <w:rFonts w:ascii="Arial" w:hAnsi="Arial" w:cs="Arial"/>
          <w:sz w:val="22"/>
          <w:szCs w:val="22"/>
        </w:rPr>
        <w:t xml:space="preserve"> db hátralékos felszólítás</w:t>
      </w:r>
      <w:r w:rsidR="00CB0839">
        <w:rPr>
          <w:rFonts w:ascii="Arial" w:hAnsi="Arial" w:cs="Arial"/>
          <w:sz w:val="22"/>
          <w:szCs w:val="22"/>
        </w:rPr>
        <w:t>,</w:t>
      </w:r>
    </w:p>
    <w:p w:rsidR="000156E8" w:rsidRPr="000156E8" w:rsidRDefault="000156E8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56E8">
        <w:rPr>
          <w:rFonts w:ascii="Arial" w:hAnsi="Arial" w:cs="Arial"/>
          <w:sz w:val="22"/>
          <w:szCs w:val="22"/>
        </w:rPr>
        <w:t>2</w:t>
      </w:r>
      <w:r w:rsidR="0092666A">
        <w:rPr>
          <w:rFonts w:ascii="Arial" w:hAnsi="Arial" w:cs="Arial"/>
          <w:sz w:val="22"/>
          <w:szCs w:val="22"/>
        </w:rPr>
        <w:t>42</w:t>
      </w:r>
      <w:r w:rsidRPr="000156E8">
        <w:rPr>
          <w:rFonts w:ascii="Arial" w:hAnsi="Arial" w:cs="Arial"/>
          <w:sz w:val="22"/>
          <w:szCs w:val="22"/>
        </w:rPr>
        <w:t xml:space="preserve"> db adók módjára behajtandó köztartozás megkeresés iratai</w:t>
      </w:r>
      <w:r w:rsidR="00CB0839">
        <w:rPr>
          <w:rFonts w:ascii="Arial" w:hAnsi="Arial" w:cs="Arial"/>
          <w:sz w:val="22"/>
          <w:szCs w:val="22"/>
        </w:rPr>
        <w:t>,</w:t>
      </w:r>
    </w:p>
    <w:p w:rsidR="000156E8" w:rsidRPr="000156E8" w:rsidRDefault="000156E8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56E8">
        <w:rPr>
          <w:rFonts w:ascii="Arial" w:hAnsi="Arial" w:cs="Arial"/>
          <w:sz w:val="22"/>
          <w:szCs w:val="22"/>
        </w:rPr>
        <w:t>8 db méltányossági eljárás került lefolytatásra.</w:t>
      </w:r>
    </w:p>
    <w:p w:rsidR="000156E8" w:rsidRPr="000156E8" w:rsidRDefault="000156E8" w:rsidP="000156E8">
      <w:pPr>
        <w:jc w:val="both"/>
        <w:rPr>
          <w:rFonts w:ascii="Arial" w:hAnsi="Arial" w:cs="Arial"/>
          <w:sz w:val="22"/>
          <w:szCs w:val="22"/>
        </w:rPr>
      </w:pPr>
    </w:p>
    <w:p w:rsidR="00D24373" w:rsidRDefault="00D2437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Bevételek alakulása 201</w:t>
      </w:r>
      <w:r w:rsidR="0092666A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-ben:</w:t>
      </w:r>
    </w:p>
    <w:p w:rsidR="00D24373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24373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adóigazgatás hatékony és jó munkája kulcsfontosságú az önkormányzat számára. A beszedett ad</w:t>
      </w:r>
      <w:r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forintok adják az önkormányzat saját bevételeinek döntő többségét, így meghatározzák az önkormán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zati költségvetés finanszírozhatóságát.</w:t>
      </w:r>
    </w:p>
    <w:p w:rsidR="00D24373" w:rsidRDefault="00D24373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700"/>
        <w:gridCol w:w="1780"/>
        <w:gridCol w:w="1680"/>
        <w:gridCol w:w="1860"/>
      </w:tblGrid>
      <w:tr w:rsidR="0092666A" w:rsidRPr="0092666A" w:rsidTr="0092666A">
        <w:trPr>
          <w:trHeight w:val="300"/>
        </w:trPr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CB0839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 xml:space="preserve">Önkormányzat összesen                 </w:t>
            </w:r>
            <w:proofErr w:type="gramStart"/>
            <w:r w:rsidRPr="0092666A">
              <w:rPr>
                <w:b/>
                <w:bCs/>
                <w:color w:val="000000"/>
                <w:szCs w:val="24"/>
                <w:lang w:eastAsia="hu-HU"/>
              </w:rPr>
              <w:t>( e</w:t>
            </w:r>
            <w:proofErr w:type="gramEnd"/>
            <w:r w:rsidRPr="0092666A">
              <w:rPr>
                <w:b/>
                <w:bCs/>
                <w:color w:val="000000"/>
                <w:szCs w:val="24"/>
                <w:lang w:eastAsia="hu-HU"/>
              </w:rPr>
              <w:t xml:space="preserve"> Ft)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Helyi adó</w:t>
            </w:r>
            <w:proofErr w:type="gramStart"/>
            <w:r w:rsidRPr="0092666A">
              <w:rPr>
                <w:b/>
                <w:bCs/>
                <w:color w:val="000000"/>
                <w:szCs w:val="24"/>
                <w:lang w:eastAsia="hu-HU"/>
              </w:rPr>
              <w:t>:        (</w:t>
            </w:r>
            <w:proofErr w:type="gramEnd"/>
            <w:r w:rsidRPr="0092666A">
              <w:rPr>
                <w:b/>
                <w:bCs/>
                <w:color w:val="000000"/>
                <w:szCs w:val="24"/>
                <w:lang w:eastAsia="hu-HU"/>
              </w:rPr>
              <w:t>e Ft)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 xml:space="preserve">Helyi adóból </w:t>
            </w:r>
          </w:p>
        </w:tc>
      </w:tr>
      <w:tr w:rsidR="0092666A" w:rsidRPr="0092666A" w:rsidTr="0092666A">
        <w:trPr>
          <w:trHeight w:val="300"/>
        </w:trPr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CB0839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92666A" w:rsidRPr="0092666A" w:rsidTr="0092666A">
        <w:trPr>
          <w:trHeight w:val="315"/>
        </w:trPr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CB0839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92666A" w:rsidRPr="0092666A" w:rsidTr="0092666A">
        <w:trPr>
          <w:trHeight w:val="945"/>
        </w:trPr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CB0839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 xml:space="preserve">Iparűzési </w:t>
            </w:r>
            <w:proofErr w:type="gramStart"/>
            <w:r w:rsidRPr="0092666A">
              <w:rPr>
                <w:b/>
                <w:bCs/>
                <w:color w:val="000000"/>
                <w:szCs w:val="24"/>
                <w:lang w:eastAsia="hu-HU"/>
              </w:rPr>
              <w:t>adó     (</w:t>
            </w:r>
            <w:proofErr w:type="gramEnd"/>
            <w:r w:rsidRPr="0092666A">
              <w:rPr>
                <w:b/>
                <w:bCs/>
                <w:color w:val="000000"/>
                <w:szCs w:val="24"/>
                <w:lang w:eastAsia="hu-HU"/>
              </w:rPr>
              <w:t>e Ft)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 xml:space="preserve">  Gépjármű </w:t>
            </w:r>
            <w:proofErr w:type="gramStart"/>
            <w:r w:rsidRPr="0092666A">
              <w:rPr>
                <w:b/>
                <w:bCs/>
                <w:color w:val="000000"/>
                <w:szCs w:val="24"/>
                <w:lang w:eastAsia="hu-HU"/>
              </w:rPr>
              <w:t>adó               (</w:t>
            </w:r>
            <w:proofErr w:type="gramEnd"/>
            <w:r w:rsidRPr="0092666A">
              <w:rPr>
                <w:b/>
                <w:bCs/>
                <w:color w:val="000000"/>
                <w:szCs w:val="24"/>
                <w:lang w:eastAsia="hu-HU"/>
              </w:rPr>
              <w:t>e Ft)                                                       (40% önk.)</w:t>
            </w:r>
          </w:p>
        </w:tc>
      </w:tr>
      <w:tr w:rsidR="0092666A" w:rsidRPr="0092666A" w:rsidTr="00B016B2">
        <w:trPr>
          <w:trHeight w:val="60"/>
        </w:trPr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CB0839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</w:tr>
      <w:tr w:rsidR="0092666A" w:rsidRPr="0092666A" w:rsidTr="00CB0839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2666A" w:rsidRPr="00CB0839" w:rsidRDefault="0092666A" w:rsidP="00CB0839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CB0839">
              <w:rPr>
                <w:color w:val="000000"/>
                <w:szCs w:val="24"/>
                <w:lang w:eastAsia="hu-HU"/>
              </w:rPr>
              <w:t>Hátralék 2015.01.01-én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2666A" w:rsidRPr="00CB0839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CB0839">
              <w:rPr>
                <w:color w:val="000000"/>
                <w:szCs w:val="24"/>
                <w:lang w:eastAsia="hu-HU"/>
              </w:rPr>
              <w:t>85 480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2666A" w:rsidRPr="00CB0839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CB0839">
              <w:rPr>
                <w:color w:val="000000"/>
                <w:szCs w:val="24"/>
                <w:lang w:eastAsia="hu-HU"/>
              </w:rPr>
              <w:t>36 758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2666A" w:rsidRPr="00CB0839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CB0839">
              <w:rPr>
                <w:color w:val="000000"/>
                <w:szCs w:val="24"/>
                <w:lang w:eastAsia="hu-HU"/>
              </w:rPr>
              <w:t>28 516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CB0839">
              <w:rPr>
                <w:color w:val="000000"/>
                <w:szCs w:val="24"/>
                <w:lang w:eastAsia="hu-HU"/>
              </w:rPr>
              <w:t>11 214 (4 486)</w:t>
            </w:r>
          </w:p>
        </w:tc>
      </w:tr>
      <w:tr w:rsidR="0092666A" w:rsidRPr="0092666A" w:rsidTr="0092666A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CB0839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Folyó évi előírás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335 613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291 374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258 586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40 578</w:t>
            </w:r>
          </w:p>
        </w:tc>
      </w:tr>
      <w:tr w:rsidR="0092666A" w:rsidRPr="0092666A" w:rsidTr="0092666A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CB0839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Követelések összesen</w:t>
            </w:r>
            <w:proofErr w:type="gramStart"/>
            <w:r w:rsidRPr="0092666A">
              <w:rPr>
                <w:b/>
                <w:bCs/>
                <w:color w:val="000000"/>
                <w:szCs w:val="24"/>
                <w:lang w:eastAsia="hu-HU"/>
              </w:rPr>
              <w:t>:  (</w:t>
            </w:r>
            <w:proofErr w:type="gramEnd"/>
            <w:r w:rsidRPr="0092666A">
              <w:rPr>
                <w:b/>
                <w:bCs/>
                <w:color w:val="000000"/>
                <w:szCs w:val="24"/>
                <w:lang w:eastAsia="hu-HU"/>
              </w:rPr>
              <w:t>hátralék + folyó</w:t>
            </w:r>
            <w:r w:rsidR="00772565">
              <w:rPr>
                <w:b/>
                <w:bCs/>
                <w:color w:val="000000"/>
                <w:szCs w:val="24"/>
                <w:lang w:eastAsia="hu-HU"/>
              </w:rPr>
              <w:t xml:space="preserve"> </w:t>
            </w:r>
            <w:r w:rsidRPr="0092666A">
              <w:rPr>
                <w:b/>
                <w:bCs/>
                <w:color w:val="000000"/>
                <w:szCs w:val="24"/>
                <w:lang w:eastAsia="hu-HU"/>
              </w:rPr>
              <w:t>év)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421 093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328 132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287 102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51 792</w:t>
            </w:r>
          </w:p>
        </w:tc>
      </w:tr>
      <w:tr w:rsidR="0092666A" w:rsidRPr="0092666A" w:rsidTr="0092666A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CB0839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Befizetés összesen: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286 953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243 450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211 200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41 161</w:t>
            </w:r>
          </w:p>
        </w:tc>
      </w:tr>
      <w:tr w:rsidR="0092666A" w:rsidRPr="0092666A" w:rsidTr="0092666A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CB0839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Követelés-befizetés aránya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68%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74%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74%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79%</w:t>
            </w:r>
          </w:p>
        </w:tc>
      </w:tr>
      <w:tr w:rsidR="0092666A" w:rsidRPr="0092666A" w:rsidTr="0092666A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CB0839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proofErr w:type="gramStart"/>
            <w:r w:rsidRPr="0092666A">
              <w:rPr>
                <w:color w:val="000000"/>
                <w:szCs w:val="24"/>
                <w:lang w:eastAsia="hu-HU"/>
              </w:rPr>
              <w:t>Túlfizetés(</w:t>
            </w:r>
            <w:proofErr w:type="gramEnd"/>
            <w:r w:rsidRPr="0092666A">
              <w:rPr>
                <w:color w:val="000000"/>
                <w:szCs w:val="24"/>
                <w:lang w:eastAsia="hu-HU"/>
              </w:rPr>
              <w:t>előző év + folyó</w:t>
            </w:r>
            <w:r w:rsidR="00772565">
              <w:rPr>
                <w:color w:val="000000"/>
                <w:szCs w:val="24"/>
                <w:lang w:eastAsia="hu-HU"/>
              </w:rPr>
              <w:t xml:space="preserve"> </w:t>
            </w:r>
            <w:r w:rsidRPr="0092666A">
              <w:rPr>
                <w:color w:val="000000"/>
                <w:szCs w:val="24"/>
                <w:lang w:eastAsia="hu-HU"/>
              </w:rPr>
              <w:t>év</w:t>
            </w:r>
            <w:r w:rsidR="00772565">
              <w:rPr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66 403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63 996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62 938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1 740</w:t>
            </w:r>
          </w:p>
        </w:tc>
      </w:tr>
      <w:tr w:rsidR="0092666A" w:rsidRPr="0092666A" w:rsidTr="0092666A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CB0839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Előző évi túlfizetésből vi</w:t>
            </w:r>
            <w:r w:rsidRPr="0092666A">
              <w:rPr>
                <w:color w:val="000000"/>
                <w:szCs w:val="24"/>
                <w:lang w:eastAsia="hu-HU"/>
              </w:rPr>
              <w:t>s</w:t>
            </w:r>
            <w:r w:rsidRPr="0092666A">
              <w:rPr>
                <w:color w:val="000000"/>
                <w:szCs w:val="24"/>
                <w:lang w:eastAsia="hu-HU"/>
              </w:rPr>
              <w:t>szafizetés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4 281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4 233,0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4 123,0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45</w:t>
            </w:r>
          </w:p>
        </w:tc>
      </w:tr>
      <w:tr w:rsidR="0092666A" w:rsidRPr="0092666A" w:rsidTr="00CB0839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2666A" w:rsidRPr="0092666A" w:rsidRDefault="0092666A" w:rsidP="00CB0839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Hátralék 2015.</w:t>
            </w:r>
            <w:r w:rsidR="00CB0839">
              <w:rPr>
                <w:color w:val="000000"/>
                <w:szCs w:val="24"/>
                <w:lang w:eastAsia="hu-HU"/>
              </w:rPr>
              <w:t>12</w:t>
            </w:r>
            <w:r w:rsidRPr="0092666A">
              <w:rPr>
                <w:color w:val="000000"/>
                <w:szCs w:val="24"/>
                <w:lang w:eastAsia="hu-HU"/>
              </w:rPr>
              <w:t>.31-én</w:t>
            </w:r>
          </w:p>
        </w:tc>
        <w:tc>
          <w:tcPr>
            <w:tcW w:w="1700" w:type="dxa"/>
            <w:tcBorders>
              <w:top w:val="nil"/>
              <w:left w:val="nil"/>
              <w:bottom w:val="thinThickSmallGap" w:sz="2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71 196</w:t>
            </w:r>
          </w:p>
        </w:tc>
        <w:tc>
          <w:tcPr>
            <w:tcW w:w="1780" w:type="dxa"/>
            <w:tcBorders>
              <w:top w:val="nil"/>
              <w:left w:val="nil"/>
              <w:bottom w:val="thinThickSmallGap" w:sz="2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46 751</w:t>
            </w:r>
          </w:p>
        </w:tc>
        <w:tc>
          <w:tcPr>
            <w:tcW w:w="1680" w:type="dxa"/>
            <w:tcBorders>
              <w:top w:val="nil"/>
              <w:left w:val="nil"/>
              <w:bottom w:val="thinThickSmallGap" w:sz="2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38 443</w:t>
            </w:r>
          </w:p>
        </w:tc>
        <w:tc>
          <w:tcPr>
            <w:tcW w:w="1860" w:type="dxa"/>
            <w:tcBorders>
              <w:top w:val="nil"/>
              <w:left w:val="nil"/>
              <w:bottom w:val="thinThickSmallGap" w:sz="2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92666A">
              <w:rPr>
                <w:color w:val="000000"/>
                <w:szCs w:val="24"/>
                <w:lang w:eastAsia="hu-HU"/>
              </w:rPr>
              <w:t>10 076 (4 030)</w:t>
            </w:r>
          </w:p>
        </w:tc>
      </w:tr>
      <w:tr w:rsidR="0092666A" w:rsidRPr="0092666A" w:rsidTr="00CB0839">
        <w:trPr>
          <w:trHeight w:val="645"/>
        </w:trPr>
        <w:tc>
          <w:tcPr>
            <w:tcW w:w="2900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2666A" w:rsidRPr="0092666A" w:rsidRDefault="0092666A" w:rsidP="00CB0839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Önkormányzatnál maradó adó összesen:</w:t>
            </w:r>
          </w:p>
        </w:tc>
        <w:tc>
          <w:tcPr>
            <w:tcW w:w="1700" w:type="dxa"/>
            <w:tcBorders>
              <w:top w:val="thinThickSmallGap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292 939</w:t>
            </w:r>
          </w:p>
        </w:tc>
        <w:tc>
          <w:tcPr>
            <w:tcW w:w="1780" w:type="dxa"/>
            <w:tcBorders>
              <w:top w:val="thinThickSmallGap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291 638</w:t>
            </w:r>
          </w:p>
        </w:tc>
        <w:tc>
          <w:tcPr>
            <w:tcW w:w="1680" w:type="dxa"/>
            <w:tcBorders>
              <w:top w:val="thinThickSmallGap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242 648</w:t>
            </w:r>
          </w:p>
        </w:tc>
        <w:tc>
          <w:tcPr>
            <w:tcW w:w="1860" w:type="dxa"/>
            <w:tcBorders>
              <w:top w:val="thinThickSmallGap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2666A" w:rsidRPr="0092666A" w:rsidRDefault="0092666A" w:rsidP="0092666A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2666A">
              <w:rPr>
                <w:b/>
                <w:bCs/>
                <w:color w:val="000000"/>
                <w:szCs w:val="24"/>
                <w:lang w:eastAsia="hu-HU"/>
              </w:rPr>
              <w:t>15 741</w:t>
            </w:r>
          </w:p>
        </w:tc>
      </w:tr>
    </w:tbl>
    <w:p w:rsidR="00D24373" w:rsidRDefault="00D24373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4373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E1314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Fenti táblázatból jól látható, hogy az adó megfizettetése és behajthatósága </w:t>
      </w:r>
      <w:r w:rsidR="009E272C">
        <w:rPr>
          <w:rFonts w:ascii="Arial" w:hAnsi="Arial" w:cs="Arial"/>
          <w:sz w:val="22"/>
          <w:szCs w:val="22"/>
        </w:rPr>
        <w:t>–</w:t>
      </w:r>
      <w:r w:rsidR="00CB0839">
        <w:rPr>
          <w:rFonts w:ascii="Arial" w:hAnsi="Arial" w:cs="Arial"/>
          <w:sz w:val="22"/>
          <w:szCs w:val="22"/>
        </w:rPr>
        <w:t xml:space="preserve"> </w:t>
      </w:r>
      <w:r w:rsidR="009E272C">
        <w:rPr>
          <w:rFonts w:ascii="Arial" w:hAnsi="Arial" w:cs="Arial"/>
          <w:sz w:val="22"/>
          <w:szCs w:val="22"/>
        </w:rPr>
        <w:t>hasonlóan az elmúlt éve</w:t>
      </w:r>
      <w:r w:rsidR="009E272C">
        <w:rPr>
          <w:rFonts w:ascii="Arial" w:hAnsi="Arial" w:cs="Arial"/>
          <w:sz w:val="22"/>
          <w:szCs w:val="22"/>
        </w:rPr>
        <w:t>k</w:t>
      </w:r>
      <w:r w:rsidR="009E272C">
        <w:rPr>
          <w:rFonts w:ascii="Arial" w:hAnsi="Arial" w:cs="Arial"/>
          <w:sz w:val="22"/>
          <w:szCs w:val="22"/>
        </w:rPr>
        <w:t>hez képest – igen nehéz feladat</w:t>
      </w:r>
      <w:r>
        <w:rPr>
          <w:rFonts w:ascii="Arial" w:hAnsi="Arial" w:cs="Arial"/>
          <w:sz w:val="22"/>
          <w:szCs w:val="22"/>
        </w:rPr>
        <w:t>, tekintettel arra, hogy a térségben kevés a munkavállalási lehető</w:t>
      </w:r>
      <w:r w:rsidR="009E272C">
        <w:rPr>
          <w:rFonts w:ascii="Arial" w:hAnsi="Arial" w:cs="Arial"/>
          <w:sz w:val="22"/>
          <w:szCs w:val="22"/>
        </w:rPr>
        <w:t>ség, e</w:t>
      </w:r>
      <w:r>
        <w:rPr>
          <w:rFonts w:ascii="Arial" w:hAnsi="Arial" w:cs="Arial"/>
          <w:sz w:val="22"/>
          <w:szCs w:val="22"/>
        </w:rPr>
        <w:t>bből adódóan a lakosság közteherviselése is problémákat</w:t>
      </w:r>
      <w:r w:rsidR="009E272C">
        <w:rPr>
          <w:rFonts w:ascii="Arial" w:hAnsi="Arial" w:cs="Arial"/>
          <w:sz w:val="22"/>
          <w:szCs w:val="22"/>
        </w:rPr>
        <w:t xml:space="preserve"> okoz.</w:t>
      </w:r>
      <w:r w:rsidR="007A6173">
        <w:rPr>
          <w:rFonts w:ascii="Arial" w:hAnsi="Arial" w:cs="Arial"/>
          <w:sz w:val="22"/>
          <w:szCs w:val="22"/>
        </w:rPr>
        <w:t xml:space="preserve"> </w:t>
      </w:r>
    </w:p>
    <w:p w:rsidR="00D24373" w:rsidRPr="00FA53A1" w:rsidRDefault="00930C97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1D7D1B">
        <w:rPr>
          <w:rFonts w:ascii="Arial" w:hAnsi="Arial" w:cs="Arial"/>
          <w:b/>
          <w:sz w:val="22"/>
          <w:szCs w:val="22"/>
        </w:rPr>
        <w:t>Ennek ellenére 201</w:t>
      </w:r>
      <w:r w:rsidR="00B016B2" w:rsidRPr="001D7D1B">
        <w:rPr>
          <w:rFonts w:ascii="Arial" w:hAnsi="Arial" w:cs="Arial"/>
          <w:b/>
          <w:sz w:val="22"/>
          <w:szCs w:val="22"/>
        </w:rPr>
        <w:t>5</w:t>
      </w:r>
      <w:r w:rsidRPr="001D7D1B">
        <w:rPr>
          <w:rFonts w:ascii="Arial" w:hAnsi="Arial" w:cs="Arial"/>
          <w:b/>
          <w:sz w:val="22"/>
          <w:szCs w:val="22"/>
        </w:rPr>
        <w:t>. évben</w:t>
      </w:r>
      <w:r w:rsidR="006B3CAD" w:rsidRPr="001D7D1B">
        <w:rPr>
          <w:rFonts w:ascii="Arial" w:hAnsi="Arial" w:cs="Arial"/>
          <w:b/>
          <w:sz w:val="22"/>
          <w:szCs w:val="22"/>
        </w:rPr>
        <w:t xml:space="preserve"> 1</w:t>
      </w:r>
      <w:r w:rsidR="00B016B2" w:rsidRPr="001D7D1B">
        <w:rPr>
          <w:rFonts w:ascii="Arial" w:hAnsi="Arial" w:cs="Arial"/>
          <w:b/>
          <w:sz w:val="22"/>
          <w:szCs w:val="22"/>
        </w:rPr>
        <w:t>4.284.000</w:t>
      </w:r>
      <w:r w:rsidR="006B3CAD" w:rsidRPr="001D7D1B">
        <w:rPr>
          <w:rFonts w:ascii="Arial" w:hAnsi="Arial" w:cs="Arial"/>
          <w:b/>
          <w:sz w:val="22"/>
          <w:szCs w:val="22"/>
        </w:rPr>
        <w:t>,</w:t>
      </w:r>
      <w:proofErr w:type="spellStart"/>
      <w:r w:rsidR="006B3CAD" w:rsidRPr="001D7D1B">
        <w:rPr>
          <w:rFonts w:ascii="Arial" w:hAnsi="Arial" w:cs="Arial"/>
          <w:b/>
          <w:sz w:val="22"/>
          <w:szCs w:val="22"/>
        </w:rPr>
        <w:t>-</w:t>
      </w:r>
      <w:r w:rsidRPr="001D7D1B">
        <w:rPr>
          <w:rFonts w:ascii="Arial" w:hAnsi="Arial" w:cs="Arial"/>
          <w:b/>
          <w:sz w:val="22"/>
          <w:szCs w:val="22"/>
        </w:rPr>
        <w:t>Ft-tal</w:t>
      </w:r>
      <w:proofErr w:type="spellEnd"/>
      <w:r w:rsidR="00FA53A1" w:rsidRPr="001D7D1B">
        <w:rPr>
          <w:rFonts w:ascii="Arial" w:hAnsi="Arial" w:cs="Arial"/>
          <w:b/>
          <w:sz w:val="22"/>
          <w:szCs w:val="22"/>
        </w:rPr>
        <w:t xml:space="preserve"> (</w:t>
      </w:r>
      <w:proofErr w:type="gramStart"/>
      <w:r w:rsidR="00FA53A1" w:rsidRPr="001D7D1B">
        <w:rPr>
          <w:rFonts w:ascii="Arial" w:hAnsi="Arial" w:cs="Arial"/>
          <w:b/>
          <w:sz w:val="22"/>
          <w:szCs w:val="22"/>
        </w:rPr>
        <w:t>!!!</w:t>
      </w:r>
      <w:proofErr w:type="gramEnd"/>
      <w:r w:rsidR="00FA53A1" w:rsidRPr="001D7D1B">
        <w:rPr>
          <w:rFonts w:ascii="Arial" w:hAnsi="Arial" w:cs="Arial"/>
          <w:b/>
          <w:sz w:val="22"/>
          <w:szCs w:val="22"/>
        </w:rPr>
        <w:t>)</w:t>
      </w:r>
      <w:r w:rsidRPr="001D7D1B">
        <w:rPr>
          <w:rFonts w:ascii="Arial" w:hAnsi="Arial" w:cs="Arial"/>
          <w:b/>
          <w:sz w:val="22"/>
          <w:szCs w:val="22"/>
        </w:rPr>
        <w:t>tudtuk a kintlévőségeinket csökkenteni.</w:t>
      </w:r>
    </w:p>
    <w:p w:rsidR="00DD5AD1" w:rsidRPr="00B32713" w:rsidRDefault="00DD5AD1" w:rsidP="00DD5AD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32713">
        <w:rPr>
          <w:rFonts w:ascii="Arial" w:hAnsi="Arial" w:cs="Arial"/>
          <w:b/>
          <w:sz w:val="22"/>
          <w:szCs w:val="22"/>
        </w:rPr>
        <w:lastRenderedPageBreak/>
        <w:t xml:space="preserve">Adónemenként vizsgálva az adóbeszedés az alábbiak szerint alakult: </w:t>
      </w:r>
    </w:p>
    <w:p w:rsidR="00DD5AD1" w:rsidRPr="00B32713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D5AD1" w:rsidRPr="00B32713" w:rsidRDefault="00DD5AD1" w:rsidP="00DD5AD1">
      <w:pPr>
        <w:pStyle w:val="Cmsor1"/>
        <w:jc w:val="both"/>
        <w:rPr>
          <w:rFonts w:ascii="Arial" w:hAnsi="Arial" w:cs="Arial"/>
          <w:sz w:val="22"/>
          <w:szCs w:val="22"/>
        </w:rPr>
      </w:pPr>
      <w:r w:rsidRPr="00B32713">
        <w:rPr>
          <w:rFonts w:ascii="Arial" w:hAnsi="Arial" w:cs="Arial"/>
          <w:sz w:val="22"/>
          <w:szCs w:val="22"/>
        </w:rPr>
        <w:t>1.) Építményadó</w:t>
      </w:r>
      <w:r w:rsidR="007F0043" w:rsidRPr="00B32713">
        <w:rPr>
          <w:rFonts w:ascii="Arial" w:hAnsi="Arial" w:cs="Arial"/>
          <w:sz w:val="22"/>
          <w:szCs w:val="22"/>
        </w:rPr>
        <w:t xml:space="preserve">, </w:t>
      </w:r>
      <w:r w:rsidR="00261847" w:rsidRPr="00B32713">
        <w:rPr>
          <w:rFonts w:ascii="Arial" w:hAnsi="Arial" w:cs="Arial"/>
          <w:sz w:val="22"/>
          <w:szCs w:val="22"/>
        </w:rPr>
        <w:t>telekadó</w:t>
      </w:r>
      <w:r w:rsidR="007F0043" w:rsidRPr="00B32713">
        <w:rPr>
          <w:rFonts w:ascii="Arial" w:hAnsi="Arial" w:cs="Arial"/>
          <w:sz w:val="22"/>
          <w:szCs w:val="22"/>
        </w:rPr>
        <w:t xml:space="preserve"> és</w:t>
      </w:r>
      <w:r w:rsidR="00261847" w:rsidRPr="00B32713">
        <w:rPr>
          <w:rFonts w:ascii="Arial" w:hAnsi="Arial" w:cs="Arial"/>
          <w:sz w:val="22"/>
          <w:szCs w:val="22"/>
        </w:rPr>
        <w:t xml:space="preserve"> vállalkozók kommunális adója</w:t>
      </w:r>
    </w:p>
    <w:p w:rsidR="00DD5AD1" w:rsidRPr="00B32713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D5AD1" w:rsidRPr="00B32713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32713">
        <w:rPr>
          <w:rFonts w:ascii="Arial" w:hAnsi="Arial" w:cs="Arial"/>
          <w:sz w:val="22"/>
          <w:szCs w:val="22"/>
        </w:rPr>
        <w:t xml:space="preserve">Az Önkormányzat 2007-től nem adóztatja az építményeket, a telekadó pedig 1999. évtől megszűnt, </w:t>
      </w:r>
      <w:r w:rsidR="00261847" w:rsidRPr="00B32713">
        <w:rPr>
          <w:rFonts w:ascii="Arial" w:hAnsi="Arial" w:cs="Arial"/>
          <w:sz w:val="22"/>
          <w:szCs w:val="22"/>
        </w:rPr>
        <w:t>a vállalkozók kommunális adója adónemet 2010.12.31-vel törölt</w:t>
      </w:r>
      <w:r w:rsidR="007F0043" w:rsidRPr="00B32713">
        <w:rPr>
          <w:rFonts w:ascii="Arial" w:hAnsi="Arial" w:cs="Arial"/>
          <w:sz w:val="22"/>
          <w:szCs w:val="22"/>
        </w:rPr>
        <w:t>é</w:t>
      </w:r>
      <w:r w:rsidR="00261847" w:rsidRPr="00B32713">
        <w:rPr>
          <w:rFonts w:ascii="Arial" w:hAnsi="Arial" w:cs="Arial"/>
          <w:sz w:val="22"/>
          <w:szCs w:val="22"/>
        </w:rPr>
        <w:t xml:space="preserve">k a </w:t>
      </w:r>
      <w:r w:rsidR="00CB0839">
        <w:rPr>
          <w:rFonts w:ascii="Arial" w:hAnsi="Arial" w:cs="Arial"/>
          <w:sz w:val="22"/>
          <w:szCs w:val="22"/>
        </w:rPr>
        <w:t>h</w:t>
      </w:r>
      <w:r w:rsidR="00261847" w:rsidRPr="00B32713">
        <w:rPr>
          <w:rFonts w:ascii="Arial" w:hAnsi="Arial" w:cs="Arial"/>
          <w:sz w:val="22"/>
          <w:szCs w:val="22"/>
        </w:rPr>
        <w:t>elyi adó</w:t>
      </w:r>
      <w:r w:rsidR="00CB0839">
        <w:rPr>
          <w:rFonts w:ascii="Arial" w:hAnsi="Arial" w:cs="Arial"/>
          <w:sz w:val="22"/>
          <w:szCs w:val="22"/>
        </w:rPr>
        <w:t>król szóló 1990. évi C.</w:t>
      </w:r>
      <w:r w:rsidR="00261847" w:rsidRPr="00B32713">
        <w:rPr>
          <w:rFonts w:ascii="Arial" w:hAnsi="Arial" w:cs="Arial"/>
          <w:sz w:val="22"/>
          <w:szCs w:val="22"/>
        </w:rPr>
        <w:t xml:space="preserve"> tö</w:t>
      </w:r>
      <w:r w:rsidR="00261847" w:rsidRPr="00B32713">
        <w:rPr>
          <w:rFonts w:ascii="Arial" w:hAnsi="Arial" w:cs="Arial"/>
          <w:sz w:val="22"/>
          <w:szCs w:val="22"/>
        </w:rPr>
        <w:t>r</w:t>
      </w:r>
      <w:r w:rsidR="00261847" w:rsidRPr="00B32713">
        <w:rPr>
          <w:rFonts w:ascii="Arial" w:hAnsi="Arial" w:cs="Arial"/>
          <w:sz w:val="22"/>
          <w:szCs w:val="22"/>
        </w:rPr>
        <w:t>vényből</w:t>
      </w:r>
      <w:r w:rsidR="007F0043" w:rsidRPr="00B32713">
        <w:rPr>
          <w:rFonts w:ascii="Arial" w:hAnsi="Arial" w:cs="Arial"/>
          <w:sz w:val="22"/>
          <w:szCs w:val="22"/>
        </w:rPr>
        <w:t>,</w:t>
      </w:r>
      <w:r w:rsidR="00CB0839">
        <w:rPr>
          <w:rFonts w:ascii="Arial" w:hAnsi="Arial" w:cs="Arial"/>
          <w:sz w:val="22"/>
          <w:szCs w:val="22"/>
        </w:rPr>
        <w:t xml:space="preserve"> </w:t>
      </w:r>
      <w:r w:rsidRPr="00B32713">
        <w:rPr>
          <w:rFonts w:ascii="Arial" w:hAnsi="Arial" w:cs="Arial"/>
          <w:sz w:val="22"/>
          <w:szCs w:val="22"/>
        </w:rPr>
        <w:t xml:space="preserve">azonban a számlán fennálló hátralék miatt nyilvántartása még kötelező. </w:t>
      </w:r>
    </w:p>
    <w:p w:rsidR="00DD5AD1" w:rsidRPr="00FF4DAC" w:rsidRDefault="00DD5AD1" w:rsidP="00DD5AD1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D5AD1" w:rsidRPr="0099780E" w:rsidRDefault="00261847" w:rsidP="00DD5AD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9780E">
        <w:rPr>
          <w:rFonts w:ascii="Arial" w:hAnsi="Arial" w:cs="Arial"/>
          <w:b/>
          <w:sz w:val="22"/>
          <w:szCs w:val="22"/>
        </w:rPr>
        <w:t>2</w:t>
      </w:r>
      <w:r w:rsidR="00DD5AD1" w:rsidRPr="0099780E">
        <w:rPr>
          <w:rFonts w:ascii="Arial" w:hAnsi="Arial" w:cs="Arial"/>
          <w:b/>
          <w:sz w:val="22"/>
          <w:szCs w:val="22"/>
        </w:rPr>
        <w:t>.) Magánszemélyek kommunális adója</w:t>
      </w:r>
    </w:p>
    <w:p w:rsidR="00DD5AD1" w:rsidRPr="0099780E" w:rsidRDefault="00DD5AD1" w:rsidP="00DD5AD1">
      <w:pPr>
        <w:pStyle w:val="Cmsor2"/>
        <w:jc w:val="both"/>
        <w:rPr>
          <w:b w:val="0"/>
          <w:i w:val="0"/>
          <w:sz w:val="22"/>
          <w:szCs w:val="22"/>
        </w:rPr>
      </w:pPr>
      <w:r w:rsidRPr="0099780E">
        <w:rPr>
          <w:b w:val="0"/>
          <w:i w:val="0"/>
          <w:sz w:val="22"/>
          <w:szCs w:val="22"/>
        </w:rPr>
        <w:t xml:space="preserve">Magánszemélyek kommunális adójának éves mértéke </w:t>
      </w:r>
      <w:r w:rsidR="00261847" w:rsidRPr="0099780E">
        <w:rPr>
          <w:b w:val="0"/>
          <w:i w:val="0"/>
          <w:sz w:val="22"/>
          <w:szCs w:val="22"/>
        </w:rPr>
        <w:t>13</w:t>
      </w:r>
      <w:r w:rsidR="00CB0839">
        <w:rPr>
          <w:b w:val="0"/>
          <w:i w:val="0"/>
          <w:sz w:val="22"/>
          <w:szCs w:val="22"/>
        </w:rPr>
        <w:t>.000 Ft/adótárgy</w:t>
      </w:r>
      <w:r w:rsidRPr="0099780E">
        <w:rPr>
          <w:b w:val="0"/>
          <w:i w:val="0"/>
          <w:sz w:val="22"/>
          <w:szCs w:val="22"/>
        </w:rPr>
        <w:t>/év. Az adózók száma 2</w:t>
      </w:r>
      <w:r w:rsidR="00261847" w:rsidRPr="0099780E">
        <w:rPr>
          <w:b w:val="0"/>
          <w:i w:val="0"/>
          <w:sz w:val="22"/>
          <w:szCs w:val="22"/>
        </w:rPr>
        <w:t>4</w:t>
      </w:r>
      <w:r w:rsidR="00B016B2">
        <w:rPr>
          <w:b w:val="0"/>
          <w:i w:val="0"/>
          <w:sz w:val="22"/>
          <w:szCs w:val="22"/>
        </w:rPr>
        <w:t>80</w:t>
      </w:r>
      <w:r w:rsidRPr="0099780E">
        <w:rPr>
          <w:b w:val="0"/>
          <w:i w:val="0"/>
          <w:sz w:val="22"/>
          <w:szCs w:val="22"/>
        </w:rPr>
        <w:t xml:space="preserve">. Ebben az adónemben a </w:t>
      </w:r>
      <w:r w:rsidRPr="0099780E">
        <w:rPr>
          <w:i w:val="0"/>
          <w:sz w:val="22"/>
          <w:szCs w:val="22"/>
        </w:rPr>
        <w:t>folyó évi terhelés</w:t>
      </w:r>
      <w:r w:rsidR="00AE2B14">
        <w:rPr>
          <w:i w:val="0"/>
          <w:sz w:val="22"/>
          <w:szCs w:val="22"/>
        </w:rPr>
        <w:t xml:space="preserve"> </w:t>
      </w:r>
      <w:r w:rsidR="00EB0271">
        <w:rPr>
          <w:i w:val="0"/>
          <w:sz w:val="22"/>
          <w:szCs w:val="22"/>
        </w:rPr>
        <w:t>32.419.022</w:t>
      </w:r>
      <w:r w:rsidRPr="0099780E">
        <w:rPr>
          <w:i w:val="0"/>
          <w:sz w:val="22"/>
          <w:szCs w:val="22"/>
        </w:rPr>
        <w:t xml:space="preserve"> Ft</w:t>
      </w:r>
      <w:r w:rsidRPr="0099780E">
        <w:rPr>
          <w:b w:val="0"/>
          <w:i w:val="0"/>
          <w:sz w:val="22"/>
          <w:szCs w:val="22"/>
        </w:rPr>
        <w:t>. A 201</w:t>
      </w:r>
      <w:r w:rsidR="00EB0271">
        <w:rPr>
          <w:b w:val="0"/>
          <w:i w:val="0"/>
          <w:sz w:val="22"/>
          <w:szCs w:val="22"/>
        </w:rPr>
        <w:t>5</w:t>
      </w:r>
      <w:r w:rsidRPr="0099780E">
        <w:rPr>
          <w:b w:val="0"/>
          <w:i w:val="0"/>
          <w:sz w:val="22"/>
          <w:szCs w:val="22"/>
        </w:rPr>
        <w:t xml:space="preserve">. évben összesen </w:t>
      </w:r>
      <w:r w:rsidR="00EB0271">
        <w:rPr>
          <w:i w:val="0"/>
          <w:sz w:val="22"/>
          <w:szCs w:val="22"/>
        </w:rPr>
        <w:t>32.159.472</w:t>
      </w:r>
      <w:r w:rsidR="0099780E">
        <w:rPr>
          <w:i w:val="0"/>
          <w:sz w:val="22"/>
          <w:szCs w:val="22"/>
        </w:rPr>
        <w:t xml:space="preserve"> F</w:t>
      </w:r>
      <w:r w:rsidRPr="0099780E">
        <w:rPr>
          <w:i w:val="0"/>
          <w:sz w:val="22"/>
          <w:szCs w:val="22"/>
        </w:rPr>
        <w:t xml:space="preserve">t </w:t>
      </w:r>
      <w:r w:rsidRPr="0099780E">
        <w:rPr>
          <w:b w:val="0"/>
          <w:i w:val="0"/>
          <w:sz w:val="22"/>
          <w:szCs w:val="22"/>
        </w:rPr>
        <w:t>kommunális adót fizettek az adóalanyok</w:t>
      </w:r>
      <w:r w:rsidR="00AE2B14">
        <w:rPr>
          <w:b w:val="0"/>
          <w:i w:val="0"/>
          <w:sz w:val="22"/>
          <w:szCs w:val="22"/>
        </w:rPr>
        <w:t xml:space="preserve">, mely összegből </w:t>
      </w:r>
      <w:r w:rsidR="00EB0271">
        <w:rPr>
          <w:b w:val="0"/>
          <w:i w:val="0"/>
          <w:sz w:val="22"/>
          <w:szCs w:val="22"/>
        </w:rPr>
        <w:t>29.340.326</w:t>
      </w:r>
      <w:r w:rsidR="00AE2B14">
        <w:rPr>
          <w:b w:val="0"/>
          <w:i w:val="0"/>
          <w:sz w:val="22"/>
          <w:szCs w:val="22"/>
        </w:rPr>
        <w:t xml:space="preserve"> Ft a 201</w:t>
      </w:r>
      <w:r w:rsidR="00EB0271">
        <w:rPr>
          <w:b w:val="0"/>
          <w:i w:val="0"/>
          <w:sz w:val="22"/>
          <w:szCs w:val="22"/>
        </w:rPr>
        <w:t>5</w:t>
      </w:r>
      <w:r w:rsidR="00AE2B14">
        <w:rPr>
          <w:b w:val="0"/>
          <w:i w:val="0"/>
          <w:sz w:val="22"/>
          <w:szCs w:val="22"/>
        </w:rPr>
        <w:t xml:space="preserve">. évi terhelésre </w:t>
      </w:r>
      <w:r w:rsidR="00E4658B">
        <w:rPr>
          <w:b w:val="0"/>
          <w:i w:val="0"/>
          <w:sz w:val="22"/>
          <w:szCs w:val="22"/>
        </w:rPr>
        <w:t xml:space="preserve">és </w:t>
      </w:r>
      <w:r w:rsidR="00EB0271">
        <w:rPr>
          <w:b w:val="0"/>
          <w:i w:val="0"/>
          <w:sz w:val="22"/>
          <w:szCs w:val="22"/>
        </w:rPr>
        <w:t>2.588.743</w:t>
      </w:r>
      <w:r w:rsidR="00CB0839">
        <w:rPr>
          <w:b w:val="0"/>
          <w:i w:val="0"/>
          <w:sz w:val="22"/>
          <w:szCs w:val="22"/>
        </w:rPr>
        <w:t xml:space="preserve"> Ft</w:t>
      </w:r>
      <w:r w:rsidR="00E4658B">
        <w:rPr>
          <w:b w:val="0"/>
          <w:i w:val="0"/>
          <w:sz w:val="22"/>
          <w:szCs w:val="22"/>
        </w:rPr>
        <w:t xml:space="preserve"> az elmúlt évek hátralékára</w:t>
      </w:r>
      <w:r w:rsidR="00AE2B14">
        <w:rPr>
          <w:b w:val="0"/>
          <w:i w:val="0"/>
          <w:sz w:val="22"/>
          <w:szCs w:val="22"/>
        </w:rPr>
        <w:t xml:space="preserve"> lett elszámolva. (</w:t>
      </w:r>
      <w:r w:rsidR="00EB0271">
        <w:rPr>
          <w:b w:val="0"/>
          <w:i w:val="0"/>
          <w:sz w:val="22"/>
          <w:szCs w:val="22"/>
        </w:rPr>
        <w:t>230.403</w:t>
      </w:r>
      <w:r w:rsidR="00CB0839">
        <w:rPr>
          <w:b w:val="0"/>
          <w:i w:val="0"/>
          <w:sz w:val="22"/>
          <w:szCs w:val="22"/>
        </w:rPr>
        <w:t xml:space="preserve"> </w:t>
      </w:r>
      <w:r w:rsidR="00AE2B14">
        <w:rPr>
          <w:b w:val="0"/>
          <w:i w:val="0"/>
          <w:sz w:val="22"/>
          <w:szCs w:val="22"/>
        </w:rPr>
        <w:t>Ft adóalany beazonosítása miatt átf</w:t>
      </w:r>
      <w:r w:rsidR="00AE2B14">
        <w:rPr>
          <w:b w:val="0"/>
          <w:i w:val="0"/>
          <w:sz w:val="22"/>
          <w:szCs w:val="22"/>
        </w:rPr>
        <w:t>u</w:t>
      </w:r>
      <w:r w:rsidR="00AE2B14">
        <w:rPr>
          <w:b w:val="0"/>
          <w:i w:val="0"/>
          <w:sz w:val="22"/>
          <w:szCs w:val="22"/>
        </w:rPr>
        <w:t>tó tételként lett rögzítve)</w:t>
      </w:r>
      <w:r w:rsidRPr="0099780E">
        <w:rPr>
          <w:b w:val="0"/>
          <w:i w:val="0"/>
          <w:sz w:val="22"/>
          <w:szCs w:val="22"/>
        </w:rPr>
        <w:t>.</w:t>
      </w:r>
      <w:r w:rsidR="00CB0839">
        <w:rPr>
          <w:b w:val="0"/>
          <w:i w:val="0"/>
          <w:sz w:val="22"/>
          <w:szCs w:val="22"/>
        </w:rPr>
        <w:t xml:space="preserve"> </w:t>
      </w:r>
      <w:r w:rsidRPr="0099780E">
        <w:rPr>
          <w:b w:val="0"/>
          <w:i w:val="0"/>
          <w:sz w:val="22"/>
          <w:szCs w:val="22"/>
        </w:rPr>
        <w:t xml:space="preserve">Így a </w:t>
      </w:r>
      <w:r w:rsidR="00AE2B14">
        <w:rPr>
          <w:b w:val="0"/>
          <w:i w:val="0"/>
          <w:sz w:val="22"/>
          <w:szCs w:val="22"/>
        </w:rPr>
        <w:t>201</w:t>
      </w:r>
      <w:r w:rsidR="00EB0271">
        <w:rPr>
          <w:b w:val="0"/>
          <w:i w:val="0"/>
          <w:sz w:val="22"/>
          <w:szCs w:val="22"/>
        </w:rPr>
        <w:t>5</w:t>
      </w:r>
      <w:r w:rsidR="00AE2B14">
        <w:rPr>
          <w:b w:val="0"/>
          <w:i w:val="0"/>
          <w:sz w:val="22"/>
          <w:szCs w:val="22"/>
        </w:rPr>
        <w:t xml:space="preserve">. </w:t>
      </w:r>
      <w:proofErr w:type="gramStart"/>
      <w:r w:rsidR="00AE2B14">
        <w:rPr>
          <w:b w:val="0"/>
          <w:i w:val="0"/>
          <w:sz w:val="22"/>
          <w:szCs w:val="22"/>
        </w:rPr>
        <w:t xml:space="preserve">évi </w:t>
      </w:r>
      <w:r w:rsidRPr="0099780E">
        <w:rPr>
          <w:b w:val="0"/>
          <w:i w:val="0"/>
          <w:sz w:val="22"/>
          <w:szCs w:val="22"/>
        </w:rPr>
        <w:t xml:space="preserve"> előírás</w:t>
      </w:r>
      <w:proofErr w:type="gramEnd"/>
      <w:r w:rsidRPr="0099780E">
        <w:rPr>
          <w:b w:val="0"/>
          <w:i w:val="0"/>
          <w:sz w:val="22"/>
          <w:szCs w:val="22"/>
        </w:rPr>
        <w:t xml:space="preserve">/befizetés arány </w:t>
      </w:r>
      <w:r w:rsidR="00EB0271">
        <w:rPr>
          <w:b w:val="0"/>
          <w:i w:val="0"/>
          <w:sz w:val="22"/>
          <w:szCs w:val="22"/>
        </w:rPr>
        <w:t>90</w:t>
      </w:r>
      <w:r w:rsidR="00AE2B14">
        <w:rPr>
          <w:b w:val="0"/>
          <w:i w:val="0"/>
          <w:sz w:val="22"/>
          <w:szCs w:val="22"/>
        </w:rPr>
        <w:t xml:space="preserve"> %</w:t>
      </w:r>
      <w:r w:rsidRPr="0099780E">
        <w:rPr>
          <w:b w:val="0"/>
          <w:i w:val="0"/>
          <w:sz w:val="22"/>
          <w:szCs w:val="22"/>
        </w:rPr>
        <w:t xml:space="preserve">. </w:t>
      </w: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D5AD1" w:rsidRPr="0099780E" w:rsidRDefault="00D63D20" w:rsidP="00DD5AD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9780E">
        <w:rPr>
          <w:rFonts w:ascii="Arial" w:hAnsi="Arial" w:cs="Arial"/>
          <w:b/>
          <w:sz w:val="22"/>
          <w:szCs w:val="22"/>
        </w:rPr>
        <w:t>3</w:t>
      </w:r>
      <w:r w:rsidR="00DD5AD1" w:rsidRPr="0099780E">
        <w:rPr>
          <w:rFonts w:ascii="Arial" w:hAnsi="Arial" w:cs="Arial"/>
          <w:b/>
          <w:sz w:val="22"/>
          <w:szCs w:val="22"/>
        </w:rPr>
        <w:t>.) Helyi iparűzési adó</w:t>
      </w: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99780E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9780E">
        <w:rPr>
          <w:rFonts w:ascii="Arial" w:hAnsi="Arial" w:cs="Arial"/>
          <w:sz w:val="22"/>
          <w:szCs w:val="22"/>
        </w:rPr>
        <w:t>A helyi iparűzési adó</w:t>
      </w:r>
      <w:r w:rsidR="00CB0839">
        <w:rPr>
          <w:rFonts w:ascii="Arial" w:hAnsi="Arial" w:cs="Arial"/>
          <w:sz w:val="22"/>
          <w:szCs w:val="22"/>
        </w:rPr>
        <w:t xml:space="preserve"> </w:t>
      </w:r>
      <w:r w:rsidRPr="0099780E">
        <w:rPr>
          <w:rFonts w:ascii="Arial" w:hAnsi="Arial" w:cs="Arial"/>
          <w:sz w:val="22"/>
          <w:szCs w:val="22"/>
        </w:rPr>
        <w:t xml:space="preserve">mértéke 2 %. Az adóalanyok száma </w:t>
      </w:r>
      <w:r w:rsidR="00EB0271">
        <w:rPr>
          <w:rFonts w:ascii="Arial" w:hAnsi="Arial" w:cs="Arial"/>
          <w:sz w:val="22"/>
          <w:szCs w:val="22"/>
        </w:rPr>
        <w:t>636</w:t>
      </w:r>
      <w:r w:rsidR="00D63D20" w:rsidRPr="0099780E">
        <w:rPr>
          <w:rFonts w:ascii="Arial" w:hAnsi="Arial" w:cs="Arial"/>
          <w:sz w:val="22"/>
          <w:szCs w:val="22"/>
        </w:rPr>
        <w:t>.</w:t>
      </w:r>
      <w:r w:rsidRPr="0099780E">
        <w:rPr>
          <w:rFonts w:ascii="Arial" w:hAnsi="Arial" w:cs="Arial"/>
          <w:sz w:val="22"/>
          <w:szCs w:val="22"/>
        </w:rPr>
        <w:t xml:space="preserve"> Ez az adónem alkotja az </w:t>
      </w:r>
      <w:r w:rsidR="00CB0839">
        <w:rPr>
          <w:rFonts w:ascii="Arial" w:hAnsi="Arial" w:cs="Arial"/>
          <w:sz w:val="22"/>
          <w:szCs w:val="22"/>
        </w:rPr>
        <w:t>ö</w:t>
      </w:r>
      <w:r w:rsidRPr="0099780E">
        <w:rPr>
          <w:rFonts w:ascii="Arial" w:hAnsi="Arial" w:cs="Arial"/>
          <w:sz w:val="22"/>
          <w:szCs w:val="22"/>
        </w:rPr>
        <w:t xml:space="preserve">nkormányzat adóbevételeinek </w:t>
      </w:r>
      <w:r w:rsidR="00D63D20" w:rsidRPr="0099780E">
        <w:rPr>
          <w:rFonts w:ascii="Arial" w:hAnsi="Arial" w:cs="Arial"/>
          <w:sz w:val="22"/>
          <w:szCs w:val="22"/>
        </w:rPr>
        <w:t xml:space="preserve">közel 80 </w:t>
      </w:r>
      <w:r w:rsidRPr="0099780E">
        <w:rPr>
          <w:rFonts w:ascii="Arial" w:hAnsi="Arial" w:cs="Arial"/>
          <w:sz w:val="22"/>
          <w:szCs w:val="22"/>
        </w:rPr>
        <w:t>%-át, ezért az adónem teljesülése kiemelt jelentőséggel bír.</w:t>
      </w:r>
    </w:p>
    <w:p w:rsidR="00DD5AD1" w:rsidRPr="0099780E" w:rsidRDefault="00D63D20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9780E">
        <w:rPr>
          <w:rFonts w:ascii="Arial" w:hAnsi="Arial" w:cs="Arial"/>
          <w:sz w:val="22"/>
          <w:szCs w:val="22"/>
        </w:rPr>
        <w:t>A részletes adatokat a fenti táblázat tartalmazza.</w:t>
      </w: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D5AD1" w:rsidRPr="0099780E" w:rsidRDefault="00D63D20" w:rsidP="00DD5AD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9780E">
        <w:rPr>
          <w:rFonts w:ascii="Arial" w:hAnsi="Arial" w:cs="Arial"/>
          <w:b/>
          <w:sz w:val="22"/>
          <w:szCs w:val="22"/>
        </w:rPr>
        <w:t>4</w:t>
      </w:r>
      <w:r w:rsidR="00DD5AD1" w:rsidRPr="0099780E">
        <w:rPr>
          <w:rFonts w:ascii="Arial" w:hAnsi="Arial" w:cs="Arial"/>
          <w:b/>
          <w:sz w:val="22"/>
          <w:szCs w:val="22"/>
        </w:rPr>
        <w:t>.) Földbérbeadásból származó jövedelem</w:t>
      </w: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DD5AD1" w:rsidRPr="0099780E" w:rsidRDefault="00821D5E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Termőföld bérbeadásból származó bevétel nem volt a 201</w:t>
      </w:r>
      <w:r w:rsidR="00EB027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év során</w:t>
      </w:r>
      <w:r w:rsidR="00D63D20" w:rsidRPr="0099780E">
        <w:rPr>
          <w:rFonts w:ascii="Arial" w:hAnsi="Arial" w:cs="Arial"/>
          <w:sz w:val="22"/>
          <w:szCs w:val="22"/>
        </w:rPr>
        <w:t>.</w:t>
      </w: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D5AD1" w:rsidRPr="0099780E" w:rsidRDefault="00775F11" w:rsidP="00DD5AD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9780E">
        <w:rPr>
          <w:rFonts w:ascii="Arial" w:hAnsi="Arial" w:cs="Arial"/>
          <w:b/>
          <w:sz w:val="22"/>
          <w:szCs w:val="22"/>
        </w:rPr>
        <w:t>5</w:t>
      </w:r>
      <w:r w:rsidR="00DD5AD1" w:rsidRPr="0099780E">
        <w:rPr>
          <w:rFonts w:ascii="Arial" w:hAnsi="Arial" w:cs="Arial"/>
          <w:b/>
          <w:sz w:val="22"/>
          <w:szCs w:val="22"/>
        </w:rPr>
        <w:t>.) Gépjárműadó</w:t>
      </w: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D5AD1" w:rsidRPr="0099780E" w:rsidRDefault="00DD5AD1" w:rsidP="00D63D2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9780E">
        <w:rPr>
          <w:rFonts w:ascii="Arial" w:hAnsi="Arial" w:cs="Arial"/>
          <w:sz w:val="22"/>
          <w:szCs w:val="22"/>
        </w:rPr>
        <w:t>Ennél az adónemnél nincs az önkormányzatnak adótétel megállapítási joga</w:t>
      </w:r>
      <w:r w:rsidR="00D63D20" w:rsidRPr="0099780E">
        <w:rPr>
          <w:rFonts w:ascii="Arial" w:hAnsi="Arial" w:cs="Arial"/>
          <w:sz w:val="22"/>
          <w:szCs w:val="22"/>
        </w:rPr>
        <w:t xml:space="preserve">. A </w:t>
      </w:r>
      <w:r w:rsidR="00BB61E4">
        <w:rPr>
          <w:rFonts w:ascii="Arial" w:hAnsi="Arial" w:cs="Arial"/>
          <w:sz w:val="22"/>
          <w:szCs w:val="22"/>
        </w:rPr>
        <w:t>k</w:t>
      </w:r>
      <w:r w:rsidR="00D63D20" w:rsidRPr="0099780E">
        <w:rPr>
          <w:rFonts w:ascii="Arial" w:hAnsi="Arial" w:cs="Arial"/>
          <w:sz w:val="22"/>
          <w:szCs w:val="22"/>
        </w:rPr>
        <w:t>ormányhivataltól minden hónapban megküldött változás az alapja a gépjárműadó terhelésének.</w:t>
      </w:r>
    </w:p>
    <w:p w:rsidR="0099780E" w:rsidRDefault="00D63D20" w:rsidP="00D63D2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9780E">
        <w:rPr>
          <w:rFonts w:ascii="Arial" w:hAnsi="Arial" w:cs="Arial"/>
          <w:sz w:val="22"/>
          <w:szCs w:val="22"/>
        </w:rPr>
        <w:t>2013. évtől kezdődően a</w:t>
      </w:r>
      <w:r w:rsidR="007F0043" w:rsidRPr="0099780E">
        <w:rPr>
          <w:rFonts w:ascii="Arial" w:hAnsi="Arial" w:cs="Arial"/>
          <w:sz w:val="22"/>
          <w:szCs w:val="22"/>
        </w:rPr>
        <w:t>z önkormányzat által beszedett</w:t>
      </w:r>
      <w:r w:rsidRPr="0099780E">
        <w:rPr>
          <w:rFonts w:ascii="Arial" w:hAnsi="Arial" w:cs="Arial"/>
          <w:sz w:val="22"/>
          <w:szCs w:val="22"/>
        </w:rPr>
        <w:t xml:space="preserve"> gépjárműadó összege megoszlik 60%-ban a központi költségvetés és 40%-ban az önkormányzatok költségvetése között. </w:t>
      </w:r>
    </w:p>
    <w:p w:rsidR="00D63D20" w:rsidRPr="0099780E" w:rsidRDefault="00D63D20" w:rsidP="00D63D2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9780E">
        <w:rPr>
          <w:rFonts w:ascii="Arial" w:hAnsi="Arial" w:cs="Arial"/>
          <w:sz w:val="22"/>
          <w:szCs w:val="22"/>
        </w:rPr>
        <w:t>A részletes adatokat a táblázat tartalmazza.</w:t>
      </w: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DD5AD1" w:rsidRPr="0099780E" w:rsidRDefault="00775F11" w:rsidP="00DD5AD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9780E">
        <w:rPr>
          <w:rFonts w:ascii="Arial" w:hAnsi="Arial" w:cs="Arial"/>
          <w:b/>
          <w:sz w:val="22"/>
          <w:szCs w:val="22"/>
        </w:rPr>
        <w:t>6</w:t>
      </w:r>
      <w:r w:rsidR="00DD5AD1" w:rsidRPr="0099780E">
        <w:rPr>
          <w:rFonts w:ascii="Arial" w:hAnsi="Arial" w:cs="Arial"/>
          <w:b/>
          <w:sz w:val="22"/>
          <w:szCs w:val="22"/>
        </w:rPr>
        <w:t>.) Talajterhelési díj</w:t>
      </w: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9780E">
        <w:rPr>
          <w:rFonts w:ascii="Arial" w:hAnsi="Arial" w:cs="Arial"/>
          <w:sz w:val="22"/>
          <w:szCs w:val="22"/>
        </w:rPr>
        <w:t>Alapvető cél</w:t>
      </w:r>
      <w:r w:rsidR="00BB61E4">
        <w:rPr>
          <w:rFonts w:ascii="Arial" w:hAnsi="Arial" w:cs="Arial"/>
          <w:sz w:val="22"/>
          <w:szCs w:val="22"/>
        </w:rPr>
        <w:t xml:space="preserve">, hogy </w:t>
      </w:r>
      <w:r w:rsidRPr="0099780E">
        <w:rPr>
          <w:rFonts w:ascii="Arial" w:hAnsi="Arial" w:cs="Arial"/>
          <w:sz w:val="22"/>
          <w:szCs w:val="22"/>
        </w:rPr>
        <w:t xml:space="preserve">a </w:t>
      </w:r>
      <w:r w:rsidR="00BB61E4">
        <w:rPr>
          <w:rFonts w:ascii="Arial" w:hAnsi="Arial" w:cs="Arial"/>
          <w:sz w:val="22"/>
          <w:szCs w:val="22"/>
        </w:rPr>
        <w:t xml:space="preserve">teljes </w:t>
      </w:r>
      <w:r w:rsidRPr="0099780E">
        <w:rPr>
          <w:rFonts w:ascii="Arial" w:hAnsi="Arial" w:cs="Arial"/>
          <w:sz w:val="22"/>
          <w:szCs w:val="22"/>
        </w:rPr>
        <w:t xml:space="preserve">lakosság </w:t>
      </w:r>
      <w:r w:rsidR="00BB61E4">
        <w:rPr>
          <w:rFonts w:ascii="Arial" w:hAnsi="Arial" w:cs="Arial"/>
          <w:sz w:val="22"/>
          <w:szCs w:val="22"/>
        </w:rPr>
        <w:t xml:space="preserve">rákössön </w:t>
      </w:r>
      <w:r w:rsidRPr="0099780E">
        <w:rPr>
          <w:rFonts w:ascii="Arial" w:hAnsi="Arial" w:cs="Arial"/>
          <w:sz w:val="22"/>
          <w:szCs w:val="22"/>
        </w:rPr>
        <w:t>a szennyvízhálózatra. Ezt a célt szolgál</w:t>
      </w:r>
      <w:r w:rsidR="00BB61E4">
        <w:rPr>
          <w:rFonts w:ascii="Arial" w:hAnsi="Arial" w:cs="Arial"/>
          <w:sz w:val="22"/>
          <w:szCs w:val="22"/>
        </w:rPr>
        <w:t>ja a</w:t>
      </w:r>
      <w:r w:rsidR="00BB61E4" w:rsidRPr="0099780E">
        <w:rPr>
          <w:rFonts w:ascii="Arial" w:hAnsi="Arial" w:cs="Arial"/>
          <w:sz w:val="22"/>
          <w:szCs w:val="22"/>
        </w:rPr>
        <w:t xml:space="preserve"> környezette</w:t>
      </w:r>
      <w:r w:rsidR="00BB61E4" w:rsidRPr="0099780E">
        <w:rPr>
          <w:rFonts w:ascii="Arial" w:hAnsi="Arial" w:cs="Arial"/>
          <w:sz w:val="22"/>
          <w:szCs w:val="22"/>
        </w:rPr>
        <w:t>r</w:t>
      </w:r>
      <w:r w:rsidR="00BB61E4" w:rsidRPr="0099780E">
        <w:rPr>
          <w:rFonts w:ascii="Arial" w:hAnsi="Arial" w:cs="Arial"/>
          <w:sz w:val="22"/>
          <w:szCs w:val="22"/>
        </w:rPr>
        <w:t xml:space="preserve">helési díjról szóló </w:t>
      </w:r>
      <w:r w:rsidRPr="0099780E">
        <w:rPr>
          <w:rFonts w:ascii="Arial" w:hAnsi="Arial" w:cs="Arial"/>
          <w:sz w:val="22"/>
          <w:szCs w:val="22"/>
        </w:rPr>
        <w:t xml:space="preserve">2003. évi LXXXIX. </w:t>
      </w:r>
      <w:r w:rsidR="00775F11" w:rsidRPr="0099780E">
        <w:rPr>
          <w:rFonts w:ascii="Arial" w:hAnsi="Arial" w:cs="Arial"/>
          <w:sz w:val="22"/>
          <w:szCs w:val="22"/>
        </w:rPr>
        <w:t xml:space="preserve">törvény </w:t>
      </w:r>
      <w:r w:rsidRPr="0099780E">
        <w:rPr>
          <w:rFonts w:ascii="Arial" w:hAnsi="Arial" w:cs="Arial"/>
          <w:sz w:val="22"/>
          <w:szCs w:val="22"/>
        </w:rPr>
        <w:t>módosítása, mely 2012.02.01-</w:t>
      </w:r>
      <w:r w:rsidR="00BB61E4">
        <w:rPr>
          <w:rFonts w:ascii="Arial" w:hAnsi="Arial" w:cs="Arial"/>
          <w:sz w:val="22"/>
          <w:szCs w:val="22"/>
        </w:rPr>
        <w:t>jé</w:t>
      </w:r>
      <w:r w:rsidRPr="0099780E">
        <w:rPr>
          <w:rFonts w:ascii="Arial" w:hAnsi="Arial" w:cs="Arial"/>
          <w:sz w:val="22"/>
          <w:szCs w:val="22"/>
        </w:rPr>
        <w:t>től a talajterhelési díj mé</w:t>
      </w:r>
      <w:r w:rsidRPr="0099780E">
        <w:rPr>
          <w:rFonts w:ascii="Arial" w:hAnsi="Arial" w:cs="Arial"/>
          <w:sz w:val="22"/>
          <w:szCs w:val="22"/>
        </w:rPr>
        <w:t>r</w:t>
      </w:r>
      <w:r w:rsidRPr="0099780E">
        <w:rPr>
          <w:rFonts w:ascii="Arial" w:hAnsi="Arial" w:cs="Arial"/>
          <w:sz w:val="22"/>
          <w:szCs w:val="22"/>
        </w:rPr>
        <w:t>tékét 120 Ft/m</w:t>
      </w:r>
      <w:r w:rsidRPr="0099780E">
        <w:rPr>
          <w:rFonts w:ascii="Arial" w:hAnsi="Arial" w:cs="Arial"/>
          <w:sz w:val="22"/>
          <w:szCs w:val="22"/>
          <w:vertAlign w:val="superscript"/>
        </w:rPr>
        <w:t>3</w:t>
      </w:r>
      <w:r w:rsidRPr="0099780E">
        <w:rPr>
          <w:rFonts w:ascii="Arial" w:hAnsi="Arial" w:cs="Arial"/>
          <w:sz w:val="22"/>
          <w:szCs w:val="22"/>
        </w:rPr>
        <w:t>-ről 1 200 Ft/m</w:t>
      </w:r>
      <w:r w:rsidRPr="0099780E">
        <w:rPr>
          <w:rFonts w:ascii="Arial" w:hAnsi="Arial" w:cs="Arial"/>
          <w:sz w:val="22"/>
          <w:szCs w:val="22"/>
          <w:vertAlign w:val="superscript"/>
        </w:rPr>
        <w:t>3</w:t>
      </w:r>
      <w:r w:rsidRPr="0099780E">
        <w:rPr>
          <w:rFonts w:ascii="Arial" w:hAnsi="Arial" w:cs="Arial"/>
          <w:sz w:val="22"/>
          <w:szCs w:val="22"/>
        </w:rPr>
        <w:t xml:space="preserve">-re emelte. </w:t>
      </w:r>
      <w:r w:rsidR="00775F11" w:rsidRPr="0099780E">
        <w:rPr>
          <w:rFonts w:ascii="Arial" w:hAnsi="Arial" w:cs="Arial"/>
          <w:sz w:val="22"/>
          <w:szCs w:val="22"/>
        </w:rPr>
        <w:t>F</w:t>
      </w:r>
      <w:r w:rsidRPr="0099780E">
        <w:rPr>
          <w:rFonts w:ascii="Arial" w:hAnsi="Arial" w:cs="Arial"/>
          <w:sz w:val="22"/>
          <w:szCs w:val="22"/>
        </w:rPr>
        <w:t>olyamatosan nyomon kell követni – az iparűzési adóhoz h</w:t>
      </w:r>
      <w:r w:rsidRPr="0099780E">
        <w:rPr>
          <w:rFonts w:ascii="Arial" w:hAnsi="Arial" w:cs="Arial"/>
          <w:sz w:val="22"/>
          <w:szCs w:val="22"/>
        </w:rPr>
        <w:t>a</w:t>
      </w:r>
      <w:r w:rsidRPr="0099780E">
        <w:rPr>
          <w:rFonts w:ascii="Arial" w:hAnsi="Arial" w:cs="Arial"/>
          <w:sz w:val="22"/>
          <w:szCs w:val="22"/>
        </w:rPr>
        <w:t xml:space="preserve">sonlóan </w:t>
      </w:r>
      <w:r w:rsidR="00BB61E4">
        <w:rPr>
          <w:rFonts w:ascii="Arial" w:hAnsi="Arial" w:cs="Arial"/>
          <w:sz w:val="22"/>
          <w:szCs w:val="22"/>
        </w:rPr>
        <w:t>–</w:t>
      </w:r>
      <w:r w:rsidRPr="0099780E">
        <w:rPr>
          <w:rFonts w:ascii="Arial" w:hAnsi="Arial" w:cs="Arial"/>
          <w:sz w:val="22"/>
          <w:szCs w:val="22"/>
        </w:rPr>
        <w:t xml:space="preserve"> a bevallási kötelezettség teljesítését, folyószámla előírásokat, befizetéseket.</w:t>
      </w:r>
      <w:r w:rsidR="00775F11" w:rsidRPr="0099780E">
        <w:rPr>
          <w:rFonts w:ascii="Arial" w:hAnsi="Arial" w:cs="Arial"/>
          <w:sz w:val="22"/>
          <w:szCs w:val="22"/>
        </w:rPr>
        <w:t xml:space="preserve"> A tapasztalatunk szerint a törvénymódosítás elérte célját, mert évről évre többen kötnek rá a szennyvízhálózatra.</w:t>
      </w:r>
    </w:p>
    <w:p w:rsidR="0099780E" w:rsidRPr="0099780E" w:rsidRDefault="0099780E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9780E">
        <w:rPr>
          <w:rFonts w:ascii="Arial" w:hAnsi="Arial" w:cs="Arial"/>
          <w:sz w:val="22"/>
          <w:szCs w:val="22"/>
        </w:rPr>
        <w:t xml:space="preserve">Talajterhelésből befolyt összeg: </w:t>
      </w:r>
      <w:r w:rsidR="00EB0271">
        <w:rPr>
          <w:rFonts w:ascii="Arial" w:hAnsi="Arial" w:cs="Arial"/>
          <w:b/>
          <w:sz w:val="22"/>
          <w:szCs w:val="22"/>
        </w:rPr>
        <w:t>785.620</w:t>
      </w:r>
      <w:r w:rsidRPr="00BB61E4">
        <w:rPr>
          <w:rFonts w:ascii="Arial" w:hAnsi="Arial" w:cs="Arial"/>
          <w:b/>
          <w:sz w:val="22"/>
          <w:szCs w:val="22"/>
        </w:rPr>
        <w:t xml:space="preserve"> Ft</w:t>
      </w:r>
      <w:r w:rsidRPr="0099780E">
        <w:rPr>
          <w:rFonts w:ascii="Arial" w:hAnsi="Arial" w:cs="Arial"/>
          <w:sz w:val="22"/>
          <w:szCs w:val="22"/>
        </w:rPr>
        <w:t>.</w:t>
      </w:r>
    </w:p>
    <w:p w:rsidR="0099780E" w:rsidRPr="0099780E" w:rsidRDefault="0099780E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780E">
        <w:rPr>
          <w:rFonts w:ascii="Arial" w:hAnsi="Arial" w:cs="Arial"/>
          <w:b/>
          <w:sz w:val="22"/>
          <w:szCs w:val="22"/>
          <w:u w:val="single"/>
        </w:rPr>
        <w:t>Pótlék</w:t>
      </w:r>
    </w:p>
    <w:p w:rsidR="00DD5AD1" w:rsidRPr="00FF4DAC" w:rsidRDefault="00DD5AD1" w:rsidP="00DD5AD1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780E">
        <w:rPr>
          <w:rFonts w:ascii="Arial" w:hAnsi="Arial" w:cs="Arial"/>
          <w:sz w:val="22"/>
          <w:szCs w:val="22"/>
        </w:rPr>
        <w:t xml:space="preserve">A pótlékszámlán a folyó évi előírás </w:t>
      </w:r>
      <w:r w:rsidR="00BB61E4">
        <w:rPr>
          <w:rFonts w:ascii="Arial" w:hAnsi="Arial" w:cs="Arial"/>
          <w:b/>
          <w:sz w:val="22"/>
          <w:szCs w:val="22"/>
        </w:rPr>
        <w:t xml:space="preserve">1.742.000 </w:t>
      </w:r>
      <w:r w:rsidRPr="0099780E">
        <w:rPr>
          <w:rFonts w:ascii="Arial" w:hAnsi="Arial" w:cs="Arial"/>
          <w:b/>
          <w:sz w:val="22"/>
          <w:szCs w:val="22"/>
        </w:rPr>
        <w:t>Ft</w:t>
      </w:r>
      <w:r w:rsidRPr="0099780E">
        <w:rPr>
          <w:rFonts w:ascii="Arial" w:hAnsi="Arial" w:cs="Arial"/>
          <w:sz w:val="22"/>
          <w:szCs w:val="22"/>
        </w:rPr>
        <w:t>, ez egyrészt a korábbi évek tőketartozásainak kamat</w:t>
      </w:r>
      <w:r w:rsidRPr="0099780E">
        <w:rPr>
          <w:rFonts w:ascii="Arial" w:hAnsi="Arial" w:cs="Arial"/>
          <w:sz w:val="22"/>
          <w:szCs w:val="22"/>
        </w:rPr>
        <w:t>á</w:t>
      </w:r>
      <w:r w:rsidRPr="0099780E">
        <w:rPr>
          <w:rFonts w:ascii="Arial" w:hAnsi="Arial" w:cs="Arial"/>
          <w:sz w:val="22"/>
          <w:szCs w:val="22"/>
        </w:rPr>
        <w:t>ból, másrészt a</w:t>
      </w:r>
      <w:r w:rsidR="00BB61E4">
        <w:rPr>
          <w:rFonts w:ascii="Arial" w:hAnsi="Arial" w:cs="Arial"/>
          <w:sz w:val="22"/>
          <w:szCs w:val="22"/>
        </w:rPr>
        <w:t>z el</w:t>
      </w:r>
      <w:r w:rsidRPr="0099780E">
        <w:rPr>
          <w:rFonts w:ascii="Arial" w:hAnsi="Arial" w:cs="Arial"/>
          <w:sz w:val="22"/>
          <w:szCs w:val="22"/>
        </w:rPr>
        <w:t>múlt évekre történt előírásokból adódik.</w:t>
      </w:r>
      <w:r w:rsidR="00BB61E4">
        <w:rPr>
          <w:rFonts w:ascii="Arial" w:hAnsi="Arial" w:cs="Arial"/>
          <w:sz w:val="22"/>
          <w:szCs w:val="22"/>
        </w:rPr>
        <w:t xml:space="preserve"> </w:t>
      </w:r>
      <w:r w:rsidRPr="0099780E">
        <w:rPr>
          <w:rFonts w:ascii="Arial" w:hAnsi="Arial" w:cs="Arial"/>
          <w:sz w:val="22"/>
          <w:szCs w:val="22"/>
        </w:rPr>
        <w:t xml:space="preserve">Az adóhatóságnál befizetett pótlék </w:t>
      </w:r>
      <w:r w:rsidR="00EB0271">
        <w:rPr>
          <w:rFonts w:ascii="Arial" w:hAnsi="Arial" w:cs="Arial"/>
          <w:b/>
          <w:sz w:val="22"/>
          <w:szCs w:val="22"/>
        </w:rPr>
        <w:t>809.820</w:t>
      </w:r>
      <w:r w:rsidRPr="0099780E">
        <w:rPr>
          <w:rFonts w:ascii="Arial" w:hAnsi="Arial" w:cs="Arial"/>
          <w:b/>
          <w:sz w:val="22"/>
          <w:szCs w:val="22"/>
        </w:rPr>
        <w:t xml:space="preserve"> Ft. </w:t>
      </w:r>
    </w:p>
    <w:p w:rsidR="005C4209" w:rsidRPr="0099780E" w:rsidRDefault="005C4209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780E">
        <w:rPr>
          <w:rFonts w:ascii="Arial" w:hAnsi="Arial" w:cs="Arial"/>
          <w:b/>
          <w:sz w:val="22"/>
          <w:szCs w:val="22"/>
          <w:u w:val="single"/>
        </w:rPr>
        <w:t xml:space="preserve">Bírság </w:t>
      </w: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9780E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9780E">
        <w:rPr>
          <w:rFonts w:ascii="Arial" w:hAnsi="Arial" w:cs="Arial"/>
          <w:sz w:val="22"/>
          <w:szCs w:val="22"/>
        </w:rPr>
        <w:t xml:space="preserve">Az adóhatóság </w:t>
      </w:r>
      <w:r w:rsidR="00EB0271">
        <w:rPr>
          <w:rFonts w:ascii="Arial" w:hAnsi="Arial" w:cs="Arial"/>
          <w:b/>
          <w:sz w:val="22"/>
          <w:szCs w:val="22"/>
        </w:rPr>
        <w:t>690.562</w:t>
      </w:r>
      <w:r w:rsidRPr="0099780E">
        <w:rPr>
          <w:rFonts w:ascii="Arial" w:hAnsi="Arial" w:cs="Arial"/>
          <w:b/>
          <w:sz w:val="22"/>
          <w:szCs w:val="22"/>
        </w:rPr>
        <w:t xml:space="preserve"> Ft</w:t>
      </w:r>
      <w:r w:rsidRPr="0099780E">
        <w:rPr>
          <w:rFonts w:ascii="Arial" w:hAnsi="Arial" w:cs="Arial"/>
          <w:sz w:val="22"/>
          <w:szCs w:val="22"/>
        </w:rPr>
        <w:t xml:space="preserve"> bírságot szabott ki, melyre </w:t>
      </w:r>
      <w:r w:rsidR="00EB0271">
        <w:rPr>
          <w:rFonts w:ascii="Arial" w:hAnsi="Arial" w:cs="Arial"/>
          <w:b/>
          <w:sz w:val="22"/>
          <w:szCs w:val="22"/>
        </w:rPr>
        <w:t>435.500</w:t>
      </w:r>
      <w:r w:rsidR="0099780E" w:rsidRPr="0099780E">
        <w:rPr>
          <w:rFonts w:ascii="Arial" w:hAnsi="Arial" w:cs="Arial"/>
          <w:b/>
          <w:sz w:val="22"/>
          <w:szCs w:val="22"/>
        </w:rPr>
        <w:t xml:space="preserve"> </w:t>
      </w:r>
      <w:r w:rsidRPr="0099780E">
        <w:rPr>
          <w:rFonts w:ascii="Arial" w:hAnsi="Arial" w:cs="Arial"/>
          <w:b/>
          <w:sz w:val="22"/>
          <w:szCs w:val="22"/>
        </w:rPr>
        <w:t>Ft</w:t>
      </w:r>
      <w:r w:rsidRPr="0099780E">
        <w:rPr>
          <w:rFonts w:ascii="Arial" w:hAnsi="Arial" w:cs="Arial"/>
          <w:sz w:val="22"/>
          <w:szCs w:val="22"/>
        </w:rPr>
        <w:t xml:space="preserve"> befizetés érkezett. </w:t>
      </w:r>
    </w:p>
    <w:p w:rsidR="00DD5AD1" w:rsidRPr="00FF4DAC" w:rsidRDefault="00DD5AD1" w:rsidP="00DD5AD1">
      <w:pPr>
        <w:widowControl w:val="0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EB0271" w:rsidRDefault="00EB0271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0271" w:rsidRDefault="00EB0271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0271" w:rsidRDefault="00EB0271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780E">
        <w:rPr>
          <w:rFonts w:ascii="Arial" w:hAnsi="Arial" w:cs="Arial"/>
          <w:b/>
          <w:sz w:val="22"/>
          <w:szCs w:val="22"/>
          <w:u w:val="single"/>
        </w:rPr>
        <w:t>Egyéb beszedési számla</w:t>
      </w: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9780E">
        <w:rPr>
          <w:rFonts w:ascii="Arial" w:hAnsi="Arial" w:cs="Arial"/>
          <w:sz w:val="22"/>
          <w:szCs w:val="22"/>
        </w:rPr>
        <w:t xml:space="preserve">Ezen a számlán kerül nyilvántartásra </w:t>
      </w:r>
      <w:r w:rsidR="002374E7">
        <w:rPr>
          <w:rFonts w:ascii="Arial" w:hAnsi="Arial" w:cs="Arial"/>
          <w:sz w:val="22"/>
          <w:szCs w:val="22"/>
        </w:rPr>
        <w:t xml:space="preserve">a </w:t>
      </w:r>
      <w:r w:rsidRPr="0099780E">
        <w:rPr>
          <w:rFonts w:ascii="Arial" w:hAnsi="Arial" w:cs="Arial"/>
          <w:sz w:val="22"/>
          <w:szCs w:val="22"/>
        </w:rPr>
        <w:t xml:space="preserve">saját és </w:t>
      </w:r>
      <w:r w:rsidR="002374E7">
        <w:rPr>
          <w:rFonts w:ascii="Arial" w:hAnsi="Arial" w:cs="Arial"/>
          <w:sz w:val="22"/>
          <w:szCs w:val="22"/>
        </w:rPr>
        <w:t xml:space="preserve">az </w:t>
      </w:r>
      <w:r w:rsidRPr="0099780E">
        <w:rPr>
          <w:rFonts w:ascii="Arial" w:hAnsi="Arial" w:cs="Arial"/>
          <w:sz w:val="22"/>
          <w:szCs w:val="22"/>
        </w:rPr>
        <w:t>idegen szabálysértési</w:t>
      </w:r>
      <w:r w:rsidR="002374E7">
        <w:rPr>
          <w:rFonts w:ascii="Arial" w:hAnsi="Arial" w:cs="Arial"/>
          <w:sz w:val="22"/>
          <w:szCs w:val="22"/>
        </w:rPr>
        <w:t xml:space="preserve"> </w:t>
      </w:r>
      <w:r w:rsidRPr="0099780E">
        <w:rPr>
          <w:rFonts w:ascii="Arial" w:hAnsi="Arial" w:cs="Arial"/>
          <w:sz w:val="22"/>
          <w:szCs w:val="22"/>
        </w:rPr>
        <w:t>bírságokhoz kapcsolódó tét</w:t>
      </w:r>
      <w:r w:rsidRPr="0099780E">
        <w:rPr>
          <w:rFonts w:ascii="Arial" w:hAnsi="Arial" w:cs="Arial"/>
          <w:sz w:val="22"/>
          <w:szCs w:val="22"/>
        </w:rPr>
        <w:t>e</w:t>
      </w:r>
      <w:r w:rsidRPr="0099780E">
        <w:rPr>
          <w:rFonts w:ascii="Arial" w:hAnsi="Arial" w:cs="Arial"/>
          <w:sz w:val="22"/>
          <w:szCs w:val="22"/>
        </w:rPr>
        <w:t>lek. A 201</w:t>
      </w:r>
      <w:r w:rsidR="00EB0271">
        <w:rPr>
          <w:rFonts w:ascii="Arial" w:hAnsi="Arial" w:cs="Arial"/>
          <w:sz w:val="22"/>
          <w:szCs w:val="22"/>
        </w:rPr>
        <w:t>5</w:t>
      </w:r>
      <w:r w:rsidRPr="0099780E">
        <w:rPr>
          <w:rFonts w:ascii="Arial" w:hAnsi="Arial" w:cs="Arial"/>
          <w:sz w:val="22"/>
          <w:szCs w:val="22"/>
        </w:rPr>
        <w:t xml:space="preserve">. évben </w:t>
      </w:r>
      <w:r w:rsidR="00EB0271">
        <w:rPr>
          <w:rFonts w:ascii="Arial" w:hAnsi="Arial" w:cs="Arial"/>
          <w:b/>
          <w:sz w:val="22"/>
          <w:szCs w:val="22"/>
        </w:rPr>
        <w:t>245.000</w:t>
      </w:r>
      <w:r w:rsidR="0099780E" w:rsidRPr="0099780E">
        <w:rPr>
          <w:rFonts w:ascii="Arial" w:hAnsi="Arial" w:cs="Arial"/>
          <w:b/>
          <w:sz w:val="22"/>
          <w:szCs w:val="22"/>
        </w:rPr>
        <w:t xml:space="preserve"> </w:t>
      </w:r>
      <w:r w:rsidRPr="0099780E">
        <w:rPr>
          <w:rFonts w:ascii="Arial" w:hAnsi="Arial" w:cs="Arial"/>
          <w:b/>
          <w:sz w:val="22"/>
          <w:szCs w:val="22"/>
        </w:rPr>
        <w:t>Ft</w:t>
      </w:r>
      <w:r w:rsidR="00AE71A5" w:rsidRPr="0099780E">
        <w:rPr>
          <w:rFonts w:ascii="Arial" w:hAnsi="Arial" w:cs="Arial"/>
          <w:sz w:val="22"/>
          <w:szCs w:val="22"/>
        </w:rPr>
        <w:t xml:space="preserve"> befizetés érkezett a számlára.</w:t>
      </w:r>
    </w:p>
    <w:p w:rsidR="00821D5E" w:rsidRDefault="00821D5E" w:rsidP="00DD5AD1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D5AD1" w:rsidRPr="0099780E" w:rsidRDefault="00FA53A1" w:rsidP="00DD5AD1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Idegen bevételek számla</w:t>
      </w: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9780E">
        <w:rPr>
          <w:rFonts w:ascii="Arial" w:hAnsi="Arial" w:cs="Arial"/>
          <w:sz w:val="22"/>
          <w:szCs w:val="22"/>
        </w:rPr>
        <w:t xml:space="preserve">Ennek a számlának a forgalma nem érinti az </w:t>
      </w:r>
      <w:r w:rsidR="002374E7">
        <w:rPr>
          <w:rFonts w:ascii="Arial" w:hAnsi="Arial" w:cs="Arial"/>
          <w:sz w:val="22"/>
          <w:szCs w:val="22"/>
        </w:rPr>
        <w:t>ö</w:t>
      </w:r>
      <w:r w:rsidRPr="0099780E">
        <w:rPr>
          <w:rFonts w:ascii="Arial" w:hAnsi="Arial" w:cs="Arial"/>
          <w:sz w:val="22"/>
          <w:szCs w:val="22"/>
        </w:rPr>
        <w:t>nkormányzat bevételeit. Ezen a számlán jelenik meg az idegen helyről kimutatott</w:t>
      </w:r>
      <w:r w:rsidR="002374E7">
        <w:rPr>
          <w:rFonts w:ascii="Arial" w:hAnsi="Arial" w:cs="Arial"/>
          <w:sz w:val="22"/>
          <w:szCs w:val="22"/>
        </w:rPr>
        <w:t>,</w:t>
      </w:r>
      <w:r w:rsidRPr="0099780E">
        <w:rPr>
          <w:rFonts w:ascii="Arial" w:hAnsi="Arial" w:cs="Arial"/>
          <w:sz w:val="22"/>
          <w:szCs w:val="22"/>
        </w:rPr>
        <w:t xml:space="preserve"> adók módjára behajtandó köztartozás.</w:t>
      </w: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9780E">
        <w:rPr>
          <w:rFonts w:ascii="Arial" w:hAnsi="Arial" w:cs="Arial"/>
          <w:sz w:val="22"/>
          <w:szCs w:val="22"/>
        </w:rPr>
        <w:t xml:space="preserve">Az ilyen és </w:t>
      </w:r>
      <w:r w:rsidR="002374E7">
        <w:rPr>
          <w:rFonts w:ascii="Arial" w:hAnsi="Arial" w:cs="Arial"/>
          <w:sz w:val="22"/>
          <w:szCs w:val="22"/>
        </w:rPr>
        <w:t xml:space="preserve">a </w:t>
      </w:r>
      <w:r w:rsidRPr="0099780E">
        <w:rPr>
          <w:rFonts w:ascii="Arial" w:hAnsi="Arial" w:cs="Arial"/>
          <w:sz w:val="22"/>
          <w:szCs w:val="22"/>
        </w:rPr>
        <w:t xml:space="preserve">hasonló jellegű adóhátralékok behajtása jelentősen </w:t>
      </w:r>
      <w:r w:rsidR="002374E7">
        <w:rPr>
          <w:rFonts w:ascii="Arial" w:hAnsi="Arial" w:cs="Arial"/>
          <w:sz w:val="22"/>
          <w:szCs w:val="22"/>
        </w:rPr>
        <w:t>meg</w:t>
      </w:r>
      <w:r w:rsidRPr="0099780E">
        <w:rPr>
          <w:rFonts w:ascii="Arial" w:hAnsi="Arial" w:cs="Arial"/>
          <w:sz w:val="22"/>
          <w:szCs w:val="22"/>
        </w:rPr>
        <w:t>terhelik az adócsoport munkáját.</w:t>
      </w:r>
    </w:p>
    <w:p w:rsidR="00DD5AD1" w:rsidRPr="0099780E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81A53">
        <w:rPr>
          <w:rFonts w:ascii="Arial" w:hAnsi="Arial" w:cs="Arial"/>
          <w:sz w:val="22"/>
          <w:szCs w:val="22"/>
        </w:rPr>
        <w:t xml:space="preserve">A </w:t>
      </w:r>
      <w:r w:rsidR="008F13EE" w:rsidRPr="00F81A53">
        <w:rPr>
          <w:rFonts w:ascii="Arial" w:hAnsi="Arial" w:cs="Arial"/>
          <w:sz w:val="22"/>
          <w:szCs w:val="22"/>
        </w:rPr>
        <w:t xml:space="preserve">korábbi évekről áthozott </w:t>
      </w:r>
      <w:r w:rsidR="00EB0271" w:rsidRPr="00F81A53">
        <w:rPr>
          <w:rFonts w:ascii="Arial" w:hAnsi="Arial" w:cs="Arial"/>
          <w:sz w:val="22"/>
          <w:szCs w:val="22"/>
        </w:rPr>
        <w:t>1.122.738</w:t>
      </w:r>
      <w:r w:rsidR="008F13EE" w:rsidRPr="00F81A53">
        <w:rPr>
          <w:rFonts w:ascii="Arial" w:hAnsi="Arial" w:cs="Arial"/>
          <w:sz w:val="22"/>
          <w:szCs w:val="22"/>
        </w:rPr>
        <w:t xml:space="preserve"> Ft </w:t>
      </w:r>
      <w:r w:rsidR="005C3DDA" w:rsidRPr="00F81A53">
        <w:rPr>
          <w:rFonts w:ascii="Arial" w:hAnsi="Arial" w:cs="Arial"/>
          <w:sz w:val="22"/>
          <w:szCs w:val="22"/>
        </w:rPr>
        <w:t xml:space="preserve">kivetés </w:t>
      </w:r>
      <w:r w:rsidR="008F13EE" w:rsidRPr="00F81A53">
        <w:rPr>
          <w:rFonts w:ascii="Arial" w:hAnsi="Arial" w:cs="Arial"/>
          <w:sz w:val="22"/>
          <w:szCs w:val="22"/>
        </w:rPr>
        <w:t>mellé a 201</w:t>
      </w:r>
      <w:r w:rsidR="00EB0271" w:rsidRPr="00F81A53">
        <w:rPr>
          <w:rFonts w:ascii="Arial" w:hAnsi="Arial" w:cs="Arial"/>
          <w:sz w:val="22"/>
          <w:szCs w:val="22"/>
        </w:rPr>
        <w:t>5</w:t>
      </w:r>
      <w:r w:rsidR="008F13EE" w:rsidRPr="00F81A53">
        <w:rPr>
          <w:rFonts w:ascii="Arial" w:hAnsi="Arial" w:cs="Arial"/>
          <w:sz w:val="22"/>
          <w:szCs w:val="22"/>
        </w:rPr>
        <w:t xml:space="preserve">. évben a </w:t>
      </w:r>
      <w:r w:rsidRPr="00F81A53">
        <w:rPr>
          <w:rFonts w:ascii="Arial" w:hAnsi="Arial" w:cs="Arial"/>
          <w:sz w:val="22"/>
          <w:szCs w:val="22"/>
        </w:rPr>
        <w:t xml:space="preserve">helyesbített folyó évi kivetés </w:t>
      </w:r>
      <w:r w:rsidR="00EB0271" w:rsidRPr="00F81A53">
        <w:rPr>
          <w:rFonts w:ascii="Arial" w:hAnsi="Arial" w:cs="Arial"/>
          <w:b/>
          <w:sz w:val="22"/>
          <w:szCs w:val="22"/>
        </w:rPr>
        <w:t>1.467.806</w:t>
      </w:r>
      <w:r w:rsidRPr="00F81A53">
        <w:rPr>
          <w:rFonts w:ascii="Arial" w:hAnsi="Arial" w:cs="Arial"/>
          <w:b/>
          <w:sz w:val="22"/>
          <w:szCs w:val="22"/>
        </w:rPr>
        <w:t xml:space="preserve"> Ft</w:t>
      </w:r>
      <w:r w:rsidR="005C3DDA" w:rsidRPr="00F81A53">
        <w:rPr>
          <w:rFonts w:ascii="Arial" w:hAnsi="Arial" w:cs="Arial"/>
          <w:b/>
          <w:sz w:val="22"/>
          <w:szCs w:val="22"/>
        </w:rPr>
        <w:t xml:space="preserve">. </w:t>
      </w:r>
      <w:r w:rsidR="005F1F1F" w:rsidRPr="00F81A53">
        <w:rPr>
          <w:rFonts w:ascii="Arial" w:hAnsi="Arial" w:cs="Arial"/>
          <w:b/>
          <w:sz w:val="22"/>
          <w:szCs w:val="22"/>
        </w:rPr>
        <w:t xml:space="preserve"> </w:t>
      </w:r>
      <w:r w:rsidR="005C3DDA" w:rsidRPr="00F81A53">
        <w:rPr>
          <w:rFonts w:ascii="Arial" w:hAnsi="Arial" w:cs="Arial"/>
          <w:sz w:val="22"/>
          <w:szCs w:val="22"/>
        </w:rPr>
        <w:t xml:space="preserve">A 13.690.285 hátralékkal szemben </w:t>
      </w:r>
      <w:r w:rsidRPr="00F81A53">
        <w:rPr>
          <w:rFonts w:ascii="Arial" w:hAnsi="Arial" w:cs="Arial"/>
          <w:sz w:val="22"/>
          <w:szCs w:val="22"/>
        </w:rPr>
        <w:t xml:space="preserve">a bevétel </w:t>
      </w:r>
      <w:r w:rsidR="00EB0271" w:rsidRPr="00F81A53">
        <w:rPr>
          <w:rFonts w:ascii="Arial" w:hAnsi="Arial" w:cs="Arial"/>
          <w:b/>
          <w:sz w:val="22"/>
          <w:szCs w:val="22"/>
        </w:rPr>
        <w:t>6.318.427</w:t>
      </w:r>
      <w:r w:rsidRPr="00F81A53">
        <w:rPr>
          <w:rFonts w:ascii="Arial" w:hAnsi="Arial" w:cs="Arial"/>
          <w:b/>
          <w:sz w:val="22"/>
          <w:szCs w:val="22"/>
        </w:rPr>
        <w:t xml:space="preserve"> Ft </w:t>
      </w:r>
      <w:r w:rsidR="00F81A53">
        <w:rPr>
          <w:rFonts w:ascii="Arial" w:hAnsi="Arial" w:cs="Arial"/>
          <w:sz w:val="22"/>
          <w:szCs w:val="22"/>
        </w:rPr>
        <w:t xml:space="preserve">volt </w:t>
      </w:r>
      <w:r w:rsidR="005C3DDA" w:rsidRPr="00F81A53">
        <w:rPr>
          <w:rFonts w:ascii="Arial" w:hAnsi="Arial" w:cs="Arial"/>
          <w:sz w:val="22"/>
          <w:szCs w:val="22"/>
        </w:rPr>
        <w:t>(46%)</w:t>
      </w:r>
      <w:r w:rsidR="00F81A53">
        <w:rPr>
          <w:rFonts w:ascii="Arial" w:hAnsi="Arial" w:cs="Arial"/>
          <w:sz w:val="22"/>
          <w:szCs w:val="22"/>
        </w:rPr>
        <w:t>.</w:t>
      </w:r>
    </w:p>
    <w:p w:rsidR="0028500B" w:rsidRDefault="0028500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71A5" w:rsidRDefault="00AE71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Az adóhatóság által végzett ellenőrzések, behajtási és végrehajtási cselekmények</w:t>
      </w:r>
    </w:p>
    <w:p w:rsidR="00AE71A5" w:rsidRDefault="00AE71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71A5" w:rsidRDefault="00AE71A5" w:rsidP="00AE71A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32E88">
        <w:rPr>
          <w:rFonts w:ascii="Arial" w:hAnsi="Arial" w:cs="Arial"/>
          <w:sz w:val="22"/>
          <w:szCs w:val="22"/>
        </w:rPr>
        <w:t xml:space="preserve">Az elmúlt évben Bátaszék város illetékességi területén adóellenőrzést </w:t>
      </w:r>
      <w:r w:rsidR="00532E88" w:rsidRPr="00532E88">
        <w:rPr>
          <w:rFonts w:ascii="Arial" w:hAnsi="Arial" w:cs="Arial"/>
          <w:sz w:val="22"/>
          <w:szCs w:val="22"/>
        </w:rPr>
        <w:t>7</w:t>
      </w:r>
      <w:r w:rsidRPr="00532E88">
        <w:rPr>
          <w:rFonts w:ascii="Arial" w:hAnsi="Arial" w:cs="Arial"/>
          <w:sz w:val="22"/>
          <w:szCs w:val="22"/>
        </w:rPr>
        <w:t xml:space="preserve"> vállalkozó esetében folytatott le az adóhatóság.</w:t>
      </w:r>
      <w:r>
        <w:rPr>
          <w:rFonts w:ascii="Arial" w:hAnsi="Arial" w:cs="Arial"/>
          <w:sz w:val="22"/>
          <w:szCs w:val="22"/>
        </w:rPr>
        <w:t xml:space="preserve"> </w:t>
      </w:r>
      <w:r w:rsidR="00532E88">
        <w:rPr>
          <w:rFonts w:ascii="Arial" w:hAnsi="Arial" w:cs="Arial"/>
          <w:sz w:val="22"/>
          <w:szCs w:val="22"/>
        </w:rPr>
        <w:t xml:space="preserve"> Két esetben állapított meg </w:t>
      </w:r>
      <w:r w:rsidR="00532E88" w:rsidRPr="00FD4725">
        <w:rPr>
          <w:rFonts w:ascii="Arial" w:hAnsi="Arial" w:cs="Arial"/>
          <w:sz w:val="22"/>
          <w:szCs w:val="22"/>
        </w:rPr>
        <w:t>az adóhatóság</w:t>
      </w:r>
      <w:r w:rsidR="00532E88">
        <w:rPr>
          <w:rFonts w:ascii="Arial" w:hAnsi="Arial" w:cs="Arial"/>
          <w:sz w:val="22"/>
          <w:szCs w:val="22"/>
        </w:rPr>
        <w:t xml:space="preserve"> adóhiányt összesen 642.900 Ft összegben. Visszautalás </w:t>
      </w:r>
      <w:r w:rsidR="00121E76">
        <w:rPr>
          <w:rFonts w:ascii="Arial" w:hAnsi="Arial" w:cs="Arial"/>
          <w:sz w:val="22"/>
          <w:szCs w:val="22"/>
        </w:rPr>
        <w:t>6</w:t>
      </w:r>
      <w:r w:rsidR="00532E88">
        <w:rPr>
          <w:rFonts w:ascii="Arial" w:hAnsi="Arial" w:cs="Arial"/>
          <w:sz w:val="22"/>
          <w:szCs w:val="22"/>
        </w:rPr>
        <w:t xml:space="preserve"> esetben történt</w:t>
      </w:r>
      <w:r w:rsidR="00121E76">
        <w:rPr>
          <w:rFonts w:ascii="Arial" w:hAnsi="Arial" w:cs="Arial"/>
          <w:sz w:val="22"/>
          <w:szCs w:val="22"/>
        </w:rPr>
        <w:t>,</w:t>
      </w:r>
      <w:r w:rsidR="00532E88">
        <w:rPr>
          <w:rFonts w:ascii="Arial" w:hAnsi="Arial" w:cs="Arial"/>
          <w:sz w:val="22"/>
          <w:szCs w:val="22"/>
        </w:rPr>
        <w:t xml:space="preserve"> 1 </w:t>
      </w:r>
      <w:r w:rsidR="00121E76">
        <w:rPr>
          <w:rFonts w:ascii="Arial" w:hAnsi="Arial" w:cs="Arial"/>
          <w:sz w:val="22"/>
          <w:szCs w:val="22"/>
        </w:rPr>
        <w:t>adóalany a később</w:t>
      </w:r>
      <w:r w:rsidR="00532E88">
        <w:rPr>
          <w:rFonts w:ascii="Arial" w:hAnsi="Arial" w:cs="Arial"/>
          <w:sz w:val="22"/>
          <w:szCs w:val="22"/>
        </w:rPr>
        <w:t xml:space="preserve"> esedékes adó beszámítására kérte az adótöbbl</w:t>
      </w:r>
      <w:r w:rsidR="00532E88">
        <w:rPr>
          <w:rFonts w:ascii="Arial" w:hAnsi="Arial" w:cs="Arial"/>
          <w:sz w:val="22"/>
          <w:szCs w:val="22"/>
        </w:rPr>
        <w:t>e</w:t>
      </w:r>
      <w:r w:rsidR="00532E88">
        <w:rPr>
          <w:rFonts w:ascii="Arial" w:hAnsi="Arial" w:cs="Arial"/>
          <w:sz w:val="22"/>
          <w:szCs w:val="22"/>
        </w:rPr>
        <w:t>tet.</w:t>
      </w:r>
    </w:p>
    <w:p w:rsidR="00AE71A5" w:rsidRDefault="00AE71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4373" w:rsidRDefault="00D24373" w:rsidP="00CF64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hatósági, adóügyi feladatok mellett jelentősen megnövekedett az idegen helyről kimutatott köztart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zások nyilvántartásával, behajtásával kapcsolatos ügyintézésre fordított idő.</w:t>
      </w:r>
    </w:p>
    <w:p w:rsidR="002374E7" w:rsidRDefault="002374E7" w:rsidP="00CF643F">
      <w:pPr>
        <w:jc w:val="both"/>
        <w:rPr>
          <w:rFonts w:ascii="Arial" w:hAnsi="Arial" w:cs="Arial"/>
          <w:sz w:val="22"/>
          <w:szCs w:val="22"/>
        </w:rPr>
      </w:pPr>
    </w:p>
    <w:p w:rsidR="00D24373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rendőrség által kimutatott közigazgatási bírságokat nem lehet ledolgozni, ezért az adóhatóság érde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ben nem sokat tud tenni. Ezeket a tartozásokat 5 évig nyilvántartásba kell helyezni</w:t>
      </w:r>
      <w:r w:rsidR="002374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és folyamatos</w:t>
      </w:r>
      <w:r w:rsidR="002374E7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jelentést kell adni az adók módjára történő behajtás, illetve behajtási cselekmények szakaszáról. A 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hajtást követően gondoskodni kell a befizetés jelentéséről és az összeg utalásáról</w:t>
      </w:r>
      <w:r w:rsidR="002374E7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. Az elmúlt évben Bátaszéken közigazgatási bírság és szabálysértési bírság behajtása végett </w:t>
      </w:r>
      <w:r w:rsidR="00506369">
        <w:rPr>
          <w:rFonts w:ascii="Arial" w:hAnsi="Arial" w:cs="Arial"/>
          <w:sz w:val="22"/>
          <w:szCs w:val="22"/>
        </w:rPr>
        <w:t xml:space="preserve">megközelítőleg </w:t>
      </w:r>
      <w:r w:rsidRPr="00506369">
        <w:rPr>
          <w:rFonts w:ascii="Arial" w:hAnsi="Arial" w:cs="Arial"/>
          <w:sz w:val="22"/>
          <w:szCs w:val="22"/>
        </w:rPr>
        <w:t>150</w:t>
      </w:r>
      <w:r>
        <w:rPr>
          <w:rFonts w:ascii="Arial" w:hAnsi="Arial" w:cs="Arial"/>
          <w:sz w:val="22"/>
          <w:szCs w:val="22"/>
        </w:rPr>
        <w:t xml:space="preserve"> esetben kereste meg a rendőrség a hivatalt. Elmondható, hogy a bátaszéki szabálysértők általában igyekeztek rendezni, illetve tudták rendezni a tartozásukat. A bírságok közel 80 %-ban befizetésre illetve behajtásra kerültek.</w:t>
      </w:r>
    </w:p>
    <w:p w:rsidR="00D24373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24373" w:rsidRDefault="002374E7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Szintén jelentős hátralék</w:t>
      </w:r>
      <w:r w:rsidR="00D24373">
        <w:rPr>
          <w:rFonts w:ascii="Arial" w:hAnsi="Arial" w:cs="Arial"/>
          <w:sz w:val="22"/>
          <w:szCs w:val="22"/>
        </w:rPr>
        <w:t xml:space="preserve"> az idegen helyről kimutatott államilag meg</w:t>
      </w:r>
      <w:r>
        <w:rPr>
          <w:rFonts w:ascii="Arial" w:hAnsi="Arial" w:cs="Arial"/>
          <w:sz w:val="22"/>
          <w:szCs w:val="22"/>
        </w:rPr>
        <w:t>előlegezett gyermektartási díj</w:t>
      </w:r>
      <w:r w:rsidR="00D2437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mely</w:t>
      </w:r>
      <w:r w:rsidR="00D24373">
        <w:rPr>
          <w:rFonts w:ascii="Arial" w:hAnsi="Arial" w:cs="Arial"/>
          <w:sz w:val="22"/>
          <w:szCs w:val="22"/>
        </w:rPr>
        <w:t xml:space="preserve"> az önkormányzati a</w:t>
      </w:r>
      <w:r>
        <w:rPr>
          <w:rFonts w:ascii="Arial" w:hAnsi="Arial" w:cs="Arial"/>
          <w:sz w:val="22"/>
          <w:szCs w:val="22"/>
        </w:rPr>
        <w:t>dóhatóság statisztikáját rontja</w:t>
      </w:r>
      <w:r w:rsidR="00D2437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hiszen ennek</w:t>
      </w:r>
      <w:r w:rsidR="00D24373">
        <w:rPr>
          <w:rFonts w:ascii="Arial" w:hAnsi="Arial" w:cs="Arial"/>
          <w:sz w:val="22"/>
          <w:szCs w:val="22"/>
        </w:rPr>
        <w:t xml:space="preserve"> behajtására az elmúlt években </w:t>
      </w:r>
      <w:r w:rsidR="00CF643F">
        <w:rPr>
          <w:rFonts w:ascii="Arial" w:hAnsi="Arial" w:cs="Arial"/>
          <w:sz w:val="22"/>
          <w:szCs w:val="22"/>
        </w:rPr>
        <w:t xml:space="preserve">csekély volt a </w:t>
      </w:r>
      <w:r w:rsidR="00D24373">
        <w:rPr>
          <w:rFonts w:ascii="Arial" w:hAnsi="Arial" w:cs="Arial"/>
          <w:sz w:val="22"/>
          <w:szCs w:val="22"/>
        </w:rPr>
        <w:t>lehetőség</w:t>
      </w:r>
      <w:r w:rsidR="00CF643F">
        <w:rPr>
          <w:rFonts w:ascii="Arial" w:hAnsi="Arial" w:cs="Arial"/>
          <w:sz w:val="22"/>
          <w:szCs w:val="22"/>
        </w:rPr>
        <w:t>,</w:t>
      </w:r>
      <w:r w:rsidR="00D24373">
        <w:rPr>
          <w:rFonts w:ascii="Arial" w:hAnsi="Arial" w:cs="Arial"/>
          <w:sz w:val="22"/>
          <w:szCs w:val="22"/>
        </w:rPr>
        <w:t xml:space="preserve"> és nem is valószínűsíthető ezek megtérülése, mivel valamennyi érintett adóalany olyan szociális és anyagi háttérrel rendelkezik, </w:t>
      </w:r>
      <w:r w:rsidR="00FD4725">
        <w:rPr>
          <w:rFonts w:ascii="Arial" w:hAnsi="Arial" w:cs="Arial"/>
          <w:sz w:val="22"/>
          <w:szCs w:val="22"/>
        </w:rPr>
        <w:t>hogy velük szemben</w:t>
      </w:r>
      <w:r w:rsidR="00D24373">
        <w:rPr>
          <w:rFonts w:ascii="Arial" w:hAnsi="Arial" w:cs="Arial"/>
          <w:sz w:val="22"/>
          <w:szCs w:val="22"/>
        </w:rPr>
        <w:t xml:space="preserve"> nem lehet semmilyen végrehajtási cs</w:t>
      </w:r>
      <w:r w:rsidR="00D24373">
        <w:rPr>
          <w:rFonts w:ascii="Arial" w:hAnsi="Arial" w:cs="Arial"/>
          <w:sz w:val="22"/>
          <w:szCs w:val="22"/>
        </w:rPr>
        <w:t>e</w:t>
      </w:r>
      <w:r w:rsidR="00D24373">
        <w:rPr>
          <w:rFonts w:ascii="Arial" w:hAnsi="Arial" w:cs="Arial"/>
          <w:sz w:val="22"/>
          <w:szCs w:val="22"/>
        </w:rPr>
        <w:t>lekményt foganatosítani</w:t>
      </w:r>
      <w:r w:rsidR="00FD4725">
        <w:rPr>
          <w:rFonts w:ascii="Arial" w:hAnsi="Arial" w:cs="Arial"/>
          <w:sz w:val="22"/>
          <w:szCs w:val="22"/>
        </w:rPr>
        <w:t>,</w:t>
      </w:r>
      <w:r w:rsidR="00D24373">
        <w:rPr>
          <w:rFonts w:ascii="Arial" w:hAnsi="Arial" w:cs="Arial"/>
          <w:sz w:val="22"/>
          <w:szCs w:val="22"/>
        </w:rPr>
        <w:t xml:space="preserve"> és várhatóan a jövőben sem lesz életvitelükben változás.</w:t>
      </w:r>
    </w:p>
    <w:p w:rsidR="00CF643F" w:rsidRDefault="00CF643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24373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idegen helyről kimutatott tartozások törlésére, méltányolására az adóhatóságnak nincs lehetősége.</w:t>
      </w:r>
    </w:p>
    <w:p w:rsidR="00D24373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24373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hátralékok behajtása folyamatos, időigényes, behajtási cselekményként többszöri megkereséssel kell társhatóságoktól információt beszerezni. </w:t>
      </w:r>
    </w:p>
    <w:p w:rsidR="00D24373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24373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 szervekkel napi kapcsolatban áll az adócsoport, melyek közül kiemelkednek az okmányirodák, állami adóhatóság (NAV), egészségbiztosítási pénztárak, pénzintézetek, bankok, Nyugdíjfolyósító Iga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gatóság, végrehajtói irodák, földhivatalok, rendőrkapitányságok, Magyar Államkincstár (MÁK), könyv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lők.</w:t>
      </w:r>
    </w:p>
    <w:p w:rsidR="00D24373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24373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adóhatóság végrehajtható vagyon hiányában</w:t>
      </w:r>
      <w:r w:rsidR="009E272C">
        <w:rPr>
          <w:rFonts w:ascii="Arial" w:hAnsi="Arial" w:cs="Arial"/>
          <w:sz w:val="22"/>
          <w:szCs w:val="22"/>
        </w:rPr>
        <w:t>, valamint végrehatási cselekmény sikertelensége es</w:t>
      </w:r>
      <w:r w:rsidR="009E272C">
        <w:rPr>
          <w:rFonts w:ascii="Arial" w:hAnsi="Arial" w:cs="Arial"/>
          <w:sz w:val="22"/>
          <w:szCs w:val="22"/>
        </w:rPr>
        <w:t>e</w:t>
      </w:r>
      <w:r w:rsidR="009E272C">
        <w:rPr>
          <w:rFonts w:ascii="Arial" w:hAnsi="Arial" w:cs="Arial"/>
          <w:sz w:val="22"/>
          <w:szCs w:val="22"/>
        </w:rPr>
        <w:t>tén</w:t>
      </w:r>
      <w:r>
        <w:rPr>
          <w:rFonts w:ascii="Arial" w:hAnsi="Arial" w:cs="Arial"/>
          <w:sz w:val="22"/>
          <w:szCs w:val="22"/>
        </w:rPr>
        <w:t xml:space="preserve"> az adózó adótartozását, állami kezességvállalásból eredő, állammal szemben fennálló adótartozását behajthatatlannak minősíti és végrehajtható</w:t>
      </w:r>
      <w:r w:rsidR="00FD4725">
        <w:rPr>
          <w:rFonts w:ascii="Arial" w:hAnsi="Arial" w:cs="Arial"/>
          <w:sz w:val="22"/>
          <w:szCs w:val="22"/>
        </w:rPr>
        <w:t>vá</w:t>
      </w:r>
      <w:r>
        <w:rPr>
          <w:rFonts w:ascii="Arial" w:hAnsi="Arial" w:cs="Arial"/>
          <w:sz w:val="22"/>
          <w:szCs w:val="22"/>
        </w:rPr>
        <w:t xml:space="preserve"> válásáig, illetve a végrehajtáshoz való jog elévüléséig ezen a jogcímen tartja nyilván.</w:t>
      </w:r>
    </w:p>
    <w:p w:rsidR="00821D5E" w:rsidRDefault="00821D5E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21D5E" w:rsidRDefault="00821D5E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85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1240"/>
        <w:gridCol w:w="1300"/>
        <w:gridCol w:w="1686"/>
        <w:gridCol w:w="1060"/>
      </w:tblGrid>
      <w:tr w:rsidR="00B016B2" w:rsidRPr="00B016B2" w:rsidTr="00FD4725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016B2" w:rsidRPr="00B016B2" w:rsidTr="00FD4725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016B2" w:rsidRPr="00B016B2" w:rsidTr="00FD4725">
        <w:trPr>
          <w:trHeight w:val="375"/>
        </w:trPr>
        <w:tc>
          <w:tcPr>
            <w:tcW w:w="8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016B2">
              <w:rPr>
                <w:b/>
                <w:bCs/>
                <w:color w:val="000000"/>
                <w:sz w:val="28"/>
                <w:szCs w:val="28"/>
                <w:lang w:eastAsia="hu-HU"/>
              </w:rPr>
              <w:t>Behajtási cselekmények 2015. év</w:t>
            </w:r>
          </w:p>
        </w:tc>
      </w:tr>
      <w:tr w:rsidR="00B016B2" w:rsidRPr="00B016B2" w:rsidTr="00FD4725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016B2" w:rsidRPr="00B016B2" w:rsidTr="00FD4725">
        <w:trPr>
          <w:trHeight w:val="9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B2" w:rsidRPr="00B016B2" w:rsidRDefault="00B016B2" w:rsidP="00B016B2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B2" w:rsidRPr="00B016B2" w:rsidRDefault="00B016B2" w:rsidP="00B016B2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Darab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B2" w:rsidRPr="00B016B2" w:rsidRDefault="00B016B2" w:rsidP="00B016B2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Behajtás alá vont összeg (Ft)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B2" w:rsidRPr="00B016B2" w:rsidRDefault="00B016B2" w:rsidP="00B016B2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 xml:space="preserve">Behajtott </w:t>
            </w:r>
            <w:proofErr w:type="gramStart"/>
            <w:r w:rsidRPr="00B016B2">
              <w:rPr>
                <w:color w:val="000000"/>
                <w:szCs w:val="24"/>
                <w:lang w:eastAsia="hu-HU"/>
              </w:rPr>
              <w:t>ö</w:t>
            </w:r>
            <w:r w:rsidRPr="00B016B2">
              <w:rPr>
                <w:color w:val="000000"/>
                <w:szCs w:val="24"/>
                <w:lang w:eastAsia="hu-HU"/>
              </w:rPr>
              <w:t>s</w:t>
            </w:r>
            <w:r w:rsidRPr="00B016B2">
              <w:rPr>
                <w:color w:val="000000"/>
                <w:szCs w:val="24"/>
                <w:lang w:eastAsia="hu-HU"/>
              </w:rPr>
              <w:t>szeg     (</w:t>
            </w:r>
            <w:proofErr w:type="gramEnd"/>
            <w:r w:rsidRPr="00B016B2">
              <w:rPr>
                <w:color w:val="000000"/>
                <w:szCs w:val="24"/>
                <w:lang w:eastAsia="hu-HU"/>
              </w:rPr>
              <w:t>Ft)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B2" w:rsidRPr="00B016B2" w:rsidRDefault="00B016B2" w:rsidP="00B016B2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Arány (%)</w:t>
            </w:r>
          </w:p>
        </w:tc>
      </w:tr>
      <w:tr w:rsidR="00B016B2" w:rsidRPr="00B016B2" w:rsidTr="00FD472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Nyugdíj letiltás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1 636 099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1 102 663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67%</w:t>
            </w:r>
          </w:p>
        </w:tc>
      </w:tr>
      <w:tr w:rsidR="00B016B2" w:rsidRPr="00B016B2" w:rsidTr="00FD472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Munkabér letiltás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6 191 293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2 153 761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35%</w:t>
            </w:r>
          </w:p>
        </w:tc>
      </w:tr>
      <w:tr w:rsidR="00B016B2" w:rsidRPr="00B016B2" w:rsidTr="00FD472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Inkasszó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21 294 128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9 433 180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44%</w:t>
            </w:r>
          </w:p>
        </w:tc>
      </w:tr>
      <w:tr w:rsidR="00B016B2" w:rsidRPr="00B016B2" w:rsidTr="00FD472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Gépjármű forgalomból kivonás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928 266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644 786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69%</w:t>
            </w:r>
          </w:p>
        </w:tc>
      </w:tr>
      <w:tr w:rsidR="00B016B2" w:rsidRPr="00B016B2" w:rsidTr="00FD472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B016B2">
              <w:rPr>
                <w:b/>
                <w:bCs/>
                <w:color w:val="000000"/>
                <w:szCs w:val="24"/>
                <w:lang w:eastAsia="hu-HU"/>
              </w:rPr>
              <w:t>Összesen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B016B2">
              <w:rPr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B016B2">
              <w:rPr>
                <w:b/>
                <w:bCs/>
                <w:color w:val="000000"/>
                <w:szCs w:val="24"/>
                <w:lang w:eastAsia="hu-HU"/>
              </w:rPr>
              <w:t>30 049 786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B016B2">
              <w:rPr>
                <w:b/>
                <w:bCs/>
                <w:color w:val="000000"/>
                <w:szCs w:val="24"/>
                <w:lang w:eastAsia="hu-HU"/>
              </w:rPr>
              <w:t>13 334 390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44%</w:t>
            </w:r>
          </w:p>
        </w:tc>
      </w:tr>
      <w:tr w:rsidR="00B016B2" w:rsidRPr="00B016B2" w:rsidTr="00FD4725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016B2" w:rsidRPr="00B016B2" w:rsidTr="00FD4725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center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Darab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016B2" w:rsidRPr="00B016B2" w:rsidTr="00FD472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Hátralékos felhívás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740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016B2" w:rsidRPr="00B016B2" w:rsidTr="00FD472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Pénzintézet megkeresés (19 bank)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6</w:t>
            </w:r>
            <w:r w:rsidR="00FD4725">
              <w:rPr>
                <w:color w:val="000000"/>
                <w:szCs w:val="24"/>
                <w:lang w:eastAsia="hu-HU"/>
              </w:rPr>
              <w:t xml:space="preserve"> </w:t>
            </w:r>
            <w:r w:rsidRPr="00B016B2">
              <w:rPr>
                <w:color w:val="000000"/>
                <w:szCs w:val="24"/>
                <w:lang w:eastAsia="hu-HU"/>
              </w:rPr>
              <w:t>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016B2" w:rsidRPr="00B016B2" w:rsidTr="00FD472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color w:val="000000"/>
                <w:szCs w:val="24"/>
                <w:lang w:eastAsia="hu-HU"/>
              </w:rPr>
            </w:pPr>
            <w:proofErr w:type="spellStart"/>
            <w:r w:rsidRPr="00B016B2">
              <w:rPr>
                <w:color w:val="000000"/>
                <w:szCs w:val="24"/>
                <w:lang w:eastAsia="hu-HU"/>
              </w:rPr>
              <w:t>MEP-es</w:t>
            </w:r>
            <w:proofErr w:type="spellEnd"/>
            <w:r w:rsidRPr="00B016B2">
              <w:rPr>
                <w:color w:val="000000"/>
                <w:szCs w:val="24"/>
                <w:lang w:eastAsia="hu-HU"/>
              </w:rPr>
              <w:t xml:space="preserve"> megkeresés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jc w:val="right"/>
              <w:textAlignment w:val="auto"/>
              <w:rPr>
                <w:color w:val="000000"/>
                <w:szCs w:val="24"/>
                <w:lang w:eastAsia="hu-HU"/>
              </w:rPr>
            </w:pPr>
            <w:r w:rsidRPr="00B016B2">
              <w:rPr>
                <w:color w:val="000000"/>
                <w:szCs w:val="24"/>
                <w:lang w:eastAsia="hu-H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2" w:rsidRPr="00B016B2" w:rsidRDefault="00B016B2" w:rsidP="00B016B2">
            <w:pPr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7B2E4D" w:rsidRDefault="007B2E4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B2E4D" w:rsidRDefault="007B2E4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24373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Fentiekből megállapítható, hogy az adócsoport munkatársai </w:t>
      </w:r>
      <w:r w:rsidR="00D30691">
        <w:rPr>
          <w:rFonts w:ascii="Arial" w:hAnsi="Arial" w:cs="Arial"/>
          <w:sz w:val="22"/>
          <w:szCs w:val="22"/>
        </w:rPr>
        <w:t>a 201</w:t>
      </w:r>
      <w:r w:rsidR="00EB0271">
        <w:rPr>
          <w:rFonts w:ascii="Arial" w:hAnsi="Arial" w:cs="Arial"/>
          <w:sz w:val="22"/>
          <w:szCs w:val="22"/>
        </w:rPr>
        <w:t>5</w:t>
      </w:r>
      <w:r w:rsidR="009E272C">
        <w:rPr>
          <w:rFonts w:ascii="Arial" w:hAnsi="Arial" w:cs="Arial"/>
          <w:sz w:val="22"/>
          <w:szCs w:val="22"/>
        </w:rPr>
        <w:t>.</w:t>
      </w:r>
      <w:r w:rsidR="00D30691">
        <w:rPr>
          <w:rFonts w:ascii="Arial" w:hAnsi="Arial" w:cs="Arial"/>
          <w:sz w:val="22"/>
          <w:szCs w:val="22"/>
        </w:rPr>
        <w:t xml:space="preserve"> évben törekedtek </w:t>
      </w:r>
      <w:r w:rsidR="00D44211">
        <w:rPr>
          <w:rFonts w:ascii="Arial" w:hAnsi="Arial" w:cs="Arial"/>
          <w:sz w:val="22"/>
          <w:szCs w:val="22"/>
        </w:rPr>
        <w:t xml:space="preserve">arra, </w:t>
      </w:r>
      <w:r w:rsidR="00D30691">
        <w:rPr>
          <w:rFonts w:ascii="Arial" w:hAnsi="Arial" w:cs="Arial"/>
          <w:sz w:val="22"/>
          <w:szCs w:val="22"/>
        </w:rPr>
        <w:t xml:space="preserve">hogy minél nagyobb behajtás alá vont összeget tudjanak </w:t>
      </w:r>
      <w:r w:rsidR="00D44211">
        <w:rPr>
          <w:rFonts w:ascii="Arial" w:hAnsi="Arial" w:cs="Arial"/>
          <w:sz w:val="22"/>
          <w:szCs w:val="22"/>
        </w:rPr>
        <w:t>az önkormányzat részére beszedni</w:t>
      </w:r>
      <w:r>
        <w:rPr>
          <w:rFonts w:ascii="Arial" w:hAnsi="Arial" w:cs="Arial"/>
          <w:sz w:val="22"/>
          <w:szCs w:val="22"/>
        </w:rPr>
        <w:t>. Az ügyirat és ügyfé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forgalmat figyelembe véve igen komoly terhelést viseltek el, munkájukkal jelentősen hozzájárultak az önkormányzat finanszírozhatóságához, illetve a gazdasági év jó lezárásához.</w:t>
      </w:r>
    </w:p>
    <w:p w:rsidR="004B0CD7" w:rsidRDefault="004B0CD7" w:rsidP="004B0CD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B0CD7" w:rsidRDefault="004B0CD7" w:rsidP="004B0CD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B0CD7" w:rsidRDefault="004B0CD7" w:rsidP="004B0CD7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Kérem, hogy a beszámoló</w:t>
      </w:r>
      <w:r w:rsidR="00D53012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t</w:t>
      </w:r>
      <w:r w:rsidR="00D53012">
        <w:rPr>
          <w:rFonts w:ascii="Arial" w:hAnsi="Arial" w:cs="Arial"/>
          <w:sz w:val="22"/>
          <w:szCs w:val="22"/>
        </w:rPr>
        <w:t xml:space="preserve"> szíveskedjenek </w:t>
      </w:r>
      <w:r>
        <w:rPr>
          <w:rFonts w:ascii="Arial" w:hAnsi="Arial" w:cs="Arial"/>
          <w:sz w:val="22"/>
          <w:szCs w:val="22"/>
        </w:rPr>
        <w:t>elfogadni.</w:t>
      </w:r>
    </w:p>
    <w:p w:rsidR="004B0CD7" w:rsidRDefault="004B0CD7" w:rsidP="004B0CD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B0CD7" w:rsidRDefault="004B0CD7" w:rsidP="004B0CD7">
      <w:pPr>
        <w:widowControl w:val="0"/>
        <w:ind w:firstLine="198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0CD7" w:rsidRDefault="004B0CD7" w:rsidP="004B0CD7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4B0CD7" w:rsidRDefault="004B0CD7" w:rsidP="004B0CD7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</w:p>
    <w:p w:rsidR="004B0CD7" w:rsidRDefault="004B0CD7" w:rsidP="004B0CD7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Tájékoztató a 201</w:t>
      </w:r>
      <w:r w:rsidR="00EB0271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. évi adóigazgatási feladatok végrehajtásáról, az adóterv teljesüléséről</w:t>
      </w:r>
    </w:p>
    <w:p w:rsidR="004B0CD7" w:rsidRDefault="004B0CD7" w:rsidP="004B0CD7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</w:p>
    <w:p w:rsidR="004B0CD7" w:rsidRDefault="004B0CD7" w:rsidP="004B0CD7">
      <w:pPr>
        <w:widowControl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Bátaszék Város Önkormányzatának Képviselő-testülete a 201</w:t>
      </w:r>
      <w:r w:rsidR="00121E76">
        <w:rPr>
          <w:rFonts w:ascii="Arial" w:hAnsi="Arial" w:cs="Arial"/>
          <w:bCs/>
          <w:iCs/>
          <w:sz w:val="22"/>
          <w:szCs w:val="22"/>
        </w:rPr>
        <w:t>5</w:t>
      </w:r>
      <w:r>
        <w:rPr>
          <w:rFonts w:ascii="Arial" w:hAnsi="Arial" w:cs="Arial"/>
          <w:bCs/>
          <w:iCs/>
          <w:sz w:val="22"/>
          <w:szCs w:val="22"/>
        </w:rPr>
        <w:t>. évi ad</w:t>
      </w:r>
      <w:r>
        <w:rPr>
          <w:rFonts w:ascii="Arial" w:hAnsi="Arial" w:cs="Arial"/>
          <w:bCs/>
          <w:iCs/>
          <w:sz w:val="22"/>
          <w:szCs w:val="22"/>
        </w:rPr>
        <w:t>ó</w:t>
      </w:r>
      <w:r>
        <w:rPr>
          <w:rFonts w:ascii="Arial" w:hAnsi="Arial" w:cs="Arial"/>
          <w:bCs/>
          <w:iCs/>
          <w:sz w:val="22"/>
          <w:szCs w:val="22"/>
        </w:rPr>
        <w:t>igazgatási feladatok teljesítéséről szóló beszámolót elfogadja.</w:t>
      </w:r>
    </w:p>
    <w:p w:rsidR="004B0CD7" w:rsidRDefault="004B0CD7" w:rsidP="004B0CD7">
      <w:pPr>
        <w:widowControl w:val="0"/>
        <w:ind w:left="2835"/>
        <w:jc w:val="both"/>
        <w:rPr>
          <w:rFonts w:ascii="Arial" w:hAnsi="Arial" w:cs="Arial"/>
          <w:i/>
          <w:sz w:val="22"/>
          <w:szCs w:val="22"/>
        </w:rPr>
      </w:pPr>
    </w:p>
    <w:p w:rsidR="00EB0271" w:rsidRDefault="004B0CD7" w:rsidP="004B0CD7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</w:t>
      </w:r>
      <w:r w:rsidR="00A37CC7">
        <w:rPr>
          <w:rFonts w:ascii="Arial" w:hAnsi="Arial" w:cs="Arial"/>
          <w:sz w:val="22"/>
          <w:szCs w:val="22"/>
        </w:rPr>
        <w:t>2016. július 5.</w:t>
      </w:r>
    </w:p>
    <w:p w:rsidR="00121E76" w:rsidRDefault="004B0CD7" w:rsidP="004B0CD7">
      <w:pPr>
        <w:widowControl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  </w:t>
      </w:r>
      <w:r w:rsidR="00A37CC7">
        <w:rPr>
          <w:rFonts w:ascii="Arial" w:hAnsi="Arial" w:cs="Arial"/>
          <w:bCs/>
          <w:iCs/>
          <w:sz w:val="22"/>
          <w:szCs w:val="22"/>
        </w:rPr>
        <w:t>Takácsné</w:t>
      </w:r>
      <w:proofErr w:type="gramEnd"/>
      <w:r w:rsidR="00A37CC7">
        <w:rPr>
          <w:rFonts w:ascii="Arial" w:hAnsi="Arial" w:cs="Arial"/>
          <w:bCs/>
          <w:iCs/>
          <w:sz w:val="22"/>
          <w:szCs w:val="22"/>
        </w:rPr>
        <w:t xml:space="preserve"> Gehring Mária aljegyző</w:t>
      </w:r>
    </w:p>
    <w:p w:rsidR="004B0CD7" w:rsidRDefault="00121E76" w:rsidP="004B0CD7">
      <w:pPr>
        <w:widowControl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</w:t>
      </w:r>
      <w:r w:rsidR="004B0CD7">
        <w:rPr>
          <w:rFonts w:ascii="Arial" w:hAnsi="Arial" w:cs="Arial"/>
          <w:bCs/>
          <w:iCs/>
          <w:sz w:val="22"/>
          <w:szCs w:val="22"/>
        </w:rPr>
        <w:t xml:space="preserve">    </w:t>
      </w:r>
      <w:r w:rsidR="006947C3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4B0CD7">
        <w:rPr>
          <w:rFonts w:ascii="Arial" w:hAnsi="Arial" w:cs="Arial"/>
          <w:bCs/>
          <w:iCs/>
          <w:sz w:val="22"/>
          <w:szCs w:val="22"/>
        </w:rPr>
        <w:t xml:space="preserve">    (a határozat megküldéséért)</w:t>
      </w:r>
    </w:p>
    <w:p w:rsidR="004B0CD7" w:rsidRDefault="004B0CD7" w:rsidP="004B0CD7">
      <w:pPr>
        <w:widowControl w:val="0"/>
        <w:ind w:left="2835"/>
        <w:jc w:val="both"/>
        <w:rPr>
          <w:rFonts w:ascii="Arial" w:hAnsi="Arial" w:cs="Arial"/>
          <w:i/>
          <w:sz w:val="22"/>
          <w:szCs w:val="22"/>
        </w:rPr>
      </w:pPr>
    </w:p>
    <w:p w:rsidR="006947C3" w:rsidRDefault="004B0CD7" w:rsidP="004B0CD7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</w:t>
      </w:r>
      <w:r w:rsidR="006947C3">
        <w:rPr>
          <w:rFonts w:ascii="Arial" w:hAnsi="Arial" w:cs="Arial"/>
          <w:sz w:val="22"/>
          <w:szCs w:val="22"/>
        </w:rPr>
        <w:t xml:space="preserve">BKÖH hatósági iroda adócsoport, </w:t>
      </w:r>
    </w:p>
    <w:p w:rsidR="004B0CD7" w:rsidRDefault="006947C3" w:rsidP="006947C3">
      <w:pPr>
        <w:widowControl w:val="0"/>
        <w:tabs>
          <w:tab w:val="left" w:pos="4820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B0CD7">
        <w:rPr>
          <w:rFonts w:ascii="Arial" w:hAnsi="Arial" w:cs="Arial"/>
          <w:sz w:val="22"/>
          <w:szCs w:val="22"/>
        </w:rPr>
        <w:t>irattár</w:t>
      </w:r>
    </w:p>
    <w:p w:rsidR="004B0CD7" w:rsidRDefault="004B0CD7" w:rsidP="004B0CD7">
      <w:pPr>
        <w:widowControl w:val="0"/>
        <w:ind w:left="1260" w:firstLine="720"/>
        <w:jc w:val="both"/>
      </w:pPr>
    </w:p>
    <w:sectPr w:rsidR="004B0CD7" w:rsidSect="007B2E4D">
      <w:footerReference w:type="default" r:id="rId9"/>
      <w:footnotePr>
        <w:pos w:val="beneathText"/>
      </w:footnotePr>
      <w:pgSz w:w="11905" w:h="16837"/>
      <w:pgMar w:top="1134" w:right="851" w:bottom="1701" w:left="851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ED" w:rsidRDefault="009177ED" w:rsidP="00D24373">
      <w:r>
        <w:separator/>
      </w:r>
    </w:p>
  </w:endnote>
  <w:endnote w:type="continuationSeparator" w:id="0">
    <w:p w:rsidR="009177ED" w:rsidRDefault="009177ED" w:rsidP="00D2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6517"/>
      <w:docPartObj>
        <w:docPartGallery w:val="Page Numbers (Bottom of Page)"/>
        <w:docPartUnique/>
      </w:docPartObj>
    </w:sdtPr>
    <w:sdtEndPr/>
    <w:sdtContent>
      <w:p w:rsidR="000A2E49" w:rsidRPr="00930C97" w:rsidRDefault="00772565" w:rsidP="00930C97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2051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;v-text-anchor:top" fillcolor="white [3212]" strokecolor="#a5a5a5 [2092]">
              <v:textbox>
                <w:txbxContent>
                  <w:p w:rsidR="000A2E49" w:rsidRDefault="00CF05AE">
                    <w:pPr>
                      <w:jc w:val="center"/>
                    </w:pPr>
                    <w:r>
                      <w:fldChar w:fldCharType="begin"/>
                    </w:r>
                    <w:r w:rsidR="000A2E49">
                      <w:instrText xml:space="preserve"> PAGE    \* MERGEFORMAT </w:instrText>
                    </w:r>
                    <w:r>
                      <w:fldChar w:fldCharType="separate"/>
                    </w:r>
                    <w:r w:rsidR="00772565" w:rsidRPr="00772565">
                      <w:rPr>
                        <w:noProof/>
                        <w:color w:val="7F7F7F" w:themeColor="background1" w:themeShade="7F"/>
                      </w:rPr>
                      <w:t>2</w:t>
                    </w:r>
                    <w:r>
                      <w:rPr>
                        <w:noProof/>
                        <w:color w:val="7F7F7F" w:themeColor="background1" w:themeShade="7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ED" w:rsidRDefault="009177ED" w:rsidP="00D24373">
      <w:r>
        <w:separator/>
      </w:r>
    </w:p>
  </w:footnote>
  <w:footnote w:type="continuationSeparator" w:id="0">
    <w:p w:rsidR="009177ED" w:rsidRDefault="009177ED" w:rsidP="00D2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E602F2D"/>
    <w:multiLevelType w:val="hybridMultilevel"/>
    <w:tmpl w:val="4DB6B558"/>
    <w:lvl w:ilvl="0" w:tplc="E5022D4E">
      <w:start w:val="201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23ACE"/>
    <w:rsid w:val="000156E8"/>
    <w:rsid w:val="000503B5"/>
    <w:rsid w:val="000A2E49"/>
    <w:rsid w:val="000A77E4"/>
    <w:rsid w:val="00121E76"/>
    <w:rsid w:val="00127E97"/>
    <w:rsid w:val="001C03B0"/>
    <w:rsid w:val="001D5972"/>
    <w:rsid w:val="001D7D1B"/>
    <w:rsid w:val="002061C4"/>
    <w:rsid w:val="002374E7"/>
    <w:rsid w:val="00261847"/>
    <w:rsid w:val="0028500B"/>
    <w:rsid w:val="002C2FD3"/>
    <w:rsid w:val="002F5AFF"/>
    <w:rsid w:val="00311FA3"/>
    <w:rsid w:val="00385B88"/>
    <w:rsid w:val="003877CC"/>
    <w:rsid w:val="003A246C"/>
    <w:rsid w:val="003C480D"/>
    <w:rsid w:val="00404FD4"/>
    <w:rsid w:val="0043116C"/>
    <w:rsid w:val="004801B7"/>
    <w:rsid w:val="0048227F"/>
    <w:rsid w:val="004B0CD7"/>
    <w:rsid w:val="00506369"/>
    <w:rsid w:val="00532E88"/>
    <w:rsid w:val="005718C0"/>
    <w:rsid w:val="005C3DDA"/>
    <w:rsid w:val="005C4209"/>
    <w:rsid w:val="005F1F1F"/>
    <w:rsid w:val="006036E7"/>
    <w:rsid w:val="0062671D"/>
    <w:rsid w:val="00672D0C"/>
    <w:rsid w:val="006947C3"/>
    <w:rsid w:val="006B3CAD"/>
    <w:rsid w:val="00720297"/>
    <w:rsid w:val="00743E22"/>
    <w:rsid w:val="00762286"/>
    <w:rsid w:val="00772565"/>
    <w:rsid w:val="007758BC"/>
    <w:rsid w:val="00775F11"/>
    <w:rsid w:val="007A6173"/>
    <w:rsid w:val="007B2E4D"/>
    <w:rsid w:val="007F0043"/>
    <w:rsid w:val="008158E4"/>
    <w:rsid w:val="00821D5E"/>
    <w:rsid w:val="00823ACE"/>
    <w:rsid w:val="008A5256"/>
    <w:rsid w:val="008E5FB5"/>
    <w:rsid w:val="008E6859"/>
    <w:rsid w:val="008F13EE"/>
    <w:rsid w:val="009177ED"/>
    <w:rsid w:val="0092666A"/>
    <w:rsid w:val="00930C97"/>
    <w:rsid w:val="0099780E"/>
    <w:rsid w:val="009E272C"/>
    <w:rsid w:val="00A03DB2"/>
    <w:rsid w:val="00A37CC7"/>
    <w:rsid w:val="00A400D8"/>
    <w:rsid w:val="00A64ABD"/>
    <w:rsid w:val="00AD2B16"/>
    <w:rsid w:val="00AE2B14"/>
    <w:rsid w:val="00AE71A5"/>
    <w:rsid w:val="00AF49B9"/>
    <w:rsid w:val="00B016B2"/>
    <w:rsid w:val="00B32713"/>
    <w:rsid w:val="00B33465"/>
    <w:rsid w:val="00B60585"/>
    <w:rsid w:val="00B6792F"/>
    <w:rsid w:val="00B873D8"/>
    <w:rsid w:val="00BB61E4"/>
    <w:rsid w:val="00BC2B6A"/>
    <w:rsid w:val="00BF735A"/>
    <w:rsid w:val="00C2153B"/>
    <w:rsid w:val="00CB05E3"/>
    <w:rsid w:val="00CB0839"/>
    <w:rsid w:val="00CD6D38"/>
    <w:rsid w:val="00CF05AE"/>
    <w:rsid w:val="00CF643F"/>
    <w:rsid w:val="00D24373"/>
    <w:rsid w:val="00D30691"/>
    <w:rsid w:val="00D44211"/>
    <w:rsid w:val="00D53012"/>
    <w:rsid w:val="00D63D20"/>
    <w:rsid w:val="00DD5AD1"/>
    <w:rsid w:val="00DF7050"/>
    <w:rsid w:val="00E35E00"/>
    <w:rsid w:val="00E4658B"/>
    <w:rsid w:val="00EB0271"/>
    <w:rsid w:val="00EE1314"/>
    <w:rsid w:val="00EF3E72"/>
    <w:rsid w:val="00F0396F"/>
    <w:rsid w:val="00F0774D"/>
    <w:rsid w:val="00F81A53"/>
    <w:rsid w:val="00FA0204"/>
    <w:rsid w:val="00FA53A1"/>
    <w:rsid w:val="00FC0C3C"/>
    <w:rsid w:val="00FD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7CC"/>
    <w:pPr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3877CC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387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6">
    <w:name w:val="heading 6"/>
    <w:basedOn w:val="Norml"/>
    <w:next w:val="Norml"/>
    <w:qFormat/>
    <w:rsid w:val="003877CC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3877CC"/>
    <w:pPr>
      <w:spacing w:before="240" w:after="60"/>
      <w:outlineLvl w:val="6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3877CC"/>
    <w:rPr>
      <w:rFonts w:ascii="Arial" w:hAnsi="Arial" w:cs="Arial"/>
    </w:rPr>
  </w:style>
  <w:style w:type="character" w:customStyle="1" w:styleId="WW8Num3z0">
    <w:name w:val="WW8Num3z0"/>
    <w:rsid w:val="003877CC"/>
    <w:rPr>
      <w:rFonts w:ascii="Arial" w:hAnsi="Arial" w:cs="Arial"/>
    </w:rPr>
  </w:style>
  <w:style w:type="character" w:customStyle="1" w:styleId="WW8Num3z1">
    <w:name w:val="WW8Num3z1"/>
    <w:rsid w:val="003877CC"/>
    <w:rPr>
      <w:rFonts w:ascii="Courier New" w:hAnsi="Courier New" w:cs="Courier New"/>
    </w:rPr>
  </w:style>
  <w:style w:type="character" w:customStyle="1" w:styleId="WW8Num3z2">
    <w:name w:val="WW8Num3z2"/>
    <w:rsid w:val="003877CC"/>
    <w:rPr>
      <w:rFonts w:ascii="Wingdings" w:hAnsi="Wingdings"/>
    </w:rPr>
  </w:style>
  <w:style w:type="character" w:customStyle="1" w:styleId="WW8Num3z3">
    <w:name w:val="WW8Num3z3"/>
    <w:rsid w:val="003877CC"/>
    <w:rPr>
      <w:rFonts w:ascii="Symbol" w:hAnsi="Symbol"/>
    </w:rPr>
  </w:style>
  <w:style w:type="character" w:customStyle="1" w:styleId="WW8Num4z0">
    <w:name w:val="WW8Num4z0"/>
    <w:rsid w:val="003877CC"/>
    <w:rPr>
      <w:rFonts w:ascii="Wingdings" w:hAnsi="Wingdings"/>
    </w:rPr>
  </w:style>
  <w:style w:type="character" w:customStyle="1" w:styleId="WW8Num4z1">
    <w:name w:val="WW8Num4z1"/>
    <w:rsid w:val="003877CC"/>
    <w:rPr>
      <w:rFonts w:ascii="Courier New" w:hAnsi="Courier New" w:cs="Courier New"/>
    </w:rPr>
  </w:style>
  <w:style w:type="character" w:customStyle="1" w:styleId="WW8Num4z2">
    <w:name w:val="WW8Num4z2"/>
    <w:rsid w:val="003877CC"/>
    <w:rPr>
      <w:rFonts w:ascii="Wingdings" w:hAnsi="Wingdings"/>
    </w:rPr>
  </w:style>
  <w:style w:type="character" w:customStyle="1" w:styleId="WW8Num4z3">
    <w:name w:val="WW8Num4z3"/>
    <w:rsid w:val="003877CC"/>
    <w:rPr>
      <w:rFonts w:ascii="Symbol" w:hAnsi="Symbol"/>
    </w:rPr>
  </w:style>
  <w:style w:type="character" w:customStyle="1" w:styleId="WW8Num7z0">
    <w:name w:val="WW8Num7z0"/>
    <w:rsid w:val="003877CC"/>
    <w:rPr>
      <w:rFonts w:ascii="Symbol" w:hAnsi="Symbol"/>
    </w:rPr>
  </w:style>
  <w:style w:type="character" w:customStyle="1" w:styleId="WW8Num7z1">
    <w:name w:val="WW8Num7z1"/>
    <w:rsid w:val="003877CC"/>
    <w:rPr>
      <w:rFonts w:ascii="Courier New" w:hAnsi="Courier New" w:cs="Courier New"/>
    </w:rPr>
  </w:style>
  <w:style w:type="character" w:customStyle="1" w:styleId="WW8Num7z2">
    <w:name w:val="WW8Num7z2"/>
    <w:rsid w:val="003877CC"/>
    <w:rPr>
      <w:rFonts w:ascii="Wingdings" w:hAnsi="Wingdings"/>
    </w:rPr>
  </w:style>
  <w:style w:type="character" w:customStyle="1" w:styleId="Bekezdsalapbettpusa2">
    <w:name w:val="Bekezdés alapbetűtípusa2"/>
    <w:rsid w:val="003877CC"/>
  </w:style>
  <w:style w:type="character" w:customStyle="1" w:styleId="WW8Num2z0">
    <w:name w:val="WW8Num2z0"/>
    <w:rsid w:val="003877CC"/>
    <w:rPr>
      <w:rFonts w:ascii="Arial" w:eastAsia="Times New Roman" w:hAnsi="Arial" w:cs="Arial"/>
    </w:rPr>
  </w:style>
  <w:style w:type="character" w:customStyle="1" w:styleId="Bekezdsalapbettpusa1">
    <w:name w:val="Bekezdés alapbetűtípusa1"/>
    <w:rsid w:val="003877CC"/>
  </w:style>
  <w:style w:type="character" w:customStyle="1" w:styleId="WW8Num10z0">
    <w:name w:val="WW8Num10z0"/>
    <w:rsid w:val="003877CC"/>
    <w:rPr>
      <w:rFonts w:ascii="Symbol" w:hAnsi="Symbol"/>
    </w:rPr>
  </w:style>
  <w:style w:type="character" w:customStyle="1" w:styleId="WW8Num10z1">
    <w:name w:val="WW8Num10z1"/>
    <w:rsid w:val="003877CC"/>
    <w:rPr>
      <w:rFonts w:ascii="Courier New" w:hAnsi="Courier New" w:cs="Courier New"/>
    </w:rPr>
  </w:style>
  <w:style w:type="character" w:customStyle="1" w:styleId="WW8Num10z2">
    <w:name w:val="WW8Num10z2"/>
    <w:rsid w:val="003877CC"/>
    <w:rPr>
      <w:rFonts w:ascii="Wingdings" w:hAnsi="Wingdings"/>
    </w:rPr>
  </w:style>
  <w:style w:type="character" w:customStyle="1" w:styleId="WW8Num11z0">
    <w:name w:val="WW8Num11z0"/>
    <w:rsid w:val="003877CC"/>
    <w:rPr>
      <w:rFonts w:ascii="Arial" w:eastAsia="Times New Roman" w:hAnsi="Arial" w:cs="Arial"/>
    </w:rPr>
  </w:style>
  <w:style w:type="character" w:customStyle="1" w:styleId="WW8Num11z1">
    <w:name w:val="WW8Num11z1"/>
    <w:rsid w:val="003877CC"/>
    <w:rPr>
      <w:rFonts w:ascii="Courier New" w:hAnsi="Courier New" w:cs="Courier New"/>
    </w:rPr>
  </w:style>
  <w:style w:type="character" w:customStyle="1" w:styleId="WW8Num11z2">
    <w:name w:val="WW8Num11z2"/>
    <w:rsid w:val="003877CC"/>
    <w:rPr>
      <w:rFonts w:ascii="Wingdings" w:hAnsi="Wingdings"/>
    </w:rPr>
  </w:style>
  <w:style w:type="character" w:customStyle="1" w:styleId="WW8Num11z3">
    <w:name w:val="WW8Num11z3"/>
    <w:rsid w:val="003877CC"/>
    <w:rPr>
      <w:rFonts w:ascii="Symbol" w:hAnsi="Symbol"/>
    </w:rPr>
  </w:style>
  <w:style w:type="character" w:customStyle="1" w:styleId="WW8Num12z0">
    <w:name w:val="WW8Num12z0"/>
    <w:rsid w:val="003877CC"/>
    <w:rPr>
      <w:rFonts w:ascii="Arial" w:eastAsia="Times New Roman" w:hAnsi="Arial" w:cs="Arial"/>
    </w:rPr>
  </w:style>
  <w:style w:type="character" w:customStyle="1" w:styleId="WW8Num12z1">
    <w:name w:val="WW8Num12z1"/>
    <w:rsid w:val="003877CC"/>
    <w:rPr>
      <w:rFonts w:ascii="Courier New" w:hAnsi="Courier New" w:cs="Courier New"/>
    </w:rPr>
  </w:style>
  <w:style w:type="character" w:customStyle="1" w:styleId="WW8Num12z2">
    <w:name w:val="WW8Num12z2"/>
    <w:rsid w:val="003877CC"/>
    <w:rPr>
      <w:rFonts w:ascii="Wingdings" w:hAnsi="Wingdings"/>
    </w:rPr>
  </w:style>
  <w:style w:type="character" w:customStyle="1" w:styleId="WW8Num12z3">
    <w:name w:val="WW8Num12z3"/>
    <w:rsid w:val="003877CC"/>
    <w:rPr>
      <w:rFonts w:ascii="Symbol" w:hAnsi="Symbol"/>
    </w:rPr>
  </w:style>
  <w:style w:type="character" w:customStyle="1" w:styleId="WW8Num13z0">
    <w:name w:val="WW8Num13z0"/>
    <w:rsid w:val="003877CC"/>
    <w:rPr>
      <w:rFonts w:ascii="Symbol" w:hAnsi="Symbol"/>
    </w:rPr>
  </w:style>
  <w:style w:type="character" w:customStyle="1" w:styleId="WW8Num13z1">
    <w:name w:val="WW8Num13z1"/>
    <w:rsid w:val="003877CC"/>
    <w:rPr>
      <w:rFonts w:ascii="Courier New" w:hAnsi="Courier New" w:cs="Courier New"/>
    </w:rPr>
  </w:style>
  <w:style w:type="character" w:customStyle="1" w:styleId="WW8Num13z2">
    <w:name w:val="WW8Num13z2"/>
    <w:rsid w:val="003877CC"/>
    <w:rPr>
      <w:rFonts w:ascii="Wingdings" w:hAnsi="Wingdings"/>
    </w:rPr>
  </w:style>
  <w:style w:type="character" w:customStyle="1" w:styleId="WW8Num14z0">
    <w:name w:val="WW8Num14z0"/>
    <w:rsid w:val="003877CC"/>
    <w:rPr>
      <w:rFonts w:ascii="Symbol" w:hAnsi="Symbol"/>
    </w:rPr>
  </w:style>
  <w:style w:type="character" w:customStyle="1" w:styleId="WW8Num14z1">
    <w:name w:val="WW8Num14z1"/>
    <w:rsid w:val="003877CC"/>
    <w:rPr>
      <w:rFonts w:ascii="Courier New" w:hAnsi="Courier New" w:cs="Courier New"/>
    </w:rPr>
  </w:style>
  <w:style w:type="character" w:customStyle="1" w:styleId="WW8Num14z2">
    <w:name w:val="WW8Num14z2"/>
    <w:rsid w:val="003877CC"/>
    <w:rPr>
      <w:rFonts w:ascii="Wingdings" w:hAnsi="Wingdings"/>
    </w:rPr>
  </w:style>
  <w:style w:type="character" w:customStyle="1" w:styleId="WW8Num18z0">
    <w:name w:val="WW8Num18z0"/>
    <w:rsid w:val="003877CC"/>
    <w:rPr>
      <w:rFonts w:ascii="Arial" w:eastAsia="Times New Roman" w:hAnsi="Arial" w:cs="Arial"/>
    </w:rPr>
  </w:style>
  <w:style w:type="character" w:customStyle="1" w:styleId="WW8Num18z1">
    <w:name w:val="WW8Num18z1"/>
    <w:rsid w:val="003877CC"/>
    <w:rPr>
      <w:rFonts w:ascii="Courier New" w:hAnsi="Courier New" w:cs="Courier New"/>
    </w:rPr>
  </w:style>
  <w:style w:type="character" w:customStyle="1" w:styleId="WW8Num18z2">
    <w:name w:val="WW8Num18z2"/>
    <w:rsid w:val="003877CC"/>
    <w:rPr>
      <w:rFonts w:ascii="Wingdings" w:hAnsi="Wingdings"/>
    </w:rPr>
  </w:style>
  <w:style w:type="character" w:customStyle="1" w:styleId="WW8Num18z3">
    <w:name w:val="WW8Num18z3"/>
    <w:rsid w:val="003877CC"/>
    <w:rPr>
      <w:rFonts w:ascii="Symbol" w:hAnsi="Symbol"/>
    </w:rPr>
  </w:style>
  <w:style w:type="character" w:customStyle="1" w:styleId="WW8Num21z0">
    <w:name w:val="WW8Num21z0"/>
    <w:rsid w:val="003877CC"/>
    <w:rPr>
      <w:rFonts w:ascii="Symbol" w:hAnsi="Symbol"/>
    </w:rPr>
  </w:style>
  <w:style w:type="character" w:customStyle="1" w:styleId="WW8Num21z1">
    <w:name w:val="WW8Num21z1"/>
    <w:rsid w:val="003877CC"/>
    <w:rPr>
      <w:rFonts w:ascii="Courier New" w:hAnsi="Courier New" w:cs="Courier New"/>
    </w:rPr>
  </w:style>
  <w:style w:type="character" w:customStyle="1" w:styleId="WW8Num21z2">
    <w:name w:val="WW8Num21z2"/>
    <w:rsid w:val="003877CC"/>
    <w:rPr>
      <w:rFonts w:ascii="Wingdings" w:hAnsi="Wingdings"/>
    </w:rPr>
  </w:style>
  <w:style w:type="character" w:customStyle="1" w:styleId="WW8Num26z1">
    <w:name w:val="WW8Num26z1"/>
    <w:rsid w:val="003877CC"/>
    <w:rPr>
      <w:rFonts w:ascii="Times New Roman" w:eastAsia="Times New Roman" w:hAnsi="Times New Roman" w:cs="Times New Roman"/>
    </w:rPr>
  </w:style>
  <w:style w:type="character" w:customStyle="1" w:styleId="WW8NumSt17z0">
    <w:name w:val="WW8NumSt17z0"/>
    <w:rsid w:val="003877CC"/>
    <w:rPr>
      <w:rFonts w:ascii="Times New Roman" w:hAnsi="Times New Roman" w:cs="Times New Roman"/>
    </w:rPr>
  </w:style>
  <w:style w:type="character" w:customStyle="1" w:styleId="Bekezdsalap-bettpusa">
    <w:name w:val="Bekezdés alap-betűtípusa"/>
    <w:rsid w:val="003877CC"/>
  </w:style>
  <w:style w:type="character" w:styleId="Oldalszm">
    <w:name w:val="page number"/>
    <w:basedOn w:val="Bekezdsalap-bettpusa"/>
    <w:semiHidden/>
    <w:rsid w:val="003877CC"/>
  </w:style>
  <w:style w:type="character" w:customStyle="1" w:styleId="Lbjegyzet-karakterek">
    <w:name w:val="Lábjegyzet-karakterek"/>
    <w:basedOn w:val="Bekezdsalap-bettpusa"/>
    <w:rsid w:val="003877CC"/>
    <w:rPr>
      <w:vertAlign w:val="superscript"/>
    </w:rPr>
  </w:style>
  <w:style w:type="paragraph" w:customStyle="1" w:styleId="Cmsor">
    <w:name w:val="Címsor"/>
    <w:basedOn w:val="Norml"/>
    <w:next w:val="Szvegtrzs"/>
    <w:rsid w:val="003877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3877CC"/>
    <w:pPr>
      <w:spacing w:after="120"/>
    </w:pPr>
  </w:style>
  <w:style w:type="paragraph" w:styleId="Lista">
    <w:name w:val="List"/>
    <w:basedOn w:val="Szvegtrzs"/>
    <w:semiHidden/>
    <w:rsid w:val="003877CC"/>
    <w:rPr>
      <w:rFonts w:cs="Tahoma"/>
    </w:rPr>
  </w:style>
  <w:style w:type="paragraph" w:customStyle="1" w:styleId="Felirat">
    <w:name w:val="Felirat"/>
    <w:basedOn w:val="Norml"/>
    <w:rsid w:val="003877C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3877CC"/>
    <w:pPr>
      <w:suppressLineNumbers/>
    </w:pPr>
    <w:rPr>
      <w:rFonts w:cs="Tahoma"/>
    </w:rPr>
  </w:style>
  <w:style w:type="paragraph" w:styleId="llb">
    <w:name w:val="footer"/>
    <w:basedOn w:val="Norml"/>
    <w:link w:val="llbChar"/>
    <w:uiPriority w:val="99"/>
    <w:rsid w:val="003877CC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3877CC"/>
    <w:rPr>
      <w:sz w:val="20"/>
    </w:rPr>
  </w:style>
  <w:style w:type="paragraph" w:styleId="Szvegtrzsbehzssal">
    <w:name w:val="Body Text Indent"/>
    <w:basedOn w:val="Norml"/>
    <w:semiHidden/>
    <w:rsid w:val="003877CC"/>
    <w:pPr>
      <w:tabs>
        <w:tab w:val="left" w:pos="567"/>
      </w:tabs>
      <w:ind w:left="567"/>
      <w:jc w:val="both"/>
    </w:pPr>
    <w:rPr>
      <w:rFonts w:ascii="Arial" w:hAnsi="Arial"/>
    </w:rPr>
  </w:style>
  <w:style w:type="paragraph" w:customStyle="1" w:styleId="Szvegtrzsbehzssal31">
    <w:name w:val="Szövegtörzs behúzással 31"/>
    <w:basedOn w:val="Norml"/>
    <w:rsid w:val="003877CC"/>
    <w:pPr>
      <w:spacing w:after="120"/>
      <w:ind w:left="283"/>
    </w:pPr>
    <w:rPr>
      <w:sz w:val="16"/>
      <w:szCs w:val="16"/>
    </w:rPr>
  </w:style>
  <w:style w:type="paragraph" w:customStyle="1" w:styleId="Bekezds">
    <w:name w:val="Bekezdés"/>
    <w:basedOn w:val="Norml"/>
    <w:rsid w:val="003877CC"/>
    <w:pPr>
      <w:keepLines/>
      <w:widowControl w:val="0"/>
      <w:overflowPunct/>
      <w:ind w:firstLine="202"/>
      <w:jc w:val="both"/>
      <w:textAlignment w:val="auto"/>
    </w:pPr>
    <w:rPr>
      <w:rFonts w:ascii="H-Times-Roman" w:hAnsi="H-Times-Roman"/>
      <w:szCs w:val="24"/>
      <w:lang w:val="da-DK"/>
    </w:rPr>
  </w:style>
  <w:style w:type="paragraph" w:customStyle="1" w:styleId="Szvegtrzs31">
    <w:name w:val="Szövegtörzs 31"/>
    <w:basedOn w:val="Norml"/>
    <w:rsid w:val="003877CC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rsid w:val="003877CC"/>
    <w:pPr>
      <w:spacing w:after="120" w:line="480" w:lineRule="auto"/>
    </w:pPr>
  </w:style>
  <w:style w:type="paragraph" w:customStyle="1" w:styleId="Tblzattartalom">
    <w:name w:val="Táblázattartalom"/>
    <w:basedOn w:val="Norml"/>
    <w:rsid w:val="003877CC"/>
    <w:pPr>
      <w:suppressLineNumbers/>
    </w:pPr>
  </w:style>
  <w:style w:type="paragraph" w:customStyle="1" w:styleId="Tblzatfejlc">
    <w:name w:val="Táblázatfejléc"/>
    <w:basedOn w:val="Tblzattartalom"/>
    <w:rsid w:val="003877CC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3877CC"/>
  </w:style>
  <w:style w:type="paragraph" w:styleId="lfej">
    <w:name w:val="header"/>
    <w:basedOn w:val="Norml"/>
    <w:semiHidden/>
    <w:rsid w:val="003877CC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3877CC"/>
    <w:pPr>
      <w:overflowPunct/>
      <w:autoSpaceDE/>
      <w:ind w:left="708"/>
      <w:textAlignment w:val="auto"/>
    </w:pPr>
    <w:rPr>
      <w:szCs w:val="24"/>
    </w:rPr>
  </w:style>
  <w:style w:type="character" w:customStyle="1" w:styleId="Cmsor1Char">
    <w:name w:val="Címsor 1 Char"/>
    <w:basedOn w:val="Bekezdsalapbettpusa"/>
    <w:link w:val="Cmsor1"/>
    <w:rsid w:val="00DD5AD1"/>
    <w:rPr>
      <w:b/>
      <w:sz w:val="24"/>
      <w:lang w:eastAsia="ar-SA"/>
    </w:rPr>
  </w:style>
  <w:style w:type="character" w:customStyle="1" w:styleId="Cmsor2Char">
    <w:name w:val="Címsor 2 Char"/>
    <w:basedOn w:val="Bekezdsalapbettpusa"/>
    <w:link w:val="Cmsor2"/>
    <w:rsid w:val="00DD5AD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930C9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253D-983E-4BD7-9C93-0BCD054B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1714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Képviselő-testülete</vt:lpstr>
    </vt:vector>
  </TitlesOfParts>
  <Company>..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Képviselő-testülete</dc:title>
  <dc:subject/>
  <dc:creator>Polgármesteri Hivatal</dc:creator>
  <cp:keywords/>
  <cp:lastModifiedBy>Polgármester</cp:lastModifiedBy>
  <cp:revision>44</cp:revision>
  <cp:lastPrinted>2010-03-12T06:44:00Z</cp:lastPrinted>
  <dcterms:created xsi:type="dcterms:W3CDTF">2015-06-09T13:23:00Z</dcterms:created>
  <dcterms:modified xsi:type="dcterms:W3CDTF">2016-06-16T13:29:00Z</dcterms:modified>
</cp:coreProperties>
</file>