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10" w:rsidRPr="002838BC" w:rsidRDefault="00C34110" w:rsidP="00C34110">
      <w:pPr>
        <w:jc w:val="center"/>
        <w:rPr>
          <w:b/>
        </w:rPr>
      </w:pPr>
      <w:r w:rsidRPr="002838BC">
        <w:rPr>
          <w:b/>
        </w:rPr>
        <w:t>Jogcímenkénti elszámolás a működési kiadásokhoz kötött támogatásokról</w:t>
      </w:r>
    </w:p>
    <w:p w:rsidR="00C34110" w:rsidRPr="002838BC" w:rsidRDefault="00C34110" w:rsidP="00C34110"/>
    <w:p w:rsidR="00C34110" w:rsidRPr="002838BC" w:rsidRDefault="00C34110" w:rsidP="00C34110">
      <w:r w:rsidRPr="002838BC">
        <w:t>Társulás megnevezése:</w:t>
      </w:r>
    </w:p>
    <w:p w:rsidR="00C34110" w:rsidRPr="002838BC" w:rsidRDefault="00C34110" w:rsidP="00C34110"/>
    <w:p w:rsidR="00C34110" w:rsidRPr="002838BC" w:rsidRDefault="00C34110" w:rsidP="00C34110">
      <w:r w:rsidRPr="002838BC">
        <w:t>Tagtelepülés megnevezése:</w:t>
      </w:r>
    </w:p>
    <w:p w:rsidR="00C34110" w:rsidRPr="002838BC" w:rsidRDefault="00C34110" w:rsidP="00C34110"/>
    <w:p w:rsidR="00C34110" w:rsidRPr="002838BC" w:rsidRDefault="00C34110" w:rsidP="00C34110">
      <w:r w:rsidRPr="002838BC">
        <w:t>Elszámolási időszak:</w:t>
      </w:r>
    </w:p>
    <w:p w:rsidR="00C34110" w:rsidRPr="002838BC" w:rsidRDefault="00C34110" w:rsidP="00C34110"/>
    <w:tbl>
      <w:tblPr>
        <w:tblW w:w="9830" w:type="dxa"/>
        <w:tblInd w:w="55" w:type="dxa"/>
        <w:tblCellMar>
          <w:left w:w="70" w:type="dxa"/>
          <w:right w:w="70" w:type="dxa"/>
        </w:tblCellMar>
        <w:tblLook w:val="04A0"/>
      </w:tblPr>
      <w:tblGrid>
        <w:gridCol w:w="751"/>
        <w:gridCol w:w="5591"/>
        <w:gridCol w:w="1047"/>
        <w:gridCol w:w="2441"/>
      </w:tblGrid>
      <w:tr w:rsidR="00C34110" w:rsidRPr="002838BC" w:rsidTr="00C34110">
        <w:trPr>
          <w:trHeight w:val="319"/>
        </w:trPr>
        <w:tc>
          <w:tcPr>
            <w:tcW w:w="9830" w:type="dxa"/>
            <w:gridSpan w:val="4"/>
            <w:noWrap/>
            <w:vAlign w:val="bottom"/>
            <w:hideMark/>
          </w:tcPr>
          <w:p w:rsidR="00C34110" w:rsidRPr="002838BC" w:rsidRDefault="00C34110" w:rsidP="00C34110">
            <w:pPr>
              <w:jc w:val="right"/>
              <w:rPr>
                <w:bCs/>
                <w:i/>
                <w:color w:val="000000"/>
                <w:sz w:val="20"/>
              </w:rPr>
            </w:pPr>
            <w:r w:rsidRPr="002838BC">
              <w:rPr>
                <w:bCs/>
                <w:i/>
                <w:color w:val="000000"/>
                <w:sz w:val="20"/>
              </w:rPr>
              <w:t>forintban</w:t>
            </w:r>
          </w:p>
        </w:tc>
      </w:tr>
      <w:tr w:rsidR="00C34110" w:rsidRPr="002838BC" w:rsidTr="00C34110">
        <w:trPr>
          <w:trHeight w:val="1200"/>
        </w:trPr>
        <w:tc>
          <w:tcPr>
            <w:tcW w:w="751" w:type="dxa"/>
            <w:tcBorders>
              <w:top w:val="single" w:sz="8" w:space="0" w:color="auto"/>
              <w:left w:val="single" w:sz="8" w:space="0" w:color="auto"/>
              <w:bottom w:val="single" w:sz="4" w:space="0" w:color="auto"/>
              <w:right w:val="single" w:sz="4" w:space="0" w:color="auto"/>
            </w:tcBorders>
            <w:vAlign w:val="center"/>
            <w:hideMark/>
          </w:tcPr>
          <w:p w:rsidR="00C34110" w:rsidRPr="002838BC" w:rsidRDefault="00C34110" w:rsidP="00C34110">
            <w:pPr>
              <w:jc w:val="center"/>
              <w:rPr>
                <w:b/>
                <w:bCs/>
                <w:color w:val="000000"/>
                <w:sz w:val="20"/>
              </w:rPr>
            </w:pPr>
            <w:r w:rsidRPr="002838BC">
              <w:rPr>
                <w:b/>
                <w:bCs/>
                <w:color w:val="000000"/>
                <w:sz w:val="20"/>
              </w:rPr>
              <w:t>Jogcím sor-</w:t>
            </w:r>
            <w:r w:rsidRPr="002838BC">
              <w:rPr>
                <w:b/>
                <w:bCs/>
                <w:color w:val="000000"/>
                <w:sz w:val="20"/>
              </w:rPr>
              <w:br/>
              <w:t>száma</w:t>
            </w:r>
          </w:p>
        </w:tc>
        <w:tc>
          <w:tcPr>
            <w:tcW w:w="5591" w:type="dxa"/>
            <w:tcBorders>
              <w:top w:val="single" w:sz="8" w:space="0" w:color="auto"/>
              <w:left w:val="nil"/>
              <w:bottom w:val="single" w:sz="4" w:space="0" w:color="auto"/>
              <w:right w:val="single" w:sz="4" w:space="0" w:color="auto"/>
            </w:tcBorders>
            <w:noWrap/>
            <w:vAlign w:val="center"/>
            <w:hideMark/>
          </w:tcPr>
          <w:p w:rsidR="00C34110" w:rsidRPr="002838BC" w:rsidRDefault="00C34110" w:rsidP="00C34110">
            <w:pPr>
              <w:jc w:val="center"/>
              <w:rPr>
                <w:b/>
                <w:bCs/>
                <w:color w:val="000000"/>
                <w:sz w:val="20"/>
              </w:rPr>
            </w:pPr>
            <w:r w:rsidRPr="002838BC">
              <w:rPr>
                <w:b/>
                <w:bCs/>
                <w:color w:val="000000"/>
                <w:sz w:val="20"/>
              </w:rPr>
              <w:t>Rovat megnevezése</w:t>
            </w:r>
          </w:p>
        </w:tc>
        <w:tc>
          <w:tcPr>
            <w:tcW w:w="1047" w:type="dxa"/>
            <w:tcBorders>
              <w:top w:val="single" w:sz="8" w:space="0" w:color="auto"/>
              <w:left w:val="nil"/>
              <w:bottom w:val="single" w:sz="4" w:space="0" w:color="auto"/>
              <w:right w:val="single" w:sz="4" w:space="0" w:color="auto"/>
            </w:tcBorders>
            <w:vAlign w:val="center"/>
            <w:hideMark/>
          </w:tcPr>
          <w:p w:rsidR="00C34110" w:rsidRPr="002838BC" w:rsidRDefault="00C34110" w:rsidP="00C34110">
            <w:pPr>
              <w:jc w:val="center"/>
              <w:rPr>
                <w:b/>
                <w:bCs/>
                <w:color w:val="000000"/>
                <w:sz w:val="20"/>
              </w:rPr>
            </w:pPr>
            <w:r w:rsidRPr="002838BC">
              <w:rPr>
                <w:b/>
                <w:bCs/>
                <w:color w:val="000000"/>
                <w:sz w:val="20"/>
              </w:rPr>
              <w:t>Rovat</w:t>
            </w:r>
            <w:r w:rsidRPr="002838BC">
              <w:rPr>
                <w:b/>
                <w:bCs/>
                <w:color w:val="000000"/>
                <w:sz w:val="20"/>
              </w:rPr>
              <w:br/>
              <w:t>száma</w:t>
            </w:r>
          </w:p>
        </w:tc>
        <w:tc>
          <w:tcPr>
            <w:tcW w:w="2441" w:type="dxa"/>
            <w:tcBorders>
              <w:top w:val="single" w:sz="8" w:space="0" w:color="auto"/>
              <w:left w:val="nil"/>
              <w:bottom w:val="single" w:sz="4" w:space="0" w:color="auto"/>
              <w:right w:val="single" w:sz="4" w:space="0" w:color="auto"/>
            </w:tcBorders>
            <w:vAlign w:val="center"/>
            <w:hideMark/>
          </w:tcPr>
          <w:p w:rsidR="00C34110" w:rsidRPr="002838BC" w:rsidRDefault="00C34110" w:rsidP="00C34110">
            <w:pPr>
              <w:jc w:val="center"/>
              <w:rPr>
                <w:b/>
                <w:bCs/>
                <w:sz w:val="20"/>
              </w:rPr>
            </w:pPr>
            <w:r w:rsidRPr="002838BC">
              <w:rPr>
                <w:b/>
                <w:bCs/>
                <w:sz w:val="20"/>
              </w:rPr>
              <w:t>Az időszakban kapott támogatásból finanszírozott összeg</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01</w:t>
            </w:r>
          </w:p>
        </w:tc>
        <w:tc>
          <w:tcPr>
            <w:tcW w:w="5591" w:type="dxa"/>
            <w:tcBorders>
              <w:top w:val="single" w:sz="4" w:space="0" w:color="auto"/>
              <w:left w:val="nil"/>
              <w:bottom w:val="single" w:sz="4" w:space="0" w:color="auto"/>
              <w:right w:val="nil"/>
            </w:tcBorders>
            <w:noWrap/>
            <w:vAlign w:val="center"/>
            <w:hideMark/>
          </w:tcPr>
          <w:p w:rsidR="00C34110" w:rsidRPr="002838BC" w:rsidRDefault="00C34110" w:rsidP="00C34110">
            <w:pPr>
              <w:rPr>
                <w:color w:val="000000"/>
                <w:sz w:val="20"/>
              </w:rPr>
            </w:pPr>
            <w:r w:rsidRPr="002838BC">
              <w:rPr>
                <w:color w:val="000000"/>
                <w:sz w:val="20"/>
              </w:rPr>
              <w:t>Törvény szerinti illetmények, munkabérek</w:t>
            </w:r>
          </w:p>
        </w:tc>
        <w:tc>
          <w:tcPr>
            <w:tcW w:w="1047" w:type="dxa"/>
            <w:tcBorders>
              <w:top w:val="single" w:sz="4" w:space="0" w:color="auto"/>
              <w:left w:val="single" w:sz="4" w:space="0" w:color="auto"/>
              <w:bottom w:val="single" w:sz="4" w:space="0" w:color="auto"/>
              <w:right w:val="single" w:sz="4" w:space="0" w:color="000000"/>
            </w:tcBorders>
            <w:noWrap/>
            <w:vAlign w:val="center"/>
            <w:hideMark/>
          </w:tcPr>
          <w:p w:rsidR="00C34110" w:rsidRPr="002838BC" w:rsidRDefault="00C34110" w:rsidP="00C34110">
            <w:pPr>
              <w:rPr>
                <w:color w:val="000000"/>
                <w:sz w:val="20"/>
              </w:rPr>
            </w:pPr>
            <w:r w:rsidRPr="002838BC">
              <w:rPr>
                <w:color w:val="000000"/>
                <w:sz w:val="20"/>
              </w:rPr>
              <w:t>K1101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02</w:t>
            </w:r>
          </w:p>
        </w:tc>
        <w:tc>
          <w:tcPr>
            <w:tcW w:w="5591" w:type="dxa"/>
            <w:tcBorders>
              <w:top w:val="single" w:sz="4" w:space="0" w:color="auto"/>
              <w:left w:val="nil"/>
              <w:bottom w:val="single" w:sz="4" w:space="0" w:color="auto"/>
              <w:right w:val="nil"/>
            </w:tcBorders>
            <w:noWrap/>
            <w:vAlign w:val="center"/>
            <w:hideMark/>
          </w:tcPr>
          <w:p w:rsidR="00C34110" w:rsidRPr="002838BC" w:rsidRDefault="00C34110" w:rsidP="00C34110">
            <w:pPr>
              <w:rPr>
                <w:color w:val="000000"/>
                <w:sz w:val="20"/>
              </w:rPr>
            </w:pPr>
            <w:r w:rsidRPr="002838BC">
              <w:rPr>
                <w:color w:val="000000"/>
                <w:sz w:val="20"/>
              </w:rPr>
              <w:t>Normatív jutalmak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K1102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03</w:t>
            </w:r>
          </w:p>
        </w:tc>
        <w:tc>
          <w:tcPr>
            <w:tcW w:w="5591" w:type="dxa"/>
            <w:tcBorders>
              <w:top w:val="single" w:sz="4" w:space="0" w:color="auto"/>
              <w:left w:val="nil"/>
              <w:bottom w:val="single" w:sz="4" w:space="0" w:color="auto"/>
              <w:right w:val="nil"/>
            </w:tcBorders>
            <w:noWrap/>
            <w:vAlign w:val="center"/>
            <w:hideMark/>
          </w:tcPr>
          <w:p w:rsidR="00C34110" w:rsidRPr="002838BC" w:rsidRDefault="00C34110" w:rsidP="00C34110">
            <w:pPr>
              <w:rPr>
                <w:color w:val="000000"/>
                <w:sz w:val="20"/>
              </w:rPr>
            </w:pPr>
            <w:r w:rsidRPr="002838BC">
              <w:rPr>
                <w:color w:val="000000"/>
                <w:sz w:val="20"/>
              </w:rPr>
              <w:t>Céljuttatás, projektprémium</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K1103</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04</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Készenléti, ügyeleti, helyettesítési díj, túlóra, túlszolgálat</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K1104</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05</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Végkielégítés</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K1105</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06</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Jubileumi jutalom</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K1106</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07</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Béren kívüli juttatások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K1107</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08</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Ruházati költségtérítés</w:t>
            </w:r>
          </w:p>
        </w:tc>
        <w:tc>
          <w:tcPr>
            <w:tcW w:w="1047" w:type="dxa"/>
            <w:tcBorders>
              <w:top w:val="single" w:sz="4" w:space="0" w:color="auto"/>
              <w:left w:val="single" w:sz="4" w:space="0" w:color="auto"/>
              <w:bottom w:val="single" w:sz="4" w:space="0" w:color="auto"/>
              <w:right w:val="single" w:sz="4" w:space="0" w:color="000000"/>
            </w:tcBorders>
            <w:noWrap/>
            <w:vAlign w:val="center"/>
            <w:hideMark/>
          </w:tcPr>
          <w:p w:rsidR="00C34110" w:rsidRPr="002838BC" w:rsidRDefault="00C34110" w:rsidP="00C34110">
            <w:pPr>
              <w:rPr>
                <w:color w:val="000000"/>
                <w:sz w:val="20"/>
              </w:rPr>
            </w:pPr>
            <w:r w:rsidRPr="002838BC">
              <w:rPr>
                <w:color w:val="000000"/>
                <w:sz w:val="20"/>
              </w:rPr>
              <w:t>K1108</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09</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Közlekedési költségtérítés</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K1109</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10</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Egyéb költségtérítések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K1110</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11</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Lakhatási támogatások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K1111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12</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Szociális támogatások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K1112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13</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Foglalkoztatottak egyéb személyi juttatásai</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K1113</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14</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Foglalkoztatottak személyi juttatásai (=01+…+13)</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K11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15</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Választott tisztségviselők juttatásai</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K121</w:t>
            </w:r>
          </w:p>
        </w:tc>
        <w:tc>
          <w:tcPr>
            <w:tcW w:w="2441" w:type="dxa"/>
            <w:tcBorders>
              <w:top w:val="single" w:sz="4" w:space="0" w:color="auto"/>
              <w:left w:val="nil"/>
              <w:bottom w:val="single" w:sz="4" w:space="0" w:color="auto"/>
              <w:right w:val="single" w:sz="4" w:space="0" w:color="000000"/>
            </w:tcBorders>
            <w:noWrap/>
            <w:vAlign w:val="center"/>
          </w:tcPr>
          <w:p w:rsidR="00C34110" w:rsidRPr="002838BC" w:rsidRDefault="00C34110" w:rsidP="00C34110">
            <w:pPr>
              <w:jc w:val="center"/>
              <w:rPr>
                <w:color w:val="000000"/>
                <w:sz w:val="20"/>
              </w:rPr>
            </w:pPr>
          </w:p>
        </w:tc>
      </w:tr>
      <w:tr w:rsidR="00C34110" w:rsidRPr="002838BC" w:rsidTr="00C34110">
        <w:trPr>
          <w:trHeight w:val="585"/>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16</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Munkavégzésre irányuló egyéb jogviszonyban nem saját foglalkoztatottnak fizetett juttatások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K122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17</w:t>
            </w:r>
          </w:p>
        </w:tc>
        <w:tc>
          <w:tcPr>
            <w:tcW w:w="5591" w:type="dxa"/>
            <w:tcBorders>
              <w:top w:val="single" w:sz="4" w:space="0" w:color="auto"/>
              <w:left w:val="nil"/>
              <w:bottom w:val="single" w:sz="4" w:space="0" w:color="auto"/>
              <w:right w:val="nil"/>
            </w:tcBorders>
            <w:noWrap/>
            <w:vAlign w:val="center"/>
            <w:hideMark/>
          </w:tcPr>
          <w:p w:rsidR="00C34110" w:rsidRPr="002838BC" w:rsidRDefault="00C34110" w:rsidP="00C34110">
            <w:pPr>
              <w:rPr>
                <w:color w:val="000000"/>
                <w:sz w:val="20"/>
              </w:rPr>
            </w:pPr>
            <w:r w:rsidRPr="002838BC">
              <w:rPr>
                <w:color w:val="000000"/>
                <w:sz w:val="20"/>
              </w:rPr>
              <w:t>Egyéb külső személyi juttatások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K123</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18</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Külső személyi juttatások (=15+16+17)</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K12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19</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Személyi juttatások (=14+18)</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20</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 xml:space="preserve">Munkaadókat terhelő járulékok és szociális hozzájárulási adó                                                                            </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21</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Szakmai anyagok beszerzése</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K311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22</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Üzemeltetési anyagok beszerzése</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K312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23</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Készletbeszerzés (=21+22)</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K31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24</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Informatikai szolgáltatások igénybevétele</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K321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25</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Egyéb kommunikációs szolgáltatások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K322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lastRenderedPageBreak/>
              <w:t>26</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Kommunikációs szolgáltatások (=24+25)</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K32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27</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Közüzemi díjak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K331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28</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Vásárolt élelmezés</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K332</w:t>
            </w:r>
          </w:p>
        </w:tc>
        <w:tc>
          <w:tcPr>
            <w:tcW w:w="2441" w:type="dxa"/>
            <w:tcBorders>
              <w:top w:val="single" w:sz="4" w:space="0" w:color="auto"/>
              <w:left w:val="nil"/>
              <w:bottom w:val="single" w:sz="4" w:space="0" w:color="auto"/>
              <w:right w:val="single" w:sz="4" w:space="0" w:color="000000"/>
            </w:tcBorders>
            <w:noWrap/>
            <w:vAlign w:val="center"/>
          </w:tcPr>
          <w:p w:rsidR="00C34110" w:rsidRPr="002838BC" w:rsidRDefault="00C34110" w:rsidP="00C34110">
            <w:pPr>
              <w:jc w:val="right"/>
              <w:rPr>
                <w:color w:val="000000"/>
                <w:sz w:val="20"/>
              </w:rPr>
            </w:pP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29</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Bérleti és lízing díjak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K333</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30</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Karbantartási, kisjavítási szolgáltatások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K334</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31</w:t>
            </w:r>
          </w:p>
        </w:tc>
        <w:tc>
          <w:tcPr>
            <w:tcW w:w="5591" w:type="dxa"/>
            <w:tcBorders>
              <w:top w:val="single" w:sz="4" w:space="0" w:color="auto"/>
              <w:left w:val="nil"/>
              <w:bottom w:val="single" w:sz="4" w:space="0" w:color="auto"/>
              <w:right w:val="nil"/>
            </w:tcBorders>
            <w:noWrap/>
            <w:vAlign w:val="center"/>
            <w:hideMark/>
          </w:tcPr>
          <w:p w:rsidR="00C34110" w:rsidRPr="002838BC" w:rsidRDefault="00C34110" w:rsidP="00C34110">
            <w:pPr>
              <w:rPr>
                <w:color w:val="000000"/>
                <w:sz w:val="20"/>
              </w:rPr>
            </w:pPr>
            <w:r w:rsidRPr="002838BC">
              <w:rPr>
                <w:color w:val="000000"/>
                <w:sz w:val="20"/>
              </w:rPr>
              <w:t xml:space="preserve">Szakmai tevékenységet segítő szolgáltatások </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K336</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32</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Egyéb szolgáltatások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K337</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33</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Szolgáltatási kiadások (=27+…+2</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K33</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34</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Kiküldetések kiadásai</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K341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35</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Reklám- és propagandakiadások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K342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36</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Kiküldetések, reklám- és propagandakiadások (=34+35)</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K34</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37</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 xml:space="preserve">Fizetendő általános forgalmi adó </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K352</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38</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color w:val="000000"/>
                <w:sz w:val="20"/>
              </w:rPr>
            </w:pPr>
            <w:r w:rsidRPr="002838BC">
              <w:rPr>
                <w:color w:val="000000"/>
                <w:sz w:val="20"/>
              </w:rPr>
              <w:t>Egyéb dologi kiadások</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K355</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color w:val="000000"/>
                <w:sz w:val="20"/>
              </w:rPr>
            </w:pPr>
            <w:r w:rsidRPr="002838BC">
              <w:rPr>
                <w:color w:val="000000"/>
                <w:sz w:val="20"/>
              </w:rPr>
              <w:t> </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39</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Különféle befizetések és egyéb dologi kiadások (=37+38+39)</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K35</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40</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color w:val="000000"/>
                <w:sz w:val="20"/>
              </w:rPr>
            </w:pPr>
            <w:r w:rsidRPr="002838BC">
              <w:rPr>
                <w:b/>
                <w:bCs/>
                <w:color w:val="000000"/>
                <w:sz w:val="20"/>
              </w:rPr>
              <w:t>Dologi kiadások (=23+26+33+36+40)</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K3</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41</w:t>
            </w:r>
          </w:p>
        </w:tc>
        <w:tc>
          <w:tcPr>
            <w:tcW w:w="5591" w:type="dxa"/>
            <w:tcBorders>
              <w:top w:val="single" w:sz="4" w:space="0" w:color="auto"/>
              <w:left w:val="nil"/>
              <w:bottom w:val="single" w:sz="4" w:space="0" w:color="auto"/>
              <w:right w:val="single" w:sz="4" w:space="0" w:color="000000"/>
            </w:tcBorders>
            <w:vAlign w:val="center"/>
            <w:hideMark/>
          </w:tcPr>
          <w:p w:rsidR="00C34110" w:rsidRPr="002838BC" w:rsidRDefault="00C34110" w:rsidP="00C34110">
            <w:pPr>
              <w:rPr>
                <w:sz w:val="20"/>
              </w:rPr>
            </w:pPr>
            <w:r w:rsidRPr="002838BC">
              <w:rPr>
                <w:sz w:val="20"/>
              </w:rPr>
              <w:t>Nemzetközi kötelezettségek</w:t>
            </w:r>
          </w:p>
        </w:tc>
        <w:tc>
          <w:tcPr>
            <w:tcW w:w="1047"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rPr>
                <w:color w:val="000000"/>
                <w:sz w:val="20"/>
              </w:rPr>
            </w:pPr>
            <w:r w:rsidRPr="002838BC">
              <w:rPr>
                <w:color w:val="000000"/>
                <w:sz w:val="20"/>
              </w:rPr>
              <w:t>K501</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 </w:t>
            </w:r>
          </w:p>
        </w:tc>
      </w:tr>
      <w:tr w:rsidR="00C34110" w:rsidRPr="002838BC" w:rsidTr="00C34110">
        <w:trPr>
          <w:trHeight w:val="55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42</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sz w:val="20"/>
              </w:rPr>
            </w:pPr>
            <w:r w:rsidRPr="002838BC">
              <w:rPr>
                <w:sz w:val="20"/>
              </w:rPr>
              <w:t>Egyéb működési célú támogatások államháztartáson belülre</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K506</w:t>
            </w:r>
          </w:p>
        </w:tc>
        <w:tc>
          <w:tcPr>
            <w:tcW w:w="2441" w:type="dxa"/>
            <w:tcBorders>
              <w:top w:val="single" w:sz="4" w:space="0" w:color="auto"/>
              <w:left w:val="nil"/>
              <w:bottom w:val="single" w:sz="4" w:space="0" w:color="auto"/>
              <w:right w:val="single" w:sz="4" w:space="0" w:color="000000"/>
            </w:tcBorders>
            <w:noWrap/>
            <w:vAlign w:val="center"/>
          </w:tcPr>
          <w:p w:rsidR="00C34110" w:rsidRPr="002838BC" w:rsidRDefault="00C34110" w:rsidP="00C34110">
            <w:pPr>
              <w:jc w:val="right"/>
              <w:rPr>
                <w:b/>
                <w:bCs/>
                <w:color w:val="000000"/>
                <w:sz w:val="20"/>
              </w:rPr>
            </w:pP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color w:val="000000"/>
                <w:sz w:val="20"/>
              </w:rPr>
            </w:pPr>
            <w:r w:rsidRPr="002838BC">
              <w:rPr>
                <w:color w:val="000000"/>
                <w:sz w:val="20"/>
              </w:rPr>
              <w:t>43</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sz w:val="20"/>
              </w:rPr>
            </w:pPr>
            <w:r w:rsidRPr="002838BC">
              <w:rPr>
                <w:sz w:val="20"/>
              </w:rPr>
              <w:t>Egyéb működési célú támogatások államháztartáson kívülre</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color w:val="000000"/>
                <w:sz w:val="20"/>
              </w:rPr>
            </w:pPr>
            <w:r w:rsidRPr="002838BC">
              <w:rPr>
                <w:color w:val="000000"/>
                <w:sz w:val="20"/>
              </w:rPr>
              <w:t>K512</w:t>
            </w:r>
          </w:p>
        </w:tc>
        <w:tc>
          <w:tcPr>
            <w:tcW w:w="2441" w:type="dxa"/>
            <w:tcBorders>
              <w:top w:val="single" w:sz="4" w:space="0" w:color="auto"/>
              <w:left w:val="nil"/>
              <w:bottom w:val="single" w:sz="4" w:space="0" w:color="auto"/>
              <w:right w:val="single" w:sz="4" w:space="0" w:color="000000"/>
            </w:tcBorders>
            <w:noWrap/>
            <w:vAlign w:val="center"/>
          </w:tcPr>
          <w:p w:rsidR="00C34110" w:rsidRPr="002838BC" w:rsidRDefault="00C34110" w:rsidP="00C34110">
            <w:pPr>
              <w:jc w:val="right"/>
              <w:rPr>
                <w:b/>
                <w:bCs/>
                <w:color w:val="000000"/>
                <w:sz w:val="20"/>
              </w:rPr>
            </w:pPr>
          </w:p>
        </w:tc>
      </w:tr>
      <w:tr w:rsidR="00C34110" w:rsidRPr="002838BC" w:rsidTr="00C34110">
        <w:trPr>
          <w:trHeight w:val="390"/>
        </w:trPr>
        <w:tc>
          <w:tcPr>
            <w:tcW w:w="751" w:type="dxa"/>
            <w:tcBorders>
              <w:top w:val="single" w:sz="4" w:space="0" w:color="auto"/>
              <w:left w:val="single" w:sz="8" w:space="0" w:color="auto"/>
              <w:bottom w:val="single" w:sz="4"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44</w:t>
            </w:r>
          </w:p>
        </w:tc>
        <w:tc>
          <w:tcPr>
            <w:tcW w:w="5591" w:type="dxa"/>
            <w:tcBorders>
              <w:top w:val="single" w:sz="4" w:space="0" w:color="auto"/>
              <w:left w:val="nil"/>
              <w:bottom w:val="single" w:sz="4" w:space="0" w:color="auto"/>
              <w:right w:val="nil"/>
            </w:tcBorders>
            <w:vAlign w:val="center"/>
            <w:hideMark/>
          </w:tcPr>
          <w:p w:rsidR="00C34110" w:rsidRPr="002838BC" w:rsidRDefault="00C34110" w:rsidP="00C34110">
            <w:pPr>
              <w:rPr>
                <w:b/>
                <w:bCs/>
                <w:sz w:val="20"/>
              </w:rPr>
            </w:pPr>
            <w:r w:rsidRPr="002838BC">
              <w:rPr>
                <w:b/>
                <w:bCs/>
                <w:sz w:val="20"/>
              </w:rPr>
              <w:t>Egyéb működési célú kiadások (=42+43+44)</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C34110" w:rsidRPr="002838BC" w:rsidRDefault="00C34110" w:rsidP="00C34110">
            <w:pPr>
              <w:rPr>
                <w:b/>
                <w:bCs/>
                <w:color w:val="000000"/>
                <w:sz w:val="20"/>
              </w:rPr>
            </w:pPr>
            <w:r w:rsidRPr="002838BC">
              <w:rPr>
                <w:b/>
                <w:bCs/>
                <w:color w:val="000000"/>
                <w:sz w:val="20"/>
              </w:rPr>
              <w:t>K5</w:t>
            </w:r>
          </w:p>
        </w:tc>
        <w:tc>
          <w:tcPr>
            <w:tcW w:w="2441" w:type="dxa"/>
            <w:tcBorders>
              <w:top w:val="single" w:sz="4" w:space="0" w:color="auto"/>
              <w:left w:val="nil"/>
              <w:bottom w:val="single" w:sz="4"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r w:rsidR="00C34110" w:rsidRPr="002838BC" w:rsidTr="00C34110">
        <w:trPr>
          <w:trHeight w:val="390"/>
        </w:trPr>
        <w:tc>
          <w:tcPr>
            <w:tcW w:w="751" w:type="dxa"/>
            <w:tcBorders>
              <w:top w:val="single" w:sz="4" w:space="0" w:color="auto"/>
              <w:left w:val="single" w:sz="8" w:space="0" w:color="auto"/>
              <w:bottom w:val="single" w:sz="8" w:space="0" w:color="auto"/>
              <w:right w:val="single" w:sz="4" w:space="0" w:color="000000"/>
            </w:tcBorders>
            <w:noWrap/>
            <w:vAlign w:val="center"/>
            <w:hideMark/>
          </w:tcPr>
          <w:p w:rsidR="00C34110" w:rsidRPr="002838BC" w:rsidRDefault="00C34110" w:rsidP="00C34110">
            <w:pPr>
              <w:jc w:val="center"/>
              <w:rPr>
                <w:b/>
                <w:bCs/>
                <w:color w:val="000000"/>
                <w:sz w:val="20"/>
              </w:rPr>
            </w:pPr>
            <w:r w:rsidRPr="002838BC">
              <w:rPr>
                <w:b/>
                <w:bCs/>
                <w:color w:val="000000"/>
                <w:sz w:val="20"/>
              </w:rPr>
              <w:t>45</w:t>
            </w:r>
          </w:p>
        </w:tc>
        <w:tc>
          <w:tcPr>
            <w:tcW w:w="5591" w:type="dxa"/>
            <w:tcBorders>
              <w:top w:val="single" w:sz="4" w:space="0" w:color="auto"/>
              <w:left w:val="nil"/>
              <w:bottom w:val="single" w:sz="8" w:space="0" w:color="auto"/>
              <w:right w:val="nil"/>
            </w:tcBorders>
            <w:noWrap/>
            <w:vAlign w:val="center"/>
            <w:hideMark/>
          </w:tcPr>
          <w:p w:rsidR="00C34110" w:rsidRPr="002838BC" w:rsidRDefault="00C34110" w:rsidP="00C34110">
            <w:pPr>
              <w:rPr>
                <w:b/>
                <w:bCs/>
                <w:sz w:val="20"/>
              </w:rPr>
            </w:pPr>
            <w:r w:rsidRPr="002838BC">
              <w:rPr>
                <w:b/>
                <w:bCs/>
                <w:sz w:val="20"/>
              </w:rPr>
              <w:t>Költségvetési működési kiadások (=19+20+41+45)</w:t>
            </w:r>
          </w:p>
        </w:tc>
        <w:tc>
          <w:tcPr>
            <w:tcW w:w="1047" w:type="dxa"/>
            <w:tcBorders>
              <w:top w:val="single" w:sz="4" w:space="0" w:color="auto"/>
              <w:left w:val="single" w:sz="4" w:space="0" w:color="auto"/>
              <w:bottom w:val="single" w:sz="8" w:space="0" w:color="auto"/>
              <w:right w:val="single" w:sz="4" w:space="0" w:color="000000"/>
            </w:tcBorders>
            <w:noWrap/>
            <w:vAlign w:val="center"/>
            <w:hideMark/>
          </w:tcPr>
          <w:p w:rsidR="00C34110" w:rsidRPr="002838BC" w:rsidRDefault="00C34110" w:rsidP="00C34110">
            <w:pPr>
              <w:rPr>
                <w:b/>
                <w:bCs/>
                <w:color w:val="000000"/>
                <w:sz w:val="20"/>
              </w:rPr>
            </w:pPr>
            <w:r w:rsidRPr="002838BC">
              <w:rPr>
                <w:b/>
                <w:bCs/>
                <w:color w:val="000000"/>
                <w:sz w:val="20"/>
              </w:rPr>
              <w:t>K1-K5</w:t>
            </w:r>
          </w:p>
        </w:tc>
        <w:tc>
          <w:tcPr>
            <w:tcW w:w="2441" w:type="dxa"/>
            <w:tcBorders>
              <w:top w:val="single" w:sz="4" w:space="0" w:color="auto"/>
              <w:left w:val="nil"/>
              <w:bottom w:val="single" w:sz="8" w:space="0" w:color="auto"/>
              <w:right w:val="single" w:sz="4" w:space="0" w:color="000000"/>
            </w:tcBorders>
            <w:noWrap/>
            <w:vAlign w:val="center"/>
            <w:hideMark/>
          </w:tcPr>
          <w:p w:rsidR="00C34110" w:rsidRPr="002838BC" w:rsidRDefault="00C34110" w:rsidP="00C34110">
            <w:pPr>
              <w:jc w:val="right"/>
              <w:rPr>
                <w:b/>
                <w:bCs/>
                <w:color w:val="000000"/>
                <w:sz w:val="20"/>
              </w:rPr>
            </w:pPr>
            <w:r w:rsidRPr="002838BC">
              <w:rPr>
                <w:b/>
                <w:bCs/>
                <w:color w:val="000000"/>
                <w:sz w:val="20"/>
              </w:rPr>
              <w:t>0</w:t>
            </w:r>
          </w:p>
        </w:tc>
      </w:tr>
    </w:tbl>
    <w:p w:rsidR="00C34110" w:rsidRPr="002838BC" w:rsidRDefault="00C34110" w:rsidP="00C34110">
      <w:pPr>
        <w:ind w:left="284"/>
        <w:rPr>
          <w:sz w:val="20"/>
          <w:szCs w:val="28"/>
        </w:rPr>
      </w:pPr>
    </w:p>
    <w:p w:rsidR="00C34110" w:rsidRPr="002838BC" w:rsidRDefault="00C34110" w:rsidP="00C34110">
      <w:pPr>
        <w:ind w:left="284"/>
        <w:rPr>
          <w:sz w:val="20"/>
          <w:szCs w:val="28"/>
        </w:rPr>
      </w:pPr>
    </w:p>
    <w:p w:rsidR="00C34110" w:rsidRPr="002838BC" w:rsidRDefault="00C34110" w:rsidP="00C34110">
      <w:pPr>
        <w:ind w:left="284"/>
        <w:rPr>
          <w:sz w:val="20"/>
          <w:szCs w:val="28"/>
        </w:rPr>
      </w:pPr>
      <w:r w:rsidRPr="002838BC">
        <w:rPr>
          <w:sz w:val="20"/>
          <w:szCs w:val="28"/>
        </w:rPr>
        <w:t>Kelt: ……………………………</w:t>
      </w:r>
    </w:p>
    <w:p w:rsidR="00C34110" w:rsidRPr="002838BC" w:rsidRDefault="00C34110" w:rsidP="00C34110">
      <w:pPr>
        <w:ind w:left="284"/>
        <w:rPr>
          <w:sz w:val="20"/>
          <w:szCs w:val="28"/>
        </w:rPr>
      </w:pPr>
    </w:p>
    <w:p w:rsidR="00C34110" w:rsidRPr="002838BC" w:rsidRDefault="00C34110" w:rsidP="00C34110">
      <w:pPr>
        <w:ind w:left="284"/>
        <w:rPr>
          <w:sz w:val="20"/>
          <w:szCs w:val="28"/>
        </w:rPr>
      </w:pPr>
    </w:p>
    <w:p w:rsidR="00C34110" w:rsidRPr="002838BC" w:rsidRDefault="00C34110" w:rsidP="00C34110">
      <w:pPr>
        <w:tabs>
          <w:tab w:val="left" w:pos="3402"/>
          <w:tab w:val="left" w:pos="6804"/>
        </w:tabs>
        <w:ind w:left="284"/>
        <w:rPr>
          <w:sz w:val="20"/>
          <w:szCs w:val="28"/>
        </w:rPr>
      </w:pPr>
      <w:r w:rsidRPr="002838BC">
        <w:rPr>
          <w:sz w:val="20"/>
          <w:szCs w:val="28"/>
        </w:rPr>
        <w:tab/>
        <w:t xml:space="preserve">…………................ </w:t>
      </w:r>
      <w:r w:rsidRPr="002838BC">
        <w:rPr>
          <w:sz w:val="20"/>
          <w:szCs w:val="28"/>
        </w:rPr>
        <w:tab/>
        <w:t>…………................</w:t>
      </w:r>
    </w:p>
    <w:p w:rsidR="00C34110" w:rsidRPr="002838BC" w:rsidRDefault="00C34110" w:rsidP="00C34110">
      <w:pPr>
        <w:tabs>
          <w:tab w:val="left" w:pos="3969"/>
          <w:tab w:val="left" w:pos="6804"/>
        </w:tabs>
        <w:rPr>
          <w:sz w:val="20"/>
          <w:szCs w:val="28"/>
        </w:rPr>
      </w:pPr>
      <w:r w:rsidRPr="002838BC">
        <w:rPr>
          <w:sz w:val="20"/>
          <w:szCs w:val="28"/>
        </w:rPr>
        <w:tab/>
        <w:t>Jegyző</w:t>
      </w:r>
      <w:r w:rsidRPr="002838BC">
        <w:rPr>
          <w:sz w:val="20"/>
          <w:szCs w:val="28"/>
        </w:rPr>
        <w:tab/>
      </w:r>
      <w:r w:rsidRPr="002838BC">
        <w:rPr>
          <w:sz w:val="20"/>
          <w:szCs w:val="28"/>
        </w:rPr>
        <w:tab/>
        <w:t>Pénzügyi vezető</w:t>
      </w:r>
    </w:p>
    <w:p w:rsidR="00C34110" w:rsidRPr="002838BC" w:rsidRDefault="00C34110" w:rsidP="00C34110">
      <w:pPr>
        <w:tabs>
          <w:tab w:val="left" w:pos="3969"/>
          <w:tab w:val="left" w:pos="6804"/>
        </w:tabs>
        <w:rPr>
          <w:sz w:val="20"/>
          <w:szCs w:val="28"/>
        </w:rPr>
      </w:pPr>
    </w:p>
    <w:p w:rsidR="00C34110" w:rsidRPr="002838BC" w:rsidRDefault="00C34110" w:rsidP="00C34110">
      <w:pPr>
        <w:tabs>
          <w:tab w:val="left" w:pos="3969"/>
          <w:tab w:val="left" w:pos="6804"/>
        </w:tabs>
        <w:rPr>
          <w:sz w:val="20"/>
          <w:szCs w:val="28"/>
        </w:rPr>
      </w:pPr>
    </w:p>
    <w:p w:rsidR="00C34110" w:rsidRPr="002838BC" w:rsidRDefault="00C34110" w:rsidP="00C34110">
      <w:pPr>
        <w:tabs>
          <w:tab w:val="left" w:pos="5812"/>
          <w:tab w:val="left" w:pos="6804"/>
        </w:tabs>
        <w:rPr>
          <w:sz w:val="20"/>
          <w:szCs w:val="28"/>
        </w:rPr>
      </w:pPr>
      <w:r w:rsidRPr="002838BC">
        <w:rPr>
          <w:sz w:val="20"/>
          <w:szCs w:val="28"/>
        </w:rPr>
        <w:tab/>
        <w:t>P.H.</w:t>
      </w:r>
    </w:p>
    <w:p w:rsidR="00C34110" w:rsidRPr="002838BC" w:rsidRDefault="00C34110" w:rsidP="00C34110">
      <w:pPr>
        <w:rPr>
          <w:sz w:val="20"/>
          <w:szCs w:val="28"/>
        </w:rPr>
        <w:sectPr w:rsidR="00C34110" w:rsidRPr="002838BC" w:rsidSect="00C34110">
          <w:headerReference w:type="default" r:id="rId8"/>
          <w:footerReference w:type="default" r:id="rId9"/>
          <w:pgSz w:w="11907" w:h="16840"/>
          <w:pgMar w:top="1440" w:right="1080" w:bottom="1135" w:left="1080" w:header="567" w:footer="567" w:gutter="0"/>
          <w:pgNumType w:start="24"/>
          <w:cols w:space="708"/>
        </w:sectPr>
      </w:pPr>
    </w:p>
    <w:p w:rsidR="00C34110" w:rsidRPr="002838BC" w:rsidRDefault="00C34110" w:rsidP="00C34110">
      <w:pPr>
        <w:jc w:val="center"/>
        <w:rPr>
          <w:b/>
        </w:rPr>
      </w:pPr>
      <w:r w:rsidRPr="002838BC">
        <w:rPr>
          <w:b/>
        </w:rPr>
        <w:lastRenderedPageBreak/>
        <w:t>Számlaösszesítő</w:t>
      </w:r>
    </w:p>
    <w:p w:rsidR="00C34110" w:rsidRPr="002838BC" w:rsidRDefault="00C34110" w:rsidP="00C34110">
      <w:pPr>
        <w:jc w:val="center"/>
        <w:rPr>
          <w:b/>
        </w:rPr>
      </w:pPr>
      <w:r w:rsidRPr="002838BC">
        <w:rPr>
          <w:b/>
        </w:rPr>
        <w:t>– a jogcímenkénti elszámolás alátámasztására –</w:t>
      </w:r>
    </w:p>
    <w:p w:rsidR="00C34110" w:rsidRPr="002838BC" w:rsidRDefault="00C34110" w:rsidP="00C34110">
      <w:pPr>
        <w:tabs>
          <w:tab w:val="left" w:pos="3969"/>
        </w:tabs>
        <w:rPr>
          <w:sz w:val="20"/>
          <w:szCs w:val="28"/>
        </w:rPr>
      </w:pPr>
      <w:r w:rsidRPr="002838BC">
        <w:rPr>
          <w:sz w:val="20"/>
          <w:szCs w:val="28"/>
        </w:rPr>
        <w:tab/>
      </w:r>
    </w:p>
    <w:p w:rsidR="00C34110" w:rsidRPr="002838BC" w:rsidRDefault="00C34110" w:rsidP="00C34110">
      <w:pPr>
        <w:rPr>
          <w:sz w:val="20"/>
          <w:szCs w:val="28"/>
        </w:rPr>
      </w:pPr>
    </w:p>
    <w:p w:rsidR="00C34110" w:rsidRPr="002838BC" w:rsidRDefault="00C34110" w:rsidP="00C34110">
      <w:r w:rsidRPr="002838BC">
        <w:t>Társulás megnevezése:</w:t>
      </w:r>
    </w:p>
    <w:p w:rsidR="00C34110" w:rsidRPr="002838BC" w:rsidRDefault="00C34110" w:rsidP="00C34110"/>
    <w:p w:rsidR="00C34110" w:rsidRPr="002838BC" w:rsidRDefault="00C34110" w:rsidP="00C34110">
      <w:r w:rsidRPr="002838BC">
        <w:t>Tagtelepülés megnevezése:</w:t>
      </w:r>
    </w:p>
    <w:p w:rsidR="00C34110" w:rsidRPr="002838BC" w:rsidRDefault="00C34110" w:rsidP="00C34110">
      <w:pPr>
        <w:tabs>
          <w:tab w:val="left" w:pos="11983"/>
        </w:tabs>
      </w:pPr>
      <w:r w:rsidRPr="002838BC">
        <w:tab/>
      </w:r>
    </w:p>
    <w:p w:rsidR="00C34110" w:rsidRDefault="00C34110" w:rsidP="00C34110">
      <w:r w:rsidRPr="002838BC">
        <w:t>Elszámolási időszak:</w:t>
      </w:r>
    </w:p>
    <w:p w:rsidR="00C34110" w:rsidRPr="002838BC" w:rsidRDefault="00C34110" w:rsidP="00C34110"/>
    <w:tbl>
      <w:tblPr>
        <w:tblW w:w="26660" w:type="dxa"/>
        <w:tblInd w:w="55" w:type="dxa"/>
        <w:tblCellMar>
          <w:left w:w="70" w:type="dxa"/>
          <w:right w:w="70" w:type="dxa"/>
        </w:tblCellMar>
        <w:tblLook w:val="04A0"/>
      </w:tblPr>
      <w:tblGrid>
        <w:gridCol w:w="467"/>
        <w:gridCol w:w="285"/>
        <w:gridCol w:w="161"/>
        <w:gridCol w:w="303"/>
        <w:gridCol w:w="303"/>
        <w:gridCol w:w="303"/>
        <w:gridCol w:w="210"/>
        <w:gridCol w:w="93"/>
        <w:gridCol w:w="303"/>
        <w:gridCol w:w="303"/>
        <w:gridCol w:w="303"/>
        <w:gridCol w:w="160"/>
        <w:gridCol w:w="218"/>
        <w:gridCol w:w="85"/>
        <w:gridCol w:w="303"/>
        <w:gridCol w:w="572"/>
        <w:gridCol w:w="535"/>
        <w:gridCol w:w="303"/>
        <w:gridCol w:w="122"/>
        <w:gridCol w:w="238"/>
        <w:gridCol w:w="303"/>
        <w:gridCol w:w="160"/>
        <w:gridCol w:w="163"/>
        <w:gridCol w:w="96"/>
        <w:gridCol w:w="212"/>
        <w:gridCol w:w="306"/>
        <w:gridCol w:w="442"/>
        <w:gridCol w:w="960"/>
        <w:gridCol w:w="359"/>
        <w:gridCol w:w="601"/>
        <w:gridCol w:w="340"/>
        <w:gridCol w:w="620"/>
        <w:gridCol w:w="752"/>
        <w:gridCol w:w="600"/>
        <w:gridCol w:w="918"/>
        <w:gridCol w:w="142"/>
        <w:gridCol w:w="1930"/>
        <w:gridCol w:w="144"/>
        <w:gridCol w:w="599"/>
        <w:gridCol w:w="319"/>
        <w:gridCol w:w="269"/>
        <w:gridCol w:w="337"/>
        <w:gridCol w:w="251"/>
        <w:gridCol w:w="366"/>
        <w:gridCol w:w="287"/>
        <w:gridCol w:w="1795"/>
        <w:gridCol w:w="932"/>
        <w:gridCol w:w="279"/>
        <w:gridCol w:w="582"/>
        <w:gridCol w:w="500"/>
        <w:gridCol w:w="418"/>
        <w:gridCol w:w="378"/>
        <w:gridCol w:w="202"/>
        <w:gridCol w:w="200"/>
        <w:gridCol w:w="160"/>
        <w:gridCol w:w="318"/>
        <w:gridCol w:w="3850"/>
      </w:tblGrid>
      <w:tr w:rsidR="00C34110" w:rsidTr="00C34110">
        <w:trPr>
          <w:gridAfter w:val="13"/>
          <w:wAfter w:w="9901" w:type="dxa"/>
          <w:trHeight w:val="319"/>
        </w:trPr>
        <w:tc>
          <w:tcPr>
            <w:tcW w:w="14474" w:type="dxa"/>
            <w:gridSpan w:val="37"/>
            <w:noWrap/>
            <w:vAlign w:val="bottom"/>
            <w:hideMark/>
          </w:tcPr>
          <w:p w:rsidR="00C34110" w:rsidRDefault="00C34110" w:rsidP="00C34110">
            <w:pPr>
              <w:ind w:left="284"/>
              <w:jc w:val="right"/>
              <w:rPr>
                <w:bCs/>
                <w:i/>
                <w:color w:val="000000"/>
                <w:sz w:val="20"/>
              </w:rPr>
            </w:pPr>
            <w:r>
              <w:rPr>
                <w:bCs/>
                <w:i/>
                <w:color w:val="000000"/>
                <w:sz w:val="20"/>
              </w:rPr>
              <w:t>adatok forintban</w:t>
            </w:r>
          </w:p>
        </w:tc>
        <w:tc>
          <w:tcPr>
            <w:tcW w:w="1062" w:type="dxa"/>
            <w:gridSpan w:val="3"/>
          </w:tcPr>
          <w:p w:rsidR="00C34110" w:rsidRDefault="00C34110" w:rsidP="00C34110">
            <w:pPr>
              <w:ind w:left="284"/>
              <w:rPr>
                <w:bCs/>
                <w:i/>
                <w:color w:val="000000"/>
                <w:sz w:val="20"/>
              </w:rPr>
            </w:pPr>
          </w:p>
        </w:tc>
        <w:tc>
          <w:tcPr>
            <w:tcW w:w="606" w:type="dxa"/>
            <w:gridSpan w:val="2"/>
          </w:tcPr>
          <w:p w:rsidR="00C34110" w:rsidRDefault="00C34110" w:rsidP="00C34110">
            <w:pPr>
              <w:ind w:left="284"/>
              <w:rPr>
                <w:bCs/>
                <w:i/>
                <w:color w:val="000000"/>
                <w:sz w:val="20"/>
              </w:rPr>
            </w:pPr>
          </w:p>
        </w:tc>
        <w:tc>
          <w:tcPr>
            <w:tcW w:w="617" w:type="dxa"/>
            <w:gridSpan w:val="2"/>
          </w:tcPr>
          <w:p w:rsidR="00C34110" w:rsidRDefault="00C34110" w:rsidP="00C34110">
            <w:pPr>
              <w:ind w:left="284"/>
              <w:rPr>
                <w:bCs/>
                <w:i/>
                <w:color w:val="000000"/>
                <w:sz w:val="20"/>
              </w:rPr>
            </w:pPr>
          </w:p>
        </w:tc>
      </w:tr>
      <w:tr w:rsidR="00C34110" w:rsidTr="00C34110">
        <w:trPr>
          <w:gridAfter w:val="19"/>
          <w:wAfter w:w="12042" w:type="dxa"/>
          <w:trHeight w:val="555"/>
        </w:trPr>
        <w:tc>
          <w:tcPr>
            <w:tcW w:w="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Jogcím sor-száma</w:t>
            </w:r>
          </w:p>
        </w:tc>
        <w:tc>
          <w:tcPr>
            <w:tcW w:w="2660" w:type="dxa"/>
            <w:gridSpan w:val="11"/>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Kibocsátó/ szerződő fél</w:t>
            </w:r>
          </w:p>
        </w:tc>
        <w:tc>
          <w:tcPr>
            <w:tcW w:w="6720" w:type="dxa"/>
            <w:gridSpan w:val="19"/>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Számla</w:t>
            </w:r>
          </w:p>
        </w:tc>
        <w:tc>
          <w:tcPr>
            <w:tcW w:w="13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Támogatásból elszámolni kívánt bruttó összeg</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Pénzügyi teljesítés dátuma</w:t>
            </w:r>
          </w:p>
        </w:tc>
        <w:tc>
          <w:tcPr>
            <w:tcW w:w="20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Megjegyzés, indoklás</w:t>
            </w:r>
          </w:p>
        </w:tc>
      </w:tr>
      <w:tr w:rsidR="00C34110" w:rsidTr="00C34110">
        <w:trPr>
          <w:gridAfter w:val="19"/>
          <w:wAfter w:w="12042" w:type="dxa"/>
          <w:trHeight w:val="510"/>
        </w:trPr>
        <w:tc>
          <w:tcPr>
            <w:tcW w:w="752" w:type="dxa"/>
            <w:gridSpan w:val="2"/>
            <w:vMerge/>
            <w:tcBorders>
              <w:top w:val="single" w:sz="4" w:space="0" w:color="auto"/>
              <w:left w:val="single" w:sz="4" w:space="0" w:color="auto"/>
              <w:bottom w:val="single" w:sz="4" w:space="0" w:color="000000"/>
              <w:right w:val="single" w:sz="4" w:space="0" w:color="auto"/>
            </w:tcBorders>
            <w:vAlign w:val="center"/>
            <w:hideMark/>
          </w:tcPr>
          <w:p w:rsidR="00C34110" w:rsidRDefault="00C34110" w:rsidP="00C34110">
            <w:pPr>
              <w:rPr>
                <w:b/>
                <w:bCs/>
                <w:color w:val="000000"/>
                <w:sz w:val="20"/>
              </w:rPr>
            </w:pPr>
          </w:p>
        </w:tc>
        <w:tc>
          <w:tcPr>
            <w:tcW w:w="1280" w:type="dxa"/>
            <w:gridSpan w:val="5"/>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Neve</w:t>
            </w:r>
          </w:p>
        </w:tc>
        <w:tc>
          <w:tcPr>
            <w:tcW w:w="1380" w:type="dxa"/>
            <w:gridSpan w:val="6"/>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Adószáma</w:t>
            </w:r>
          </w:p>
        </w:tc>
        <w:tc>
          <w:tcPr>
            <w:tcW w:w="960" w:type="dxa"/>
            <w:gridSpan w:val="3"/>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Száma</w:t>
            </w:r>
          </w:p>
        </w:tc>
        <w:tc>
          <w:tcPr>
            <w:tcW w:w="960" w:type="dxa"/>
            <w:gridSpan w:val="3"/>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Típusa</w:t>
            </w:r>
          </w:p>
        </w:tc>
        <w:tc>
          <w:tcPr>
            <w:tcW w:w="960" w:type="dxa"/>
            <w:gridSpan w:val="5"/>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Kiállítás kelte</w:t>
            </w:r>
          </w:p>
        </w:tc>
        <w:tc>
          <w:tcPr>
            <w:tcW w:w="960" w:type="dxa"/>
            <w:gridSpan w:val="3"/>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Teljesítés dátuma</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Nettó összege</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ÁFA összege</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Bruttó összege</w:t>
            </w:r>
          </w:p>
        </w:tc>
        <w:tc>
          <w:tcPr>
            <w:tcW w:w="1352" w:type="dxa"/>
            <w:gridSpan w:val="2"/>
            <w:vMerge/>
            <w:tcBorders>
              <w:top w:val="single" w:sz="4" w:space="0" w:color="auto"/>
              <w:left w:val="single" w:sz="4" w:space="0" w:color="auto"/>
              <w:bottom w:val="single" w:sz="4" w:space="0" w:color="auto"/>
              <w:right w:val="single" w:sz="4" w:space="0" w:color="auto"/>
            </w:tcBorders>
            <w:vAlign w:val="center"/>
            <w:hideMark/>
          </w:tcPr>
          <w:p w:rsidR="00C34110" w:rsidRDefault="00C34110" w:rsidP="00C34110">
            <w:pPr>
              <w:rPr>
                <w:b/>
                <w:bCs/>
                <w:color w:val="000000"/>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C34110" w:rsidRDefault="00C34110" w:rsidP="00C34110">
            <w:pPr>
              <w:rPr>
                <w:b/>
                <w:bCs/>
                <w:color w:val="000000"/>
                <w:sz w:val="20"/>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C34110" w:rsidRDefault="00C34110" w:rsidP="00C34110">
            <w:pPr>
              <w:rPr>
                <w:b/>
                <w:bCs/>
                <w:color w:val="000000"/>
                <w:sz w:val="20"/>
              </w:rPr>
            </w:pP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color w:val="000000"/>
                <w:sz w:val="20"/>
              </w:rPr>
            </w:pPr>
            <w:r>
              <w:rPr>
                <w:color w:val="000000"/>
                <w:sz w:val="20"/>
              </w:rPr>
              <w:t>1</w:t>
            </w:r>
          </w:p>
        </w:tc>
        <w:tc>
          <w:tcPr>
            <w:tcW w:w="128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1380" w:type="dxa"/>
            <w:gridSpan w:val="6"/>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color w:val="000000"/>
                <w:sz w:val="20"/>
              </w:rPr>
            </w:pPr>
            <w:r>
              <w:rPr>
                <w:color w:val="000000"/>
                <w:sz w:val="20"/>
              </w:rPr>
              <w:t>1</w:t>
            </w:r>
          </w:p>
        </w:tc>
        <w:tc>
          <w:tcPr>
            <w:tcW w:w="128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1380" w:type="dxa"/>
            <w:gridSpan w:val="6"/>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color w:val="000000"/>
                <w:sz w:val="20"/>
              </w:rPr>
            </w:pPr>
            <w:r>
              <w:rPr>
                <w:color w:val="000000"/>
                <w:sz w:val="20"/>
              </w:rPr>
              <w:t>1</w:t>
            </w:r>
          </w:p>
        </w:tc>
        <w:tc>
          <w:tcPr>
            <w:tcW w:w="1280" w:type="dxa"/>
            <w:gridSpan w:val="5"/>
            <w:tcBorders>
              <w:top w:val="nil"/>
              <w:left w:val="nil"/>
              <w:bottom w:val="single" w:sz="4" w:space="0" w:color="auto"/>
              <w:right w:val="single" w:sz="4" w:space="0" w:color="auto"/>
            </w:tcBorders>
            <w:shd w:val="clear" w:color="auto" w:fill="auto"/>
            <w:vAlign w:val="center"/>
            <w:hideMark/>
          </w:tcPr>
          <w:p w:rsidR="00C34110" w:rsidRDefault="00C34110" w:rsidP="00C34110">
            <w:pPr>
              <w:rPr>
                <w:color w:val="000000"/>
                <w:sz w:val="20"/>
              </w:rPr>
            </w:pPr>
            <w:r>
              <w:rPr>
                <w:color w:val="000000"/>
                <w:sz w:val="20"/>
              </w:rPr>
              <w:t> </w:t>
            </w:r>
          </w:p>
        </w:tc>
        <w:tc>
          <w:tcPr>
            <w:tcW w:w="1380" w:type="dxa"/>
            <w:gridSpan w:val="6"/>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color w:val="000000"/>
                <w:sz w:val="20"/>
              </w:rPr>
            </w:pPr>
            <w:r>
              <w:rPr>
                <w:color w:val="000000"/>
                <w:sz w:val="20"/>
              </w:rPr>
              <w:t>….</w:t>
            </w:r>
          </w:p>
        </w:tc>
        <w:tc>
          <w:tcPr>
            <w:tcW w:w="1280" w:type="dxa"/>
            <w:gridSpan w:val="5"/>
            <w:tcBorders>
              <w:top w:val="nil"/>
              <w:left w:val="nil"/>
              <w:bottom w:val="single" w:sz="4" w:space="0" w:color="auto"/>
              <w:right w:val="single" w:sz="4" w:space="0" w:color="auto"/>
            </w:tcBorders>
            <w:shd w:val="clear" w:color="auto" w:fill="auto"/>
            <w:vAlign w:val="center"/>
            <w:hideMark/>
          </w:tcPr>
          <w:p w:rsidR="00C34110" w:rsidRDefault="00C34110" w:rsidP="00C34110">
            <w:pPr>
              <w:rPr>
                <w:color w:val="000000"/>
                <w:sz w:val="20"/>
              </w:rPr>
            </w:pPr>
            <w:r>
              <w:rPr>
                <w:color w:val="000000"/>
                <w:sz w:val="20"/>
              </w:rPr>
              <w:t> </w:t>
            </w:r>
          </w:p>
        </w:tc>
        <w:tc>
          <w:tcPr>
            <w:tcW w:w="1380" w:type="dxa"/>
            <w:gridSpan w:val="6"/>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b/>
                <w:bCs/>
                <w:color w:val="000000"/>
                <w:sz w:val="20"/>
              </w:rPr>
            </w:pPr>
            <w:r>
              <w:rPr>
                <w:b/>
                <w:bCs/>
                <w:color w:val="000000"/>
                <w:sz w:val="20"/>
              </w:rPr>
              <w:t>1</w:t>
            </w:r>
          </w:p>
        </w:tc>
        <w:tc>
          <w:tcPr>
            <w:tcW w:w="6500" w:type="dxa"/>
            <w:gridSpan w:val="25"/>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rPr>
                <w:b/>
                <w:bCs/>
                <w:color w:val="000000"/>
                <w:sz w:val="20"/>
              </w:rPr>
            </w:pPr>
            <w:r>
              <w:rPr>
                <w:b/>
                <w:bCs/>
                <w:color w:val="000000"/>
                <w:sz w:val="20"/>
              </w:rPr>
              <w:t>Törvény szerinti illetmények, munkabérek összesen:</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center"/>
              <w:rPr>
                <w:b/>
                <w:bCs/>
                <w:color w:val="000000"/>
                <w:sz w:val="20"/>
              </w:rPr>
            </w:pPr>
            <w:r>
              <w:rPr>
                <w:b/>
                <w:bCs/>
                <w:color w:val="000000"/>
                <w:sz w:val="20"/>
              </w:rPr>
              <w:t> </w:t>
            </w:r>
          </w:p>
        </w:tc>
        <w:tc>
          <w:tcPr>
            <w:tcW w:w="1060" w:type="dxa"/>
            <w:gridSpan w:val="2"/>
            <w:tcBorders>
              <w:top w:val="nil"/>
              <w:left w:val="nil"/>
              <w:bottom w:val="single" w:sz="4" w:space="0" w:color="auto"/>
              <w:right w:val="single" w:sz="4" w:space="0" w:color="auto"/>
            </w:tcBorders>
            <w:shd w:val="clear" w:color="000000" w:fill="D9D9D9"/>
            <w:vAlign w:val="center"/>
            <w:hideMark/>
          </w:tcPr>
          <w:p w:rsidR="00C34110" w:rsidRDefault="00C34110" w:rsidP="00C34110">
            <w:pPr>
              <w:jc w:val="center"/>
              <w:rPr>
                <w:b/>
                <w:bCs/>
                <w:color w:val="000000"/>
                <w:sz w:val="20"/>
              </w:rPr>
            </w:pPr>
            <w:r>
              <w:rPr>
                <w:b/>
                <w:bCs/>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000000" w:fill="D9D9D9"/>
            <w:vAlign w:val="center"/>
            <w:hideMark/>
          </w:tcPr>
          <w:p w:rsidR="00C34110" w:rsidRDefault="00C34110" w:rsidP="00C34110">
            <w:pPr>
              <w:jc w:val="center"/>
              <w:rPr>
                <w:b/>
                <w:bCs/>
                <w:color w:val="000000"/>
                <w:sz w:val="20"/>
              </w:rPr>
            </w:pPr>
            <w:r>
              <w:rPr>
                <w:b/>
                <w:bCs/>
                <w:color w:val="000000"/>
                <w:sz w:val="20"/>
              </w:rPr>
              <w:t> </w:t>
            </w: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color w:val="000000"/>
                <w:sz w:val="20"/>
              </w:rPr>
            </w:pPr>
            <w:r>
              <w:rPr>
                <w:color w:val="000000"/>
                <w:sz w:val="20"/>
              </w:rPr>
              <w:t>2</w:t>
            </w:r>
          </w:p>
        </w:tc>
        <w:tc>
          <w:tcPr>
            <w:tcW w:w="1280" w:type="dxa"/>
            <w:gridSpan w:val="5"/>
            <w:tcBorders>
              <w:top w:val="nil"/>
              <w:left w:val="nil"/>
              <w:bottom w:val="single" w:sz="4" w:space="0" w:color="auto"/>
              <w:right w:val="single" w:sz="4" w:space="0" w:color="auto"/>
            </w:tcBorders>
            <w:shd w:val="clear" w:color="auto" w:fill="auto"/>
            <w:vAlign w:val="center"/>
            <w:hideMark/>
          </w:tcPr>
          <w:p w:rsidR="00C34110" w:rsidRDefault="00C34110" w:rsidP="00C34110">
            <w:pPr>
              <w:rPr>
                <w:color w:val="000000"/>
                <w:sz w:val="20"/>
              </w:rPr>
            </w:pPr>
            <w:r>
              <w:rPr>
                <w:color w:val="000000"/>
                <w:sz w:val="20"/>
              </w:rPr>
              <w:t> </w:t>
            </w:r>
          </w:p>
        </w:tc>
        <w:tc>
          <w:tcPr>
            <w:tcW w:w="1380" w:type="dxa"/>
            <w:gridSpan w:val="6"/>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color w:val="000000"/>
                <w:sz w:val="20"/>
              </w:rPr>
            </w:pPr>
            <w:r>
              <w:rPr>
                <w:color w:val="000000"/>
                <w:sz w:val="20"/>
              </w:rPr>
              <w:t>….</w:t>
            </w:r>
          </w:p>
        </w:tc>
        <w:tc>
          <w:tcPr>
            <w:tcW w:w="1280" w:type="dxa"/>
            <w:gridSpan w:val="5"/>
            <w:tcBorders>
              <w:top w:val="nil"/>
              <w:left w:val="nil"/>
              <w:bottom w:val="single" w:sz="4" w:space="0" w:color="auto"/>
              <w:right w:val="single" w:sz="4" w:space="0" w:color="auto"/>
            </w:tcBorders>
            <w:shd w:val="clear" w:color="auto" w:fill="auto"/>
            <w:vAlign w:val="center"/>
            <w:hideMark/>
          </w:tcPr>
          <w:p w:rsidR="00C34110" w:rsidRDefault="00C34110" w:rsidP="00C34110">
            <w:pPr>
              <w:rPr>
                <w:color w:val="000000"/>
                <w:sz w:val="20"/>
              </w:rPr>
            </w:pPr>
            <w:r>
              <w:rPr>
                <w:color w:val="000000"/>
                <w:sz w:val="20"/>
              </w:rPr>
              <w:t> </w:t>
            </w:r>
          </w:p>
        </w:tc>
        <w:tc>
          <w:tcPr>
            <w:tcW w:w="1380" w:type="dxa"/>
            <w:gridSpan w:val="6"/>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34110" w:rsidRDefault="00C34110" w:rsidP="00C34110">
            <w:pPr>
              <w:rPr>
                <w:color w:val="000000"/>
                <w:sz w:val="20"/>
              </w:rPr>
            </w:pPr>
            <w:r>
              <w:rPr>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C34110" w:rsidRDefault="00C34110" w:rsidP="00C34110">
            <w:pPr>
              <w:jc w:val="right"/>
              <w:rPr>
                <w:color w:val="000000"/>
                <w:sz w:val="20"/>
              </w:rPr>
            </w:pPr>
            <w:r>
              <w:rPr>
                <w:color w:val="000000"/>
                <w:sz w:val="20"/>
              </w:rPr>
              <w:t> </w:t>
            </w:r>
          </w:p>
        </w:tc>
      </w:tr>
      <w:tr w:rsidR="00C34110" w:rsidTr="00C34110">
        <w:trPr>
          <w:gridAfter w:val="19"/>
          <w:wAfter w:w="12042" w:type="dxa"/>
          <w:trHeight w:val="315"/>
        </w:trPr>
        <w:tc>
          <w:tcPr>
            <w:tcW w:w="7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4110" w:rsidRDefault="00C34110" w:rsidP="00C34110">
            <w:pPr>
              <w:jc w:val="center"/>
              <w:rPr>
                <w:b/>
                <w:bCs/>
                <w:color w:val="000000"/>
                <w:sz w:val="20"/>
              </w:rPr>
            </w:pPr>
            <w:r>
              <w:rPr>
                <w:b/>
                <w:bCs/>
                <w:color w:val="000000"/>
                <w:sz w:val="20"/>
              </w:rPr>
              <w:t> </w:t>
            </w:r>
          </w:p>
        </w:tc>
        <w:tc>
          <w:tcPr>
            <w:tcW w:w="6500" w:type="dxa"/>
            <w:gridSpan w:val="25"/>
            <w:tcBorders>
              <w:top w:val="single" w:sz="4" w:space="0" w:color="auto"/>
              <w:left w:val="nil"/>
              <w:bottom w:val="single" w:sz="4" w:space="0" w:color="auto"/>
              <w:right w:val="single" w:sz="4" w:space="0" w:color="auto"/>
            </w:tcBorders>
            <w:shd w:val="clear" w:color="auto" w:fill="auto"/>
            <w:noWrap/>
            <w:vAlign w:val="center"/>
            <w:hideMark/>
          </w:tcPr>
          <w:p w:rsidR="00C34110" w:rsidRDefault="00C34110" w:rsidP="00C34110">
            <w:pPr>
              <w:rPr>
                <w:b/>
                <w:bCs/>
                <w:color w:val="000000"/>
                <w:sz w:val="20"/>
              </w:rPr>
            </w:pPr>
            <w:r>
              <w:rPr>
                <w:b/>
                <w:bCs/>
                <w:color w:val="000000"/>
                <w:sz w:val="20"/>
              </w:rPr>
              <w:t>Költségvetési működési kiadások mindösszesen:</w:t>
            </w:r>
          </w:p>
        </w:tc>
        <w:tc>
          <w:tcPr>
            <w:tcW w:w="960" w:type="dxa"/>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b/>
                <w:bCs/>
                <w:color w:val="000000"/>
                <w:sz w:val="20"/>
              </w:rPr>
            </w:pPr>
            <w:r>
              <w:rPr>
                <w:b/>
                <w:bCs/>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b/>
                <w:bCs/>
                <w:color w:val="000000"/>
                <w:sz w:val="20"/>
              </w:rPr>
            </w:pPr>
            <w:r>
              <w:rPr>
                <w:b/>
                <w:bCs/>
                <w:color w:val="000000"/>
                <w:sz w:val="20"/>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b/>
                <w:bCs/>
                <w:color w:val="000000"/>
                <w:sz w:val="20"/>
              </w:rPr>
            </w:pPr>
            <w:r>
              <w:rPr>
                <w:b/>
                <w:bCs/>
                <w:color w:val="000000"/>
                <w:sz w:val="20"/>
              </w:rPr>
              <w:t> </w:t>
            </w:r>
          </w:p>
        </w:tc>
        <w:tc>
          <w:tcPr>
            <w:tcW w:w="1352" w:type="dxa"/>
            <w:gridSpan w:val="2"/>
            <w:tcBorders>
              <w:top w:val="nil"/>
              <w:left w:val="nil"/>
              <w:bottom w:val="single" w:sz="4" w:space="0" w:color="auto"/>
              <w:right w:val="single" w:sz="4" w:space="0" w:color="auto"/>
            </w:tcBorders>
            <w:shd w:val="clear" w:color="auto" w:fill="auto"/>
            <w:vAlign w:val="center"/>
            <w:hideMark/>
          </w:tcPr>
          <w:p w:rsidR="00C34110" w:rsidRDefault="00C34110" w:rsidP="00C34110">
            <w:pPr>
              <w:jc w:val="right"/>
              <w:rPr>
                <w:b/>
                <w:bCs/>
                <w:color w:val="000000"/>
                <w:sz w:val="20"/>
              </w:rPr>
            </w:pPr>
            <w:r>
              <w:rPr>
                <w:b/>
                <w:bCs/>
                <w:color w:val="000000"/>
                <w:sz w:val="20"/>
              </w:rPr>
              <w:t> </w:t>
            </w:r>
          </w:p>
        </w:tc>
        <w:tc>
          <w:tcPr>
            <w:tcW w:w="1060" w:type="dxa"/>
            <w:gridSpan w:val="2"/>
            <w:tcBorders>
              <w:top w:val="nil"/>
              <w:left w:val="nil"/>
              <w:bottom w:val="single" w:sz="4" w:space="0" w:color="auto"/>
              <w:right w:val="single" w:sz="4" w:space="0" w:color="auto"/>
            </w:tcBorders>
            <w:shd w:val="clear" w:color="000000" w:fill="D9D9D9"/>
            <w:vAlign w:val="center"/>
            <w:hideMark/>
          </w:tcPr>
          <w:p w:rsidR="00C34110" w:rsidRDefault="00C34110" w:rsidP="00C34110">
            <w:pPr>
              <w:jc w:val="right"/>
              <w:rPr>
                <w:b/>
                <w:bCs/>
                <w:color w:val="000000"/>
                <w:sz w:val="20"/>
              </w:rPr>
            </w:pPr>
            <w:r>
              <w:rPr>
                <w:b/>
                <w:bCs/>
                <w:color w:val="000000"/>
                <w:sz w:val="20"/>
              </w:rPr>
              <w:t> </w:t>
            </w:r>
          </w:p>
        </w:tc>
        <w:tc>
          <w:tcPr>
            <w:tcW w:w="2074" w:type="dxa"/>
            <w:gridSpan w:val="2"/>
            <w:tcBorders>
              <w:top w:val="single" w:sz="4" w:space="0" w:color="auto"/>
              <w:left w:val="nil"/>
              <w:bottom w:val="single" w:sz="4" w:space="0" w:color="auto"/>
              <w:right w:val="single" w:sz="4" w:space="0" w:color="auto"/>
            </w:tcBorders>
            <w:shd w:val="clear" w:color="000000" w:fill="D9D9D9"/>
            <w:vAlign w:val="center"/>
            <w:hideMark/>
          </w:tcPr>
          <w:p w:rsidR="00C34110" w:rsidRDefault="00C34110" w:rsidP="00C34110">
            <w:pPr>
              <w:jc w:val="right"/>
              <w:rPr>
                <w:b/>
                <w:bCs/>
                <w:color w:val="000000"/>
                <w:sz w:val="20"/>
              </w:rPr>
            </w:pPr>
            <w:r>
              <w:rPr>
                <w:b/>
                <w:bCs/>
                <w:color w:val="000000"/>
                <w:sz w:val="20"/>
              </w:rPr>
              <w:t> </w:t>
            </w:r>
          </w:p>
        </w:tc>
      </w:tr>
      <w:tr w:rsidR="00C34110" w:rsidTr="00C34110">
        <w:trPr>
          <w:trHeight w:val="255"/>
        </w:trPr>
        <w:tc>
          <w:tcPr>
            <w:tcW w:w="467" w:type="dxa"/>
            <w:noWrap/>
            <w:vAlign w:val="center"/>
            <w:hideMark/>
          </w:tcPr>
          <w:p w:rsidR="00C34110" w:rsidRDefault="00C34110" w:rsidP="00C34110">
            <w:pPr>
              <w:rPr>
                <w:rFonts w:ascii="Calibri" w:eastAsia="Calibri" w:hAnsi="Calibri"/>
                <w:sz w:val="20"/>
              </w:rPr>
            </w:pPr>
          </w:p>
        </w:tc>
        <w:tc>
          <w:tcPr>
            <w:tcW w:w="446"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160" w:type="dxa"/>
            <w:noWrap/>
            <w:vAlign w:val="center"/>
            <w:hideMark/>
          </w:tcPr>
          <w:p w:rsidR="00C34110" w:rsidRDefault="00C34110" w:rsidP="00C34110">
            <w:pPr>
              <w:rPr>
                <w:rFonts w:ascii="Calibri" w:eastAsia="Calibri" w:hAnsi="Calibri"/>
                <w:sz w:val="20"/>
              </w:rPr>
            </w:pPr>
          </w:p>
        </w:tc>
        <w:tc>
          <w:tcPr>
            <w:tcW w:w="303"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1107"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60"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160" w:type="dxa"/>
            <w:noWrap/>
            <w:vAlign w:val="center"/>
            <w:hideMark/>
          </w:tcPr>
          <w:p w:rsidR="00C34110" w:rsidRDefault="00C34110" w:rsidP="00C34110">
            <w:pPr>
              <w:rPr>
                <w:rFonts w:ascii="Calibri" w:eastAsia="Calibri" w:hAnsi="Calibri"/>
                <w:sz w:val="20"/>
              </w:rPr>
            </w:pPr>
          </w:p>
        </w:tc>
        <w:tc>
          <w:tcPr>
            <w:tcW w:w="163" w:type="dxa"/>
            <w:noWrap/>
            <w:vAlign w:val="center"/>
            <w:hideMark/>
          </w:tcPr>
          <w:p w:rsidR="00C34110" w:rsidRDefault="00C34110" w:rsidP="00C34110">
            <w:pPr>
              <w:rPr>
                <w:rFonts w:ascii="Calibri" w:eastAsia="Calibri" w:hAnsi="Calibri"/>
                <w:sz w:val="20"/>
              </w:rPr>
            </w:pPr>
          </w:p>
        </w:tc>
        <w:tc>
          <w:tcPr>
            <w:tcW w:w="308" w:type="dxa"/>
            <w:gridSpan w:val="2"/>
            <w:noWrap/>
            <w:vAlign w:val="center"/>
            <w:hideMark/>
          </w:tcPr>
          <w:p w:rsidR="00C34110" w:rsidRDefault="00C34110" w:rsidP="00C34110">
            <w:pPr>
              <w:rPr>
                <w:rFonts w:ascii="Calibri" w:eastAsia="Calibri" w:hAnsi="Calibri"/>
                <w:sz w:val="20"/>
              </w:rPr>
            </w:pPr>
          </w:p>
        </w:tc>
        <w:tc>
          <w:tcPr>
            <w:tcW w:w="306" w:type="dxa"/>
            <w:noWrap/>
            <w:vAlign w:val="center"/>
            <w:hideMark/>
          </w:tcPr>
          <w:p w:rsidR="00C34110" w:rsidRDefault="00C34110" w:rsidP="00C34110">
            <w:pPr>
              <w:rPr>
                <w:rFonts w:ascii="Calibri" w:eastAsia="Calibri" w:hAnsi="Calibri"/>
                <w:sz w:val="20"/>
              </w:rPr>
            </w:pPr>
          </w:p>
        </w:tc>
        <w:tc>
          <w:tcPr>
            <w:tcW w:w="1761" w:type="dxa"/>
            <w:gridSpan w:val="3"/>
          </w:tcPr>
          <w:p w:rsidR="00C34110" w:rsidRDefault="00C34110" w:rsidP="00C34110">
            <w:pPr>
              <w:rPr>
                <w:b/>
                <w:bCs/>
                <w:color w:val="000000"/>
                <w:sz w:val="20"/>
              </w:rPr>
            </w:pPr>
          </w:p>
        </w:tc>
        <w:tc>
          <w:tcPr>
            <w:tcW w:w="941" w:type="dxa"/>
            <w:gridSpan w:val="2"/>
          </w:tcPr>
          <w:p w:rsidR="00C34110" w:rsidRDefault="00C34110" w:rsidP="00C34110">
            <w:pPr>
              <w:rPr>
                <w:b/>
                <w:bCs/>
                <w:color w:val="000000"/>
                <w:sz w:val="20"/>
              </w:rPr>
            </w:pPr>
          </w:p>
        </w:tc>
        <w:tc>
          <w:tcPr>
            <w:tcW w:w="1372" w:type="dxa"/>
            <w:gridSpan w:val="2"/>
          </w:tcPr>
          <w:p w:rsidR="00C34110" w:rsidRDefault="00C34110" w:rsidP="00C34110">
            <w:pPr>
              <w:rPr>
                <w:b/>
                <w:bCs/>
                <w:color w:val="000000"/>
                <w:sz w:val="20"/>
              </w:rPr>
            </w:pPr>
          </w:p>
        </w:tc>
        <w:tc>
          <w:tcPr>
            <w:tcW w:w="1518" w:type="dxa"/>
            <w:gridSpan w:val="2"/>
          </w:tcPr>
          <w:p w:rsidR="00C34110" w:rsidRDefault="00C34110" w:rsidP="00C34110">
            <w:pPr>
              <w:rPr>
                <w:b/>
                <w:bCs/>
                <w:color w:val="000000"/>
                <w:sz w:val="20"/>
              </w:rPr>
            </w:pPr>
          </w:p>
        </w:tc>
        <w:tc>
          <w:tcPr>
            <w:tcW w:w="2815" w:type="dxa"/>
            <w:gridSpan w:val="4"/>
          </w:tcPr>
          <w:p w:rsidR="00C34110" w:rsidRDefault="00C34110" w:rsidP="00C34110">
            <w:pPr>
              <w:rPr>
                <w:b/>
                <w:bCs/>
                <w:color w:val="000000"/>
                <w:sz w:val="20"/>
              </w:rPr>
            </w:pPr>
          </w:p>
        </w:tc>
        <w:tc>
          <w:tcPr>
            <w:tcW w:w="588" w:type="dxa"/>
            <w:gridSpan w:val="2"/>
          </w:tcPr>
          <w:p w:rsidR="00C34110" w:rsidRDefault="00C34110" w:rsidP="00C34110">
            <w:pPr>
              <w:rPr>
                <w:b/>
                <w:bCs/>
                <w:color w:val="000000"/>
                <w:sz w:val="20"/>
              </w:rPr>
            </w:pPr>
          </w:p>
        </w:tc>
        <w:tc>
          <w:tcPr>
            <w:tcW w:w="588" w:type="dxa"/>
            <w:gridSpan w:val="2"/>
          </w:tcPr>
          <w:p w:rsidR="00C34110" w:rsidRDefault="00C34110" w:rsidP="00C34110">
            <w:pPr>
              <w:rPr>
                <w:b/>
                <w:bCs/>
                <w:color w:val="000000"/>
                <w:sz w:val="20"/>
              </w:rPr>
            </w:pPr>
          </w:p>
        </w:tc>
        <w:tc>
          <w:tcPr>
            <w:tcW w:w="653" w:type="dxa"/>
            <w:gridSpan w:val="2"/>
          </w:tcPr>
          <w:p w:rsidR="00C34110" w:rsidRDefault="00C34110" w:rsidP="00C34110">
            <w:pPr>
              <w:rPr>
                <w:b/>
                <w:bCs/>
                <w:color w:val="000000"/>
                <w:sz w:val="20"/>
              </w:rPr>
            </w:pPr>
          </w:p>
        </w:tc>
        <w:tc>
          <w:tcPr>
            <w:tcW w:w="1795" w:type="dxa"/>
          </w:tcPr>
          <w:p w:rsidR="00C34110" w:rsidRDefault="00C34110" w:rsidP="00C34110">
            <w:pPr>
              <w:rPr>
                <w:b/>
                <w:bCs/>
                <w:color w:val="000000"/>
                <w:sz w:val="20"/>
              </w:rPr>
            </w:pPr>
          </w:p>
        </w:tc>
        <w:tc>
          <w:tcPr>
            <w:tcW w:w="932" w:type="dxa"/>
            <w:noWrap/>
            <w:vAlign w:val="center"/>
            <w:hideMark/>
          </w:tcPr>
          <w:p w:rsidR="00C34110" w:rsidRDefault="00C34110" w:rsidP="00C34110">
            <w:pPr>
              <w:rPr>
                <w:rFonts w:ascii="Calibri" w:eastAsia="Calibri" w:hAnsi="Calibri"/>
                <w:sz w:val="20"/>
              </w:rPr>
            </w:pPr>
          </w:p>
        </w:tc>
        <w:tc>
          <w:tcPr>
            <w:tcW w:w="279" w:type="dxa"/>
            <w:noWrap/>
            <w:vAlign w:val="center"/>
            <w:hideMark/>
          </w:tcPr>
          <w:p w:rsidR="00C34110" w:rsidRDefault="00C34110" w:rsidP="00C34110">
            <w:pPr>
              <w:rPr>
                <w:rFonts w:ascii="Calibri" w:eastAsia="Calibri" w:hAnsi="Calibri"/>
                <w:sz w:val="20"/>
              </w:rPr>
            </w:pPr>
          </w:p>
        </w:tc>
        <w:tc>
          <w:tcPr>
            <w:tcW w:w="582" w:type="dxa"/>
            <w:noWrap/>
            <w:vAlign w:val="center"/>
            <w:hideMark/>
          </w:tcPr>
          <w:p w:rsidR="00C34110" w:rsidRDefault="00C34110" w:rsidP="00C34110">
            <w:pPr>
              <w:rPr>
                <w:rFonts w:ascii="Calibri" w:eastAsia="Calibri" w:hAnsi="Calibri"/>
                <w:sz w:val="20"/>
              </w:rPr>
            </w:pPr>
          </w:p>
        </w:tc>
        <w:tc>
          <w:tcPr>
            <w:tcW w:w="500" w:type="dxa"/>
            <w:noWrap/>
            <w:vAlign w:val="center"/>
            <w:hideMark/>
          </w:tcPr>
          <w:p w:rsidR="00C34110" w:rsidRDefault="00C34110" w:rsidP="00C34110">
            <w:pPr>
              <w:rPr>
                <w:rFonts w:ascii="Calibri" w:eastAsia="Calibri" w:hAnsi="Calibri"/>
                <w:sz w:val="20"/>
              </w:rPr>
            </w:pPr>
          </w:p>
        </w:tc>
        <w:tc>
          <w:tcPr>
            <w:tcW w:w="418" w:type="dxa"/>
            <w:noWrap/>
            <w:vAlign w:val="center"/>
            <w:hideMark/>
          </w:tcPr>
          <w:p w:rsidR="00C34110" w:rsidRDefault="00C34110" w:rsidP="00C34110">
            <w:pPr>
              <w:rPr>
                <w:rFonts w:ascii="Calibri" w:eastAsia="Calibri" w:hAnsi="Calibri"/>
                <w:sz w:val="20"/>
              </w:rPr>
            </w:pPr>
          </w:p>
        </w:tc>
        <w:tc>
          <w:tcPr>
            <w:tcW w:w="378" w:type="dxa"/>
            <w:noWrap/>
            <w:vAlign w:val="center"/>
            <w:hideMark/>
          </w:tcPr>
          <w:p w:rsidR="00C34110" w:rsidRDefault="00C34110" w:rsidP="00C34110">
            <w:pPr>
              <w:rPr>
                <w:rFonts w:ascii="Calibri" w:eastAsia="Calibri" w:hAnsi="Calibri"/>
                <w:sz w:val="20"/>
              </w:rPr>
            </w:pPr>
          </w:p>
        </w:tc>
        <w:tc>
          <w:tcPr>
            <w:tcW w:w="202" w:type="dxa"/>
            <w:noWrap/>
            <w:vAlign w:val="center"/>
            <w:hideMark/>
          </w:tcPr>
          <w:p w:rsidR="00C34110" w:rsidRDefault="00C34110" w:rsidP="00C34110">
            <w:pPr>
              <w:rPr>
                <w:rFonts w:ascii="Calibri" w:eastAsia="Calibri" w:hAnsi="Calibri"/>
                <w:sz w:val="20"/>
              </w:rPr>
            </w:pPr>
          </w:p>
        </w:tc>
        <w:tc>
          <w:tcPr>
            <w:tcW w:w="200" w:type="dxa"/>
            <w:noWrap/>
            <w:vAlign w:val="center"/>
            <w:hideMark/>
          </w:tcPr>
          <w:p w:rsidR="00C34110" w:rsidRDefault="00C34110" w:rsidP="00C34110">
            <w:pPr>
              <w:rPr>
                <w:rFonts w:ascii="Calibri" w:eastAsia="Calibri" w:hAnsi="Calibri"/>
                <w:sz w:val="20"/>
              </w:rPr>
            </w:pPr>
          </w:p>
        </w:tc>
        <w:tc>
          <w:tcPr>
            <w:tcW w:w="160" w:type="dxa"/>
            <w:noWrap/>
            <w:vAlign w:val="center"/>
            <w:hideMark/>
          </w:tcPr>
          <w:p w:rsidR="00C34110" w:rsidRDefault="00C34110" w:rsidP="00C34110">
            <w:pPr>
              <w:rPr>
                <w:rFonts w:ascii="Calibri" w:eastAsia="Calibri" w:hAnsi="Calibri"/>
                <w:sz w:val="20"/>
              </w:rPr>
            </w:pPr>
          </w:p>
        </w:tc>
        <w:tc>
          <w:tcPr>
            <w:tcW w:w="318" w:type="dxa"/>
            <w:noWrap/>
            <w:vAlign w:val="center"/>
            <w:hideMark/>
          </w:tcPr>
          <w:p w:rsidR="00C34110" w:rsidRDefault="00C34110" w:rsidP="00C34110">
            <w:pPr>
              <w:rPr>
                <w:rFonts w:ascii="Calibri" w:eastAsia="Calibri" w:hAnsi="Calibri"/>
                <w:sz w:val="20"/>
              </w:rPr>
            </w:pPr>
          </w:p>
        </w:tc>
        <w:tc>
          <w:tcPr>
            <w:tcW w:w="3850" w:type="dxa"/>
            <w:noWrap/>
            <w:vAlign w:val="center"/>
            <w:hideMark/>
          </w:tcPr>
          <w:p w:rsidR="00C34110" w:rsidRDefault="00C34110" w:rsidP="00C34110">
            <w:pPr>
              <w:rPr>
                <w:rFonts w:ascii="Calibri" w:eastAsia="Calibri" w:hAnsi="Calibri"/>
                <w:sz w:val="20"/>
              </w:rPr>
            </w:pPr>
          </w:p>
        </w:tc>
      </w:tr>
      <w:tr w:rsidR="00C34110" w:rsidTr="00C34110">
        <w:trPr>
          <w:gridAfter w:val="1"/>
          <w:wAfter w:w="3850" w:type="dxa"/>
          <w:trHeight w:val="255"/>
        </w:trPr>
        <w:tc>
          <w:tcPr>
            <w:tcW w:w="467" w:type="dxa"/>
            <w:noWrap/>
            <w:vAlign w:val="bottom"/>
            <w:hideMark/>
          </w:tcPr>
          <w:p w:rsidR="00C34110" w:rsidRDefault="00C34110" w:rsidP="00C34110">
            <w:pPr>
              <w:rPr>
                <w:rFonts w:ascii="Calibri" w:eastAsia="Calibri" w:hAnsi="Calibri"/>
                <w:sz w:val="20"/>
              </w:rPr>
            </w:pPr>
          </w:p>
        </w:tc>
        <w:tc>
          <w:tcPr>
            <w:tcW w:w="446" w:type="dxa"/>
            <w:gridSpan w:val="2"/>
            <w:noWrap/>
            <w:vAlign w:val="bottom"/>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160" w:type="dxa"/>
            <w:noWrap/>
            <w:vAlign w:val="center"/>
            <w:hideMark/>
          </w:tcPr>
          <w:p w:rsidR="00C34110" w:rsidRDefault="00C34110" w:rsidP="00C34110">
            <w:pPr>
              <w:rPr>
                <w:rFonts w:ascii="Calibri" w:eastAsia="Calibri" w:hAnsi="Calibri"/>
                <w:sz w:val="20"/>
              </w:rPr>
            </w:pPr>
          </w:p>
        </w:tc>
        <w:tc>
          <w:tcPr>
            <w:tcW w:w="303"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1107"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360" w:type="dxa"/>
            <w:gridSpan w:val="2"/>
            <w:noWrap/>
            <w:vAlign w:val="center"/>
            <w:hideMark/>
          </w:tcPr>
          <w:p w:rsidR="00C34110" w:rsidRDefault="00C34110" w:rsidP="00C34110">
            <w:pPr>
              <w:rPr>
                <w:rFonts w:ascii="Calibri" w:eastAsia="Calibri" w:hAnsi="Calibri"/>
                <w:sz w:val="20"/>
              </w:rPr>
            </w:pPr>
          </w:p>
        </w:tc>
        <w:tc>
          <w:tcPr>
            <w:tcW w:w="303" w:type="dxa"/>
            <w:noWrap/>
            <w:vAlign w:val="center"/>
            <w:hideMark/>
          </w:tcPr>
          <w:p w:rsidR="00C34110" w:rsidRDefault="00C34110" w:rsidP="00C34110">
            <w:pPr>
              <w:rPr>
                <w:rFonts w:ascii="Calibri" w:eastAsia="Calibri" w:hAnsi="Calibri"/>
                <w:sz w:val="20"/>
              </w:rPr>
            </w:pPr>
          </w:p>
        </w:tc>
        <w:tc>
          <w:tcPr>
            <w:tcW w:w="160" w:type="dxa"/>
            <w:noWrap/>
            <w:vAlign w:val="center"/>
            <w:hideMark/>
          </w:tcPr>
          <w:p w:rsidR="00C34110" w:rsidRDefault="00C34110" w:rsidP="00C34110">
            <w:pPr>
              <w:rPr>
                <w:rFonts w:ascii="Calibri" w:eastAsia="Calibri" w:hAnsi="Calibri"/>
                <w:sz w:val="20"/>
              </w:rPr>
            </w:pPr>
          </w:p>
        </w:tc>
        <w:tc>
          <w:tcPr>
            <w:tcW w:w="163" w:type="dxa"/>
            <w:noWrap/>
            <w:vAlign w:val="center"/>
            <w:hideMark/>
          </w:tcPr>
          <w:p w:rsidR="00C34110" w:rsidRDefault="00C34110" w:rsidP="00C34110">
            <w:pPr>
              <w:rPr>
                <w:rFonts w:ascii="Calibri" w:eastAsia="Calibri" w:hAnsi="Calibri"/>
                <w:sz w:val="20"/>
              </w:rPr>
            </w:pPr>
          </w:p>
        </w:tc>
        <w:tc>
          <w:tcPr>
            <w:tcW w:w="308" w:type="dxa"/>
            <w:gridSpan w:val="2"/>
            <w:noWrap/>
            <w:vAlign w:val="center"/>
            <w:hideMark/>
          </w:tcPr>
          <w:p w:rsidR="00C34110" w:rsidRDefault="00C34110" w:rsidP="00C34110">
            <w:pPr>
              <w:rPr>
                <w:rFonts w:ascii="Calibri" w:eastAsia="Calibri" w:hAnsi="Calibri"/>
                <w:sz w:val="20"/>
              </w:rPr>
            </w:pPr>
          </w:p>
        </w:tc>
        <w:tc>
          <w:tcPr>
            <w:tcW w:w="306" w:type="dxa"/>
            <w:noWrap/>
            <w:vAlign w:val="center"/>
            <w:hideMark/>
          </w:tcPr>
          <w:p w:rsidR="00C34110" w:rsidRDefault="00C34110" w:rsidP="00C34110">
            <w:pPr>
              <w:rPr>
                <w:rFonts w:ascii="Calibri" w:eastAsia="Calibri" w:hAnsi="Calibri"/>
                <w:sz w:val="20"/>
              </w:rPr>
            </w:pPr>
          </w:p>
        </w:tc>
        <w:tc>
          <w:tcPr>
            <w:tcW w:w="1761" w:type="dxa"/>
            <w:gridSpan w:val="3"/>
          </w:tcPr>
          <w:p w:rsidR="00C34110" w:rsidRDefault="00C34110" w:rsidP="00C34110">
            <w:pPr>
              <w:rPr>
                <w:color w:val="000000"/>
                <w:sz w:val="20"/>
              </w:rPr>
            </w:pPr>
          </w:p>
        </w:tc>
        <w:tc>
          <w:tcPr>
            <w:tcW w:w="941" w:type="dxa"/>
            <w:gridSpan w:val="2"/>
          </w:tcPr>
          <w:p w:rsidR="00C34110" w:rsidRDefault="00C34110" w:rsidP="00C34110">
            <w:pPr>
              <w:rPr>
                <w:color w:val="000000"/>
                <w:sz w:val="20"/>
              </w:rPr>
            </w:pPr>
          </w:p>
        </w:tc>
        <w:tc>
          <w:tcPr>
            <w:tcW w:w="1372" w:type="dxa"/>
            <w:gridSpan w:val="2"/>
          </w:tcPr>
          <w:p w:rsidR="00C34110" w:rsidRDefault="00C34110" w:rsidP="00C34110">
            <w:pPr>
              <w:rPr>
                <w:color w:val="000000"/>
                <w:sz w:val="20"/>
              </w:rPr>
            </w:pPr>
          </w:p>
        </w:tc>
        <w:tc>
          <w:tcPr>
            <w:tcW w:w="1518" w:type="dxa"/>
            <w:gridSpan w:val="2"/>
          </w:tcPr>
          <w:p w:rsidR="00C34110" w:rsidRDefault="00C34110" w:rsidP="00C34110">
            <w:pPr>
              <w:rPr>
                <w:color w:val="000000"/>
                <w:sz w:val="20"/>
              </w:rPr>
            </w:pPr>
          </w:p>
        </w:tc>
        <w:tc>
          <w:tcPr>
            <w:tcW w:w="2815" w:type="dxa"/>
            <w:gridSpan w:val="4"/>
          </w:tcPr>
          <w:p w:rsidR="00C34110" w:rsidRDefault="00C34110" w:rsidP="00C34110">
            <w:pPr>
              <w:rPr>
                <w:color w:val="000000"/>
                <w:sz w:val="20"/>
              </w:rPr>
            </w:pPr>
          </w:p>
        </w:tc>
        <w:tc>
          <w:tcPr>
            <w:tcW w:w="588" w:type="dxa"/>
            <w:gridSpan w:val="2"/>
          </w:tcPr>
          <w:p w:rsidR="00C34110" w:rsidRDefault="00C34110" w:rsidP="00C34110">
            <w:pPr>
              <w:rPr>
                <w:color w:val="000000"/>
                <w:sz w:val="20"/>
              </w:rPr>
            </w:pPr>
          </w:p>
        </w:tc>
        <w:tc>
          <w:tcPr>
            <w:tcW w:w="588" w:type="dxa"/>
            <w:gridSpan w:val="2"/>
          </w:tcPr>
          <w:p w:rsidR="00C34110" w:rsidRDefault="00C34110" w:rsidP="00C34110">
            <w:pPr>
              <w:rPr>
                <w:color w:val="000000"/>
                <w:sz w:val="20"/>
              </w:rPr>
            </w:pPr>
          </w:p>
        </w:tc>
        <w:tc>
          <w:tcPr>
            <w:tcW w:w="653" w:type="dxa"/>
            <w:gridSpan w:val="2"/>
          </w:tcPr>
          <w:p w:rsidR="00C34110" w:rsidRDefault="00C34110" w:rsidP="00C34110">
            <w:pPr>
              <w:rPr>
                <w:color w:val="000000"/>
                <w:sz w:val="20"/>
              </w:rPr>
            </w:pPr>
          </w:p>
        </w:tc>
        <w:tc>
          <w:tcPr>
            <w:tcW w:w="1795" w:type="dxa"/>
          </w:tcPr>
          <w:p w:rsidR="00C34110" w:rsidRDefault="00C34110" w:rsidP="00C34110">
            <w:pPr>
              <w:rPr>
                <w:color w:val="000000"/>
                <w:sz w:val="20"/>
              </w:rPr>
            </w:pPr>
          </w:p>
        </w:tc>
        <w:tc>
          <w:tcPr>
            <w:tcW w:w="932" w:type="dxa"/>
            <w:noWrap/>
            <w:vAlign w:val="center"/>
            <w:hideMark/>
          </w:tcPr>
          <w:p w:rsidR="00C34110" w:rsidRDefault="00C34110" w:rsidP="00C34110">
            <w:pPr>
              <w:rPr>
                <w:rFonts w:ascii="Calibri" w:eastAsia="Calibri" w:hAnsi="Calibri"/>
                <w:sz w:val="20"/>
              </w:rPr>
            </w:pPr>
          </w:p>
        </w:tc>
        <w:tc>
          <w:tcPr>
            <w:tcW w:w="279" w:type="dxa"/>
            <w:noWrap/>
            <w:vAlign w:val="center"/>
            <w:hideMark/>
          </w:tcPr>
          <w:p w:rsidR="00C34110" w:rsidRDefault="00C34110" w:rsidP="00C34110">
            <w:pPr>
              <w:rPr>
                <w:rFonts w:ascii="Calibri" w:eastAsia="Calibri" w:hAnsi="Calibri"/>
                <w:sz w:val="20"/>
              </w:rPr>
            </w:pPr>
          </w:p>
        </w:tc>
        <w:tc>
          <w:tcPr>
            <w:tcW w:w="582" w:type="dxa"/>
            <w:noWrap/>
            <w:vAlign w:val="center"/>
            <w:hideMark/>
          </w:tcPr>
          <w:p w:rsidR="00C34110" w:rsidRDefault="00C34110" w:rsidP="00C34110">
            <w:pPr>
              <w:rPr>
                <w:rFonts w:ascii="Calibri" w:eastAsia="Calibri" w:hAnsi="Calibri"/>
                <w:sz w:val="20"/>
              </w:rPr>
            </w:pPr>
          </w:p>
        </w:tc>
        <w:tc>
          <w:tcPr>
            <w:tcW w:w="500" w:type="dxa"/>
            <w:noWrap/>
            <w:vAlign w:val="center"/>
            <w:hideMark/>
          </w:tcPr>
          <w:p w:rsidR="00C34110" w:rsidRDefault="00C34110" w:rsidP="00C34110">
            <w:pPr>
              <w:rPr>
                <w:rFonts w:ascii="Calibri" w:eastAsia="Calibri" w:hAnsi="Calibri"/>
                <w:sz w:val="20"/>
              </w:rPr>
            </w:pPr>
          </w:p>
        </w:tc>
        <w:tc>
          <w:tcPr>
            <w:tcW w:w="418" w:type="dxa"/>
            <w:noWrap/>
            <w:vAlign w:val="center"/>
            <w:hideMark/>
          </w:tcPr>
          <w:p w:rsidR="00C34110" w:rsidRDefault="00C34110" w:rsidP="00C34110">
            <w:pPr>
              <w:rPr>
                <w:rFonts w:ascii="Calibri" w:eastAsia="Calibri" w:hAnsi="Calibri"/>
                <w:sz w:val="20"/>
              </w:rPr>
            </w:pPr>
          </w:p>
        </w:tc>
        <w:tc>
          <w:tcPr>
            <w:tcW w:w="378" w:type="dxa"/>
            <w:noWrap/>
            <w:vAlign w:val="center"/>
            <w:hideMark/>
          </w:tcPr>
          <w:p w:rsidR="00C34110" w:rsidRDefault="00C34110" w:rsidP="00C34110">
            <w:pPr>
              <w:rPr>
                <w:rFonts w:ascii="Calibri" w:eastAsia="Calibri" w:hAnsi="Calibri"/>
                <w:sz w:val="20"/>
              </w:rPr>
            </w:pPr>
          </w:p>
        </w:tc>
        <w:tc>
          <w:tcPr>
            <w:tcW w:w="202" w:type="dxa"/>
            <w:noWrap/>
            <w:vAlign w:val="center"/>
            <w:hideMark/>
          </w:tcPr>
          <w:p w:rsidR="00C34110" w:rsidRDefault="00C34110" w:rsidP="00C34110">
            <w:pPr>
              <w:rPr>
                <w:rFonts w:ascii="Calibri" w:eastAsia="Calibri" w:hAnsi="Calibri"/>
                <w:sz w:val="20"/>
              </w:rPr>
            </w:pPr>
          </w:p>
        </w:tc>
        <w:tc>
          <w:tcPr>
            <w:tcW w:w="200" w:type="dxa"/>
            <w:noWrap/>
            <w:vAlign w:val="center"/>
            <w:hideMark/>
          </w:tcPr>
          <w:p w:rsidR="00C34110" w:rsidRDefault="00C34110" w:rsidP="00C34110">
            <w:pPr>
              <w:rPr>
                <w:rFonts w:ascii="Calibri" w:eastAsia="Calibri" w:hAnsi="Calibri"/>
                <w:sz w:val="20"/>
              </w:rPr>
            </w:pPr>
          </w:p>
        </w:tc>
        <w:tc>
          <w:tcPr>
            <w:tcW w:w="160" w:type="dxa"/>
            <w:noWrap/>
            <w:vAlign w:val="center"/>
            <w:hideMark/>
          </w:tcPr>
          <w:p w:rsidR="00C34110" w:rsidRDefault="00C34110" w:rsidP="00C34110">
            <w:pPr>
              <w:rPr>
                <w:rFonts w:ascii="Calibri" w:eastAsia="Calibri" w:hAnsi="Calibri"/>
                <w:sz w:val="20"/>
              </w:rPr>
            </w:pPr>
          </w:p>
        </w:tc>
        <w:tc>
          <w:tcPr>
            <w:tcW w:w="318" w:type="dxa"/>
            <w:noWrap/>
            <w:vAlign w:val="center"/>
            <w:hideMark/>
          </w:tcPr>
          <w:p w:rsidR="00C34110" w:rsidRDefault="00C34110" w:rsidP="00C34110">
            <w:pPr>
              <w:rPr>
                <w:rFonts w:ascii="Calibri" w:eastAsia="Calibri" w:hAnsi="Calibri"/>
                <w:sz w:val="20"/>
              </w:rPr>
            </w:pPr>
          </w:p>
        </w:tc>
      </w:tr>
    </w:tbl>
    <w:p w:rsidR="00C34110" w:rsidRPr="002838BC" w:rsidRDefault="00C34110" w:rsidP="00C34110">
      <w:pPr>
        <w:ind w:left="284"/>
        <w:rPr>
          <w:sz w:val="20"/>
          <w:szCs w:val="28"/>
        </w:rPr>
      </w:pPr>
      <w:r w:rsidRPr="002838BC">
        <w:rPr>
          <w:sz w:val="20"/>
          <w:szCs w:val="28"/>
        </w:rPr>
        <w:t>Kelt: ……………………………</w:t>
      </w:r>
    </w:p>
    <w:p w:rsidR="00C34110" w:rsidRPr="002838BC" w:rsidRDefault="00C34110" w:rsidP="00C34110">
      <w:pPr>
        <w:ind w:left="284"/>
        <w:rPr>
          <w:sz w:val="20"/>
          <w:szCs w:val="28"/>
        </w:rPr>
      </w:pPr>
    </w:p>
    <w:p w:rsidR="00C34110" w:rsidRPr="002838BC" w:rsidRDefault="00C34110" w:rsidP="00C34110">
      <w:pPr>
        <w:ind w:left="284"/>
        <w:rPr>
          <w:sz w:val="20"/>
          <w:szCs w:val="28"/>
        </w:rPr>
      </w:pPr>
    </w:p>
    <w:p w:rsidR="00C34110" w:rsidRPr="00760E7D" w:rsidRDefault="00C34110" w:rsidP="00C34110">
      <w:pPr>
        <w:tabs>
          <w:tab w:val="left" w:pos="4536"/>
          <w:tab w:val="left" w:pos="9072"/>
        </w:tabs>
        <w:ind w:left="284"/>
        <w:rPr>
          <w:sz w:val="20"/>
          <w:szCs w:val="28"/>
        </w:rPr>
      </w:pPr>
      <w:r w:rsidRPr="00760E7D">
        <w:rPr>
          <w:sz w:val="20"/>
          <w:szCs w:val="28"/>
        </w:rPr>
        <w:tab/>
        <w:t xml:space="preserve">…………................ </w:t>
      </w:r>
      <w:r w:rsidRPr="00760E7D">
        <w:rPr>
          <w:sz w:val="20"/>
          <w:szCs w:val="28"/>
        </w:rPr>
        <w:tab/>
        <w:t>…………................</w:t>
      </w:r>
    </w:p>
    <w:p w:rsidR="00C34110" w:rsidRPr="00760E7D" w:rsidRDefault="00C34110" w:rsidP="00C34110">
      <w:pPr>
        <w:tabs>
          <w:tab w:val="left" w:pos="4962"/>
          <w:tab w:val="left" w:pos="9214"/>
        </w:tabs>
        <w:rPr>
          <w:sz w:val="20"/>
          <w:szCs w:val="28"/>
        </w:rPr>
      </w:pPr>
      <w:r w:rsidRPr="00760E7D">
        <w:rPr>
          <w:sz w:val="20"/>
          <w:szCs w:val="28"/>
        </w:rPr>
        <w:tab/>
        <w:t>Jegyző</w:t>
      </w:r>
      <w:r w:rsidRPr="00760E7D">
        <w:rPr>
          <w:sz w:val="20"/>
          <w:szCs w:val="28"/>
        </w:rPr>
        <w:tab/>
        <w:t>Pénzügyi vezető</w:t>
      </w:r>
    </w:p>
    <w:p w:rsidR="00C34110" w:rsidRPr="00760E7D" w:rsidRDefault="00C34110" w:rsidP="00C34110">
      <w:pPr>
        <w:tabs>
          <w:tab w:val="left" w:pos="3969"/>
          <w:tab w:val="left" w:pos="6804"/>
        </w:tabs>
        <w:rPr>
          <w:sz w:val="20"/>
          <w:szCs w:val="28"/>
        </w:rPr>
      </w:pPr>
    </w:p>
    <w:p w:rsidR="00C34110" w:rsidRPr="00760E7D" w:rsidRDefault="00C34110" w:rsidP="00C34110">
      <w:pPr>
        <w:tabs>
          <w:tab w:val="left" w:pos="7230"/>
        </w:tabs>
        <w:rPr>
          <w:sz w:val="20"/>
          <w:szCs w:val="28"/>
        </w:rPr>
      </w:pPr>
      <w:r w:rsidRPr="00760E7D">
        <w:rPr>
          <w:sz w:val="20"/>
          <w:szCs w:val="28"/>
        </w:rPr>
        <w:tab/>
        <w:t>P.H.</w:t>
      </w:r>
    </w:p>
    <w:p w:rsidR="00C34110" w:rsidRPr="00760E7D" w:rsidRDefault="00C34110" w:rsidP="00C34110">
      <w:pPr>
        <w:tabs>
          <w:tab w:val="left" w:pos="7230"/>
        </w:tabs>
        <w:rPr>
          <w:sz w:val="20"/>
          <w:szCs w:val="28"/>
        </w:rPr>
      </w:pPr>
    </w:p>
    <w:p w:rsidR="00C34110" w:rsidRDefault="00C34110" w:rsidP="00C34110">
      <w:pPr>
        <w:rPr>
          <w:sz w:val="20"/>
          <w:szCs w:val="28"/>
        </w:rPr>
      </w:pPr>
    </w:p>
    <w:p w:rsidR="00C34110" w:rsidRPr="002838BC" w:rsidRDefault="00C34110" w:rsidP="00C34110">
      <w:pPr>
        <w:rPr>
          <w:sz w:val="20"/>
          <w:szCs w:val="28"/>
        </w:rPr>
        <w:sectPr w:rsidR="00C34110" w:rsidRPr="002838BC" w:rsidSect="00C34110">
          <w:headerReference w:type="default" r:id="rId10"/>
          <w:pgSz w:w="16840" w:h="11907" w:orient="landscape"/>
          <w:pgMar w:top="1077" w:right="1134" w:bottom="1077" w:left="1134" w:header="567" w:footer="567" w:gutter="0"/>
          <w:pgNumType w:start="25"/>
          <w:cols w:space="708"/>
        </w:sectPr>
      </w:pPr>
    </w:p>
    <w:p w:rsidR="00C34110" w:rsidRPr="002838BC" w:rsidRDefault="00C34110" w:rsidP="00C34110">
      <w:pPr>
        <w:jc w:val="center"/>
        <w:rPr>
          <w:b/>
        </w:rPr>
      </w:pPr>
      <w:r w:rsidRPr="002838BC">
        <w:rPr>
          <w:b/>
        </w:rPr>
        <w:lastRenderedPageBreak/>
        <w:t>Útmutató a jogcímenkénti elszámolás és annak alátámasztására szolgáló táblázat kitöltéséhez, az elszámolás szabályaihoz</w:t>
      </w:r>
    </w:p>
    <w:p w:rsidR="00C34110" w:rsidRPr="002838BC" w:rsidRDefault="00C34110" w:rsidP="00C34110">
      <w:pPr>
        <w:rPr>
          <w:b/>
        </w:rPr>
      </w:pPr>
    </w:p>
    <w:p w:rsidR="00C34110" w:rsidRPr="002838BC" w:rsidRDefault="00C34110" w:rsidP="00C34110">
      <w:pPr>
        <w:numPr>
          <w:ilvl w:val="0"/>
          <w:numId w:val="5"/>
        </w:numPr>
        <w:ind w:left="284" w:hanging="284"/>
        <w:contextualSpacing/>
        <w:rPr>
          <w:b/>
          <w:sz w:val="20"/>
        </w:rPr>
      </w:pPr>
      <w:r w:rsidRPr="002838BC">
        <w:rPr>
          <w:b/>
          <w:sz w:val="20"/>
        </w:rPr>
        <w:t>Az elszámolás általános szabályai:</w:t>
      </w:r>
    </w:p>
    <w:p w:rsidR="00C34110" w:rsidRPr="002838BC" w:rsidRDefault="00C34110" w:rsidP="00C34110">
      <w:pPr>
        <w:numPr>
          <w:ilvl w:val="0"/>
          <w:numId w:val="6"/>
        </w:numPr>
        <w:ind w:left="567"/>
        <w:contextualSpacing/>
        <w:jc w:val="both"/>
        <w:rPr>
          <w:sz w:val="20"/>
        </w:rPr>
      </w:pPr>
      <w:r w:rsidRPr="002838BC">
        <w:rPr>
          <w:sz w:val="20"/>
        </w:rPr>
        <w:t>A 4.3.1. pont alapján a Kedvezményezett a működési célú támogatás felhasználásáról</w:t>
      </w:r>
      <w:r w:rsidR="00B37090">
        <w:rPr>
          <w:sz w:val="20"/>
        </w:rPr>
        <w:t xml:space="preserve"> </w:t>
      </w:r>
      <w:r>
        <w:rPr>
          <w:sz w:val="20"/>
        </w:rPr>
        <w:t>a</w:t>
      </w:r>
      <w:r w:rsidRPr="00CE370A">
        <w:rPr>
          <w:sz w:val="20"/>
        </w:rPr>
        <w:t xml:space="preserve">z első félévről 2017. június 30-i fordulónappal 2017. július 7-ig, a második félévben 2017. </w:t>
      </w:r>
      <w:r w:rsidRPr="00760E7D">
        <w:rPr>
          <w:sz w:val="20"/>
        </w:rPr>
        <w:t xml:space="preserve">december </w:t>
      </w:r>
      <w:r w:rsidRPr="00CE370A">
        <w:rPr>
          <w:sz w:val="20"/>
        </w:rPr>
        <w:t>3</w:t>
      </w:r>
      <w:r>
        <w:rPr>
          <w:sz w:val="20"/>
        </w:rPr>
        <w:t>1</w:t>
      </w:r>
      <w:r w:rsidRPr="00CE370A">
        <w:rPr>
          <w:sz w:val="20"/>
        </w:rPr>
        <w:t xml:space="preserve">-i fordulónappal </w:t>
      </w:r>
      <w:r w:rsidRPr="00A61136">
        <w:rPr>
          <w:sz w:val="20"/>
        </w:rPr>
        <w:t>2018. január</w:t>
      </w:r>
      <w:r w:rsidRPr="00CE370A">
        <w:rPr>
          <w:sz w:val="20"/>
        </w:rPr>
        <w:t xml:space="preserve">5-ig </w:t>
      </w:r>
      <w:r w:rsidRPr="002838BC">
        <w:rPr>
          <w:sz w:val="20"/>
        </w:rPr>
        <w:t>köteles megküldeni a Közreműködő részére az elszámolást</w:t>
      </w:r>
      <w:r w:rsidR="00B37090">
        <w:rPr>
          <w:sz w:val="20"/>
        </w:rPr>
        <w:t xml:space="preserve"> </w:t>
      </w:r>
      <w:r w:rsidRPr="00A61136">
        <w:rPr>
          <w:sz w:val="20"/>
        </w:rPr>
        <w:t>elektronikus úton és</w:t>
      </w:r>
      <w:r w:rsidRPr="002838BC">
        <w:rPr>
          <w:sz w:val="20"/>
        </w:rPr>
        <w:t xml:space="preserve"> papír alapon 3 példányban. </w:t>
      </w:r>
    </w:p>
    <w:p w:rsidR="00C34110" w:rsidRPr="002838BC" w:rsidRDefault="00C34110" w:rsidP="00C34110">
      <w:pPr>
        <w:numPr>
          <w:ilvl w:val="0"/>
          <w:numId w:val="6"/>
        </w:numPr>
        <w:ind w:left="567"/>
        <w:contextualSpacing/>
        <w:jc w:val="both"/>
        <w:rPr>
          <w:sz w:val="20"/>
        </w:rPr>
      </w:pPr>
      <w:r w:rsidRPr="002838BC">
        <w:rPr>
          <w:sz w:val="20"/>
        </w:rPr>
        <w:t xml:space="preserve">A működési célú támogatás elszámolásának részei: </w:t>
      </w:r>
    </w:p>
    <w:p w:rsidR="00C34110" w:rsidRPr="002838BC" w:rsidRDefault="00C34110" w:rsidP="00C34110">
      <w:pPr>
        <w:numPr>
          <w:ilvl w:val="0"/>
          <w:numId w:val="7"/>
        </w:numPr>
        <w:ind w:left="1134"/>
        <w:contextualSpacing/>
        <w:jc w:val="both"/>
        <w:rPr>
          <w:sz w:val="20"/>
        </w:rPr>
      </w:pPr>
      <w:r w:rsidRPr="002838BC">
        <w:rPr>
          <w:i/>
          <w:sz w:val="20"/>
        </w:rPr>
        <w:t>Jogcímenkénti elszámolás a működési kiadásokhoz kötött támogatásokról</w:t>
      </w:r>
      <w:r w:rsidRPr="002838BC">
        <w:rPr>
          <w:sz w:val="20"/>
        </w:rPr>
        <w:t xml:space="preserve"> című táblázat aláírt, eredeti példánya,</w:t>
      </w:r>
    </w:p>
    <w:p w:rsidR="00C34110" w:rsidRPr="002838BC" w:rsidRDefault="00C34110" w:rsidP="00C34110">
      <w:pPr>
        <w:numPr>
          <w:ilvl w:val="0"/>
          <w:numId w:val="7"/>
        </w:numPr>
        <w:ind w:left="1134"/>
        <w:contextualSpacing/>
        <w:jc w:val="both"/>
        <w:rPr>
          <w:sz w:val="20"/>
        </w:rPr>
      </w:pPr>
      <w:r w:rsidRPr="002838BC">
        <w:rPr>
          <w:i/>
          <w:sz w:val="20"/>
        </w:rPr>
        <w:t>Számlaösszesítő – a jogcímenkénti elszámolás alátámasztására –</w:t>
      </w:r>
      <w:r w:rsidRPr="002838BC">
        <w:rPr>
          <w:sz w:val="20"/>
        </w:rPr>
        <w:t xml:space="preserve"> című táblázat aláírt, eredeti példánya.</w:t>
      </w:r>
    </w:p>
    <w:p w:rsidR="00C34110" w:rsidRPr="002838BC" w:rsidRDefault="00C34110" w:rsidP="00C34110">
      <w:pPr>
        <w:numPr>
          <w:ilvl w:val="0"/>
          <w:numId w:val="6"/>
        </w:numPr>
        <w:ind w:left="567"/>
        <w:contextualSpacing/>
        <w:jc w:val="both"/>
        <w:rPr>
          <w:sz w:val="20"/>
        </w:rPr>
      </w:pPr>
      <w:r w:rsidRPr="002838BC">
        <w:rPr>
          <w:sz w:val="20"/>
        </w:rPr>
        <w:t xml:space="preserve">Hiteles az elszámolás, ha azt az adott időszakra vonatkozó kettős könyvvezetés alapján készült főkönyvi kivonat, illetve a 4.3. pontban ismertetett, az elszámolás hitelességét bizonyító vonatkozó dokumentumok támasztják alá. A főkönyvi kivonatot és az alátámasztó dokumentumokat nem kell mellékelni az elszámoláshoz, de ellenőrzésre a Közreműködő vagy megbízottja, illetve a Támogató bármikor bekérheti. </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 xml:space="preserve">A Közreműködő az ellenőrzött elszámolást (a feltárt hibákkal, illetve a kapcsolódó észrevételeivel) </w:t>
      </w:r>
      <w:r w:rsidRPr="00CE370A">
        <w:rPr>
          <w:sz w:val="20"/>
        </w:rPr>
        <w:t xml:space="preserve">2017. július 14-ig, illetve </w:t>
      </w:r>
      <w:r w:rsidRPr="00A61136">
        <w:rPr>
          <w:sz w:val="20"/>
        </w:rPr>
        <w:t xml:space="preserve">2018. január </w:t>
      </w:r>
      <w:r w:rsidRPr="00CE370A">
        <w:rPr>
          <w:sz w:val="20"/>
        </w:rPr>
        <w:t>12-ig</w:t>
      </w:r>
      <w:r w:rsidRPr="002838BC">
        <w:rPr>
          <w:sz w:val="20"/>
        </w:rPr>
        <w:t xml:space="preserve"> benyújtja a Támogatónak. </w:t>
      </w:r>
    </w:p>
    <w:p w:rsidR="00C34110" w:rsidRPr="002838BC" w:rsidRDefault="00C34110" w:rsidP="00C34110">
      <w:pPr>
        <w:numPr>
          <w:ilvl w:val="0"/>
          <w:numId w:val="6"/>
        </w:numPr>
        <w:autoSpaceDE w:val="0"/>
        <w:autoSpaceDN w:val="0"/>
        <w:adjustRightInd w:val="0"/>
        <w:ind w:left="567"/>
        <w:contextualSpacing/>
        <w:jc w:val="both"/>
        <w:rPr>
          <w:rFonts w:cs="Arial"/>
          <w:sz w:val="20"/>
          <w:szCs w:val="24"/>
        </w:rPr>
      </w:pPr>
      <w:r w:rsidRPr="002838BC">
        <w:rPr>
          <w:sz w:val="20"/>
        </w:rPr>
        <w:t xml:space="preserve">A Támogató a benyújtott elszámolást mind alakilag, mind tartalmilag áttekinti, és az elszámolás keretében benyújtott számlaösszesítő tételeiből 20%-ot kiválaszt további tételes ellenőrzés céljából. </w:t>
      </w:r>
    </w:p>
    <w:p w:rsidR="00C34110" w:rsidRPr="00CE370A" w:rsidRDefault="00C34110" w:rsidP="00C34110">
      <w:pPr>
        <w:numPr>
          <w:ilvl w:val="0"/>
          <w:numId w:val="6"/>
        </w:numPr>
        <w:autoSpaceDE w:val="0"/>
        <w:autoSpaceDN w:val="0"/>
        <w:adjustRightInd w:val="0"/>
        <w:ind w:left="567"/>
        <w:contextualSpacing/>
        <w:jc w:val="both"/>
        <w:rPr>
          <w:sz w:val="20"/>
        </w:rPr>
      </w:pPr>
      <w:r w:rsidRPr="002838BC">
        <w:rPr>
          <w:sz w:val="20"/>
        </w:rPr>
        <w:t xml:space="preserve">Támogató </w:t>
      </w:r>
      <w:r w:rsidRPr="00CE370A">
        <w:rPr>
          <w:sz w:val="20"/>
        </w:rPr>
        <w:t xml:space="preserve">2017. július 21-ig, illetve </w:t>
      </w:r>
      <w:r w:rsidRPr="00A61136">
        <w:rPr>
          <w:sz w:val="20"/>
        </w:rPr>
        <w:t xml:space="preserve">2018. január </w:t>
      </w:r>
      <w:r w:rsidRPr="00CE370A">
        <w:rPr>
          <w:sz w:val="20"/>
        </w:rPr>
        <w:t>1</w:t>
      </w:r>
      <w:r>
        <w:rPr>
          <w:sz w:val="20"/>
        </w:rPr>
        <w:t>9</w:t>
      </w:r>
      <w:r w:rsidRPr="00CE370A">
        <w:rPr>
          <w:sz w:val="20"/>
        </w:rPr>
        <w:t xml:space="preserve">-ig </w:t>
      </w:r>
      <w:r w:rsidRPr="002838BC">
        <w:rPr>
          <w:sz w:val="20"/>
        </w:rPr>
        <w:t xml:space="preserve">értesíti Kedvezményezettet az elszámolásban feltárt hibákról, illetve a kiválasztott tételekről. </w:t>
      </w:r>
    </w:p>
    <w:p w:rsidR="00C34110" w:rsidRPr="002838BC" w:rsidRDefault="00C34110" w:rsidP="00C34110">
      <w:pPr>
        <w:numPr>
          <w:ilvl w:val="0"/>
          <w:numId w:val="6"/>
        </w:numPr>
        <w:autoSpaceDE w:val="0"/>
        <w:autoSpaceDN w:val="0"/>
        <w:adjustRightInd w:val="0"/>
        <w:ind w:left="567"/>
        <w:contextualSpacing/>
        <w:jc w:val="both"/>
        <w:rPr>
          <w:rFonts w:cs="Arial"/>
          <w:sz w:val="20"/>
          <w:szCs w:val="24"/>
        </w:rPr>
      </w:pPr>
      <w:r w:rsidRPr="002838BC">
        <w:rPr>
          <w:sz w:val="20"/>
        </w:rPr>
        <w:t xml:space="preserve">Kedvezményezett köteles a hibákat javítani és kiválasztott tételekhez kapcsolódó, az elszámolás hitelességét alátámasztó tételes dokumentációt megküldeni papír alapon 3 példányban Támogató részére </w:t>
      </w:r>
      <w:r w:rsidRPr="00CE370A">
        <w:rPr>
          <w:sz w:val="20"/>
        </w:rPr>
        <w:t xml:space="preserve">2017. július 28-ig, illetve </w:t>
      </w:r>
      <w:r w:rsidRPr="00A61136">
        <w:rPr>
          <w:sz w:val="20"/>
        </w:rPr>
        <w:t xml:space="preserve">2018. január </w:t>
      </w:r>
      <w:r w:rsidRPr="00CE370A">
        <w:rPr>
          <w:sz w:val="20"/>
        </w:rPr>
        <w:t>2</w:t>
      </w:r>
      <w:r>
        <w:rPr>
          <w:sz w:val="20"/>
        </w:rPr>
        <w:t>6</w:t>
      </w:r>
      <w:r w:rsidRPr="00CE370A">
        <w:rPr>
          <w:sz w:val="20"/>
        </w:rPr>
        <w:t>-ig</w:t>
      </w:r>
      <w:r w:rsidRPr="002838BC">
        <w:rPr>
          <w:sz w:val="20"/>
        </w:rPr>
        <w:t xml:space="preserve">. </w:t>
      </w:r>
    </w:p>
    <w:p w:rsidR="00C34110" w:rsidRPr="002838BC" w:rsidRDefault="00C34110" w:rsidP="00C34110">
      <w:pPr>
        <w:numPr>
          <w:ilvl w:val="0"/>
          <w:numId w:val="6"/>
        </w:numPr>
        <w:autoSpaceDE w:val="0"/>
        <w:autoSpaceDN w:val="0"/>
        <w:adjustRightInd w:val="0"/>
        <w:ind w:left="567"/>
        <w:contextualSpacing/>
        <w:jc w:val="both"/>
        <w:rPr>
          <w:rFonts w:cs="Arial"/>
          <w:sz w:val="20"/>
          <w:szCs w:val="24"/>
        </w:rPr>
      </w:pPr>
      <w:r w:rsidRPr="002838BC">
        <w:rPr>
          <w:sz w:val="20"/>
        </w:rPr>
        <w:t>A Támogató a benyújtott javított és részletes elszámolást ellenőrzi, annak eredményeként azt elfogadja, illetőleg elutasítja. A Támogató az iratok beérkezésétől számított 5 munkanapon belül tesz érdemi nyilatkozatot</w:t>
      </w:r>
      <w:r w:rsidRPr="002838BC">
        <w:rPr>
          <w:rFonts w:cs="Arial"/>
          <w:sz w:val="20"/>
          <w:szCs w:val="24"/>
        </w:rPr>
        <w:t xml:space="preserve">. </w:t>
      </w:r>
    </w:p>
    <w:p w:rsidR="00C34110" w:rsidRPr="002838BC" w:rsidRDefault="00C34110" w:rsidP="00C34110">
      <w:pPr>
        <w:numPr>
          <w:ilvl w:val="0"/>
          <w:numId w:val="6"/>
        </w:numPr>
        <w:autoSpaceDE w:val="0"/>
        <w:autoSpaceDN w:val="0"/>
        <w:adjustRightInd w:val="0"/>
        <w:ind w:left="567"/>
        <w:contextualSpacing/>
        <w:jc w:val="both"/>
        <w:rPr>
          <w:rFonts w:cs="Arial"/>
          <w:sz w:val="20"/>
          <w:szCs w:val="24"/>
        </w:rPr>
      </w:pPr>
      <w:r w:rsidRPr="002838BC">
        <w:rPr>
          <w:sz w:val="20"/>
        </w:rPr>
        <w:t>Amennyiben Kedvezményezett a Támogató által kiutalt működési támogatás teljes összegét nem tudja elszámolni, az el nem számolt – a Támogató érdemi nyilatkozatában meghatározott - összeget az érdemi nyilatkozat kézhezvételét követő 5 munkanapon belül köteles Támogató részére visszautalni.</w:t>
      </w:r>
    </w:p>
    <w:p w:rsidR="00C34110" w:rsidRPr="002838BC" w:rsidRDefault="00C34110" w:rsidP="00C34110">
      <w:pPr>
        <w:numPr>
          <w:ilvl w:val="0"/>
          <w:numId w:val="6"/>
        </w:numPr>
        <w:autoSpaceDE w:val="0"/>
        <w:autoSpaceDN w:val="0"/>
        <w:adjustRightInd w:val="0"/>
        <w:ind w:left="567"/>
        <w:contextualSpacing/>
        <w:jc w:val="both"/>
        <w:rPr>
          <w:rFonts w:cs="Arial"/>
          <w:sz w:val="20"/>
          <w:szCs w:val="24"/>
        </w:rPr>
      </w:pPr>
      <w:r w:rsidRPr="002838BC">
        <w:rPr>
          <w:sz w:val="20"/>
        </w:rPr>
        <w:t>A Támogató által kiválasztott részletes alátámasztó elszámolás beküldésekor minden számla esetén szükséges a benyújtott számlára rávezetni, hogy az adott számla milyen célra került elszámolásra (hivatkozva a megkötött támogatási szerződésre). Emellett a benyújtásra kerülő kifizetési bizonylatokra minden esetben szükséges rávezetni, hogy melyik számlaszám kifizetését tartalmazza (ha az a közlemény/megjegyzés részben nem beazonosítható).</w:t>
      </w:r>
    </w:p>
    <w:p w:rsidR="00C34110" w:rsidRPr="002838BC" w:rsidRDefault="00C34110" w:rsidP="00C34110">
      <w:pPr>
        <w:autoSpaceDE w:val="0"/>
        <w:autoSpaceDN w:val="0"/>
        <w:adjustRightInd w:val="0"/>
        <w:ind w:left="567"/>
        <w:contextualSpacing/>
        <w:jc w:val="both"/>
        <w:rPr>
          <w:rFonts w:cs="Arial"/>
          <w:sz w:val="20"/>
          <w:szCs w:val="24"/>
        </w:rPr>
      </w:pPr>
    </w:p>
    <w:p w:rsidR="00C34110" w:rsidRPr="002838BC" w:rsidRDefault="00C34110" w:rsidP="00C34110">
      <w:pPr>
        <w:numPr>
          <w:ilvl w:val="0"/>
          <w:numId w:val="5"/>
        </w:numPr>
        <w:ind w:left="284" w:hanging="284"/>
        <w:contextualSpacing/>
        <w:jc w:val="both"/>
        <w:rPr>
          <w:b/>
          <w:sz w:val="20"/>
        </w:rPr>
      </w:pPr>
      <w:r w:rsidRPr="002838BC">
        <w:rPr>
          <w:b/>
          <w:i/>
          <w:sz w:val="20"/>
        </w:rPr>
        <w:t>Jogcímenkénti elszámolás a működési kiadásokhoz kötött támogatásokról</w:t>
      </w:r>
      <w:r w:rsidRPr="002838BC">
        <w:rPr>
          <w:b/>
          <w:sz w:val="20"/>
        </w:rPr>
        <w:t xml:space="preserve"> táblázat kitöltési szabályai:</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A táblázat adatait forintban szükséges megadni.</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A táblázat minden sorát ki kell tölteni, amely jogcímsor esetében nincs elszámolandó kiadás, ott nulla forint a finanszírozott összeg nagysága.</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 xml:space="preserve">Valamennyi működési célú elszámolási tételt bruttó módon kell kimutatni a táblázatban. </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 xml:space="preserve">A táblázatban kimutatott, jogcímsoronkénti összegeknek meg kell egyezniük a </w:t>
      </w:r>
      <w:r w:rsidRPr="002838BC">
        <w:rPr>
          <w:i/>
          <w:sz w:val="20"/>
        </w:rPr>
        <w:t>– Számlaösszesítő – a jogcímenkénti elszámolás alátámasztására –</w:t>
      </w:r>
      <w:r w:rsidRPr="002838BC">
        <w:rPr>
          <w:sz w:val="20"/>
        </w:rPr>
        <w:t xml:space="preserve"> című táblázat jogcímsoronkénti összegző adataival.</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A táblázat 46. jogcímsorában (</w:t>
      </w:r>
      <w:r w:rsidRPr="002838BC">
        <w:rPr>
          <w:bCs/>
          <w:sz w:val="20"/>
        </w:rPr>
        <w:t xml:space="preserve">Költségvetési működési kiadások) kimutatott kiadási összegnek meg kell egyeznie a </w:t>
      </w:r>
      <w:r w:rsidRPr="002838BC">
        <w:rPr>
          <w:bCs/>
          <w:i/>
          <w:sz w:val="20"/>
        </w:rPr>
        <w:t xml:space="preserve">– Számlaösszesítő – a jogcímenkénti elszámolás alátámasztására – </w:t>
      </w:r>
      <w:r w:rsidRPr="002838BC">
        <w:rPr>
          <w:bCs/>
          <w:sz w:val="20"/>
        </w:rPr>
        <w:t>című táblázat Költségvetési működési kiadások mindösszesen sorának Támogatásból elszámolni kívánt bruttó összeg adatával.</w:t>
      </w:r>
    </w:p>
    <w:p w:rsidR="00C34110" w:rsidRPr="002838BC" w:rsidRDefault="00C34110" w:rsidP="00C34110">
      <w:pPr>
        <w:numPr>
          <w:ilvl w:val="0"/>
          <w:numId w:val="6"/>
        </w:numPr>
        <w:ind w:left="567"/>
        <w:contextualSpacing/>
        <w:jc w:val="both"/>
        <w:rPr>
          <w:sz w:val="20"/>
        </w:rPr>
      </w:pPr>
      <w:r w:rsidRPr="002838BC">
        <w:rPr>
          <w:sz w:val="20"/>
        </w:rPr>
        <w:t>A Társulás és a tagtelepülés önkormányzatok nem számolhatnak el olyan termékértékesítést, vagy szolgáltatásnyújtást, amelynél a termék értékesítője, vagy a szolgáltatás nyújtója a Társulás, vagy valamelyik másik tagtelepülés önkormányzata, kivéve az ingatlan (helyiség-, területbérlet, stb.) bérleti szerződéseket.</w:t>
      </w:r>
    </w:p>
    <w:p w:rsidR="00C34110" w:rsidRDefault="00C34110" w:rsidP="00C34110">
      <w:pPr>
        <w:numPr>
          <w:ilvl w:val="0"/>
          <w:numId w:val="6"/>
        </w:numPr>
        <w:ind w:left="567"/>
        <w:contextualSpacing/>
        <w:jc w:val="both"/>
        <w:rPr>
          <w:sz w:val="20"/>
        </w:rPr>
      </w:pPr>
      <w:r w:rsidRPr="002838BC">
        <w:rPr>
          <w:sz w:val="20"/>
        </w:rPr>
        <w:t>Az elszámolás keretében beruházási kiadások nem számolhatóak el (azok kizárólag a felhalmozási célú támogatási célok között jelölhetőek meg kiadási célként). Ilyen az ingatlanok, ingatlanhoz kapcsolódó vagyoni értékű jogok és termőföld vásárlása, a befektetett eszköznek minősülő informatikai eszközök beszerzése (a tevékenységet tartósan, legalább egy éven túl szolgálja), az ingatlannak és informatikai eszköznek nem minősülő egyéb tárgyi eszközök beszerzése.</w:t>
      </w:r>
    </w:p>
    <w:p w:rsidR="00B37090" w:rsidRDefault="00B37090" w:rsidP="00B37090">
      <w:pPr>
        <w:contextualSpacing/>
        <w:jc w:val="both"/>
        <w:rPr>
          <w:sz w:val="20"/>
        </w:rPr>
      </w:pPr>
    </w:p>
    <w:p w:rsidR="00B37090" w:rsidRPr="002838BC" w:rsidRDefault="00B37090" w:rsidP="00B37090">
      <w:pPr>
        <w:contextualSpacing/>
        <w:jc w:val="both"/>
        <w:rPr>
          <w:sz w:val="20"/>
        </w:rPr>
      </w:pPr>
    </w:p>
    <w:p w:rsidR="00C34110" w:rsidRPr="00B37090" w:rsidRDefault="00C34110" w:rsidP="00C34110">
      <w:pPr>
        <w:numPr>
          <w:ilvl w:val="0"/>
          <w:numId w:val="6"/>
        </w:numPr>
        <w:autoSpaceDE w:val="0"/>
        <w:autoSpaceDN w:val="0"/>
        <w:adjustRightInd w:val="0"/>
        <w:ind w:left="567"/>
        <w:contextualSpacing/>
        <w:jc w:val="both"/>
        <w:rPr>
          <w:sz w:val="20"/>
        </w:rPr>
      </w:pPr>
      <w:r w:rsidRPr="002838BC">
        <w:rPr>
          <w:bCs/>
          <w:sz w:val="20"/>
        </w:rPr>
        <w:lastRenderedPageBreak/>
        <w:t>Rovatszámokhoz tartozó tételes elszámolási útmutató:</w:t>
      </w:r>
    </w:p>
    <w:p w:rsidR="00B37090" w:rsidRPr="002838BC" w:rsidRDefault="00B37090" w:rsidP="00B37090">
      <w:pPr>
        <w:autoSpaceDE w:val="0"/>
        <w:autoSpaceDN w:val="0"/>
        <w:adjustRightInd w:val="0"/>
        <w:contextualSpacing/>
        <w:jc w:val="both"/>
        <w:rPr>
          <w:sz w:val="20"/>
        </w:rPr>
      </w:pPr>
    </w:p>
    <w:p w:rsidR="00C34110" w:rsidRPr="002838BC" w:rsidRDefault="00C34110" w:rsidP="00C34110">
      <w:pPr>
        <w:numPr>
          <w:ilvl w:val="0"/>
          <w:numId w:val="8"/>
        </w:numPr>
        <w:ind w:left="851"/>
        <w:contextualSpacing/>
        <w:jc w:val="both"/>
        <w:rPr>
          <w:sz w:val="20"/>
        </w:rPr>
      </w:pPr>
      <w:r w:rsidRPr="002838BC">
        <w:rPr>
          <w:sz w:val="20"/>
        </w:rPr>
        <w:t>K1101. Törvény szerinti illetmények, munkabérek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illetményét.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K1102. Normatív jutalmak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az előre nem meghatározott követelményekhez kapcsolódóan megállapított normatív jutalmakat.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K1103. Céljuttatás, projektprémium</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a teljesítményösztönzés, személyi ösztönzés céljából megállapított jutalmat, prémiumot, céljuttatást, továbbá minden más hasonló személyi ösztönzési jellegű kifizetést, függetlenül annak elnevezésétől.</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K1104. Készenléti, ügyeleti, helyettesítési díj, túlóra, túlszolgálat</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a helyettesítés, illetve helyettesítésre szóló megbízás címen folyósítandó juttatásokat, a készenléti és ügyeleti díj összegét, a túlóradíjakat.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K1105. Végkielégítés</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megállapított végkielégítést.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K1106. Jubileumi jutalom</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megállapított jubileumi jutalmakat és a munkaviszony elismerésére szolgáló – például hűségjutalom – jutalmakat.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K1107. Béren kívüli juttatások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juttatott, a személyi jövedelemadóról szóló törvény szerinti béren kívüli juttatásokat és egyes meghatározott juttatásokat, ideértve azt az esetet is, ha azok megfelelnek a béren kívüli juttatás feltételeinek, de a személyi jövedelemadóról szóló törvényben meghatározott értékhatárt meghaladják.</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K1108. Ruházati költségtérítés</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pénzben fizetendő ruházati költségtérítéseket.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K1109. Közlekedési költségtérítés</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megállapított munkába járással kapcsolatos személygépkocsi használat után fizetendő költségtérítést, továbbá más utazási költségtérítéseket.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K1110. Egyéb költségtérítések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pénzben fizetendő, más rovaton nem elszámolható költségtérítéseket.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K1111. Lakhatási támogatások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megállapított lakhatási, rezsiköltség, albérleti díj hozzájárulásokat.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K1112. Szociális támogatások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munkatársak részére szociális alapon megállapított eseti szociális támogatásokat, segélyeket.</w:t>
      </w:r>
    </w:p>
    <w:p w:rsidR="00C34110"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B37090" w:rsidRPr="002838BC" w:rsidRDefault="00B37090" w:rsidP="00C34110">
      <w:pPr>
        <w:ind w:left="851"/>
        <w:contextualSpacing/>
        <w:jc w:val="both"/>
        <w:rPr>
          <w:sz w:val="20"/>
        </w:rPr>
      </w:pPr>
    </w:p>
    <w:p w:rsidR="00C34110" w:rsidRPr="002838BC" w:rsidRDefault="00C34110" w:rsidP="00C34110">
      <w:pPr>
        <w:numPr>
          <w:ilvl w:val="0"/>
          <w:numId w:val="8"/>
        </w:numPr>
        <w:ind w:left="851"/>
        <w:contextualSpacing/>
        <w:jc w:val="both"/>
        <w:rPr>
          <w:sz w:val="20"/>
        </w:rPr>
      </w:pPr>
      <w:r w:rsidRPr="002838BC">
        <w:rPr>
          <w:sz w:val="20"/>
        </w:rPr>
        <w:lastRenderedPageBreak/>
        <w:t>K1113. Foglalkoztatottak egyéb személyi juttatásai</w:t>
      </w:r>
    </w:p>
    <w:p w:rsidR="00C34110" w:rsidRPr="002838BC" w:rsidRDefault="00C34110" w:rsidP="00C34110">
      <w:pPr>
        <w:ind w:left="851"/>
        <w:contextualSpacing/>
        <w:jc w:val="both"/>
        <w:rPr>
          <w:sz w:val="20"/>
        </w:rPr>
      </w:pPr>
      <w:r w:rsidRPr="002838BC">
        <w:rPr>
          <w:sz w:val="20"/>
        </w:rPr>
        <w:t>Ezen a rovaton lehet elszámolni a munkáltató által a 3. pontban meghatározott feladatok elvégzésében résztvevő munkatársak részére teljesített, más rovaton nem elszámolható olyan juttatásokat, amelyek után a foglalkoztatottnak a személyi jövedelemadóról szóló törvény alapján az összevont adóalapba tartozó bevétele keletkezik függetlenül attól, hogy a foglalkoztatott a jövedelme kiszámításakor a bevétellel szemben jogosult-e levonásra, illetve a munkáltató által teljesített, más rovaton nem elszámolható olyan kifizetéseket, amelyek után a foglalkoztatottnak a személyi jövedelemadóról szóló törvényalapján adómentes bevétele keletkezik, és a munkáltató által a foglalkoztatottakkal kapcsolatban kötött biztosítások díját.</w:t>
      </w:r>
    </w:p>
    <w:p w:rsidR="00C34110" w:rsidRPr="002838BC" w:rsidRDefault="00C34110" w:rsidP="00C34110">
      <w:pPr>
        <w:ind w:left="851"/>
        <w:contextualSpacing/>
        <w:jc w:val="both"/>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K121. Választott tisztségviselők juttatásai</w:t>
      </w:r>
    </w:p>
    <w:p w:rsidR="00C34110" w:rsidRPr="002838BC" w:rsidRDefault="00C34110" w:rsidP="00C34110">
      <w:pPr>
        <w:ind w:left="851"/>
        <w:contextualSpacing/>
        <w:jc w:val="both"/>
        <w:rPr>
          <w:sz w:val="20"/>
        </w:rPr>
      </w:pPr>
      <w:r w:rsidRPr="002838BC">
        <w:rPr>
          <w:sz w:val="20"/>
        </w:rPr>
        <w:t>Ezen a rovaton lehet elszámolni által a 3. pontban meghatározott feladatok elvégzésében résztvevő polgármester, alpolgármester számára fizetett, a K1101-K1113. rovatoknak megfelelő tartalmú juttatásokat, tiszteletdíjakat.</w:t>
      </w:r>
    </w:p>
    <w:p w:rsidR="00C34110" w:rsidRPr="002838BC" w:rsidRDefault="00C34110" w:rsidP="00C34110">
      <w:pPr>
        <w:ind w:firstLine="851"/>
        <w:rPr>
          <w:sz w:val="20"/>
        </w:rPr>
      </w:pPr>
      <w:r w:rsidRPr="002838BC">
        <w:rPr>
          <w:sz w:val="20"/>
        </w:rPr>
        <w:t>Alátámasztó dokumentáció: Munkaszerződés, kinevezési okirat,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K122. Munkavégzésre irányuló egyéb jogviszonyban nem saját foglalkoztatottnak fizetett juttatások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elvégzésében résztvevő, a munkavégzésre irányuló egyéb jogviszony keretében nem saját foglalkoztatottnak fizetett díjazásokat.</w:t>
      </w:r>
    </w:p>
    <w:p w:rsidR="00C34110" w:rsidRPr="002838BC" w:rsidRDefault="00C34110" w:rsidP="00C34110">
      <w:pPr>
        <w:ind w:left="851"/>
        <w:contextualSpacing/>
        <w:jc w:val="both"/>
        <w:rPr>
          <w:sz w:val="20"/>
        </w:rPr>
      </w:pPr>
      <w:r w:rsidRPr="002838BC">
        <w:rPr>
          <w:sz w:val="20"/>
        </w:rPr>
        <w:t>Alátámasztó dokumentáció</w:t>
      </w:r>
      <w:r w:rsidRPr="00060CB4">
        <w:rPr>
          <w:sz w:val="20"/>
        </w:rPr>
        <w:t>Eseti megbízási szerződés</w:t>
      </w:r>
      <w:r w:rsidRPr="002838BC">
        <w:rPr>
          <w:sz w:val="20"/>
        </w:rPr>
        <w:t>, munkaköri leírás, kifizetési bizonylat.</w:t>
      </w:r>
    </w:p>
    <w:p w:rsidR="00C34110" w:rsidRPr="002838BC" w:rsidRDefault="00C34110" w:rsidP="00C34110">
      <w:pPr>
        <w:numPr>
          <w:ilvl w:val="0"/>
          <w:numId w:val="8"/>
        </w:numPr>
        <w:ind w:left="851"/>
        <w:contextualSpacing/>
        <w:jc w:val="both"/>
        <w:rPr>
          <w:sz w:val="20"/>
        </w:rPr>
      </w:pPr>
      <w:r w:rsidRPr="002838BC">
        <w:rPr>
          <w:sz w:val="20"/>
        </w:rPr>
        <w:t>K123. Egyéb külső személyi juttatások</w:t>
      </w:r>
    </w:p>
    <w:p w:rsidR="00C34110" w:rsidRPr="002838BC" w:rsidRDefault="00C34110" w:rsidP="00C34110">
      <w:pPr>
        <w:ind w:left="851"/>
        <w:contextualSpacing/>
        <w:jc w:val="both"/>
        <w:rPr>
          <w:sz w:val="20"/>
        </w:rPr>
      </w:pPr>
      <w:r w:rsidRPr="002838BC">
        <w:rPr>
          <w:sz w:val="20"/>
        </w:rPr>
        <w:t>Ezen a rovaton lehet elszámolnia 3. pontban meghatározott feladatok elvégzésében résztvevő prémiumévek programban résztvevőmunkatársak juttatásait, az egyszerűsített foglalkoztatás alá tartozó munkavállalók részére megállapított juttatásokat (ide értve a juttatásaik után a foglalkoztatót terhelő közterheket is), a nem foglalkoztatottaknak adományozott kitüntetésekkel, díjakkal, elismerésekkel járó pénzjutalmat, a személyi jövedelemadóról szóló törvény szerinti reprezentáció és üzleti ajándék kiadásait (ide értve azt az esetet is, ha azok megfelelnek a reprezentáció, üzleti ajándék feltételeinek,de a személyi jövedelemadóról szóló törvényben meghatározott értékhatárt meghaladják.</w:t>
      </w:r>
    </w:p>
    <w:p w:rsidR="00C34110" w:rsidRPr="002838BC" w:rsidRDefault="00C34110" w:rsidP="00C34110">
      <w:pPr>
        <w:autoSpaceDE w:val="0"/>
        <w:autoSpaceDN w:val="0"/>
        <w:adjustRightInd w:val="0"/>
        <w:ind w:left="851"/>
        <w:jc w:val="both"/>
        <w:rPr>
          <w:sz w:val="20"/>
        </w:rPr>
      </w:pPr>
      <w:r w:rsidRPr="002838BC">
        <w:rPr>
          <w:sz w:val="20"/>
        </w:rPr>
        <w:t>Alátámasztó dokumentáció: Munkaszerződés, kinevezési okirat, munkaköri leírás, kifizetési bizonylat, visszaigazolt megrendelő, szerződés, számla.</w:t>
      </w:r>
    </w:p>
    <w:p w:rsidR="00C34110" w:rsidRPr="002838BC" w:rsidRDefault="00C34110" w:rsidP="00C34110">
      <w:pPr>
        <w:numPr>
          <w:ilvl w:val="0"/>
          <w:numId w:val="8"/>
        </w:numPr>
        <w:ind w:left="851"/>
        <w:contextualSpacing/>
        <w:jc w:val="both"/>
        <w:rPr>
          <w:sz w:val="20"/>
        </w:rPr>
      </w:pPr>
      <w:r w:rsidRPr="002838BC">
        <w:rPr>
          <w:sz w:val="20"/>
        </w:rPr>
        <w:t>K2. Munkaadókat terhelő járulékok és szociális hozzájárulási adó</w:t>
      </w:r>
    </w:p>
    <w:p w:rsidR="00C34110" w:rsidRPr="002838BC" w:rsidRDefault="00C34110" w:rsidP="00C34110">
      <w:pPr>
        <w:ind w:left="851"/>
        <w:contextualSpacing/>
        <w:jc w:val="both"/>
        <w:rPr>
          <w:sz w:val="20"/>
        </w:rPr>
      </w:pPr>
      <w:r w:rsidRPr="002838BC">
        <w:rPr>
          <w:sz w:val="20"/>
        </w:rPr>
        <w:t>Ezen a rovaton lehet elszámolni a K1. rovatokon elszámolt tételekhez kapcsolódó szociális hozzájárulási adót, rehabilitációs hozzájárulást, korkedvezmény-biztosítási járulékot, egészségügyi hozzájárulást, táppénz hozzájárulást, munkaadót a foglalkoztatottak részére történő kifizetésekkel kapcsolatban terhelő más járulék jellegű kötelezettségeket, és a munkáltatót terhelő személyi jövedelemadót.</w:t>
      </w:r>
    </w:p>
    <w:p w:rsidR="00C34110" w:rsidRPr="002838BC" w:rsidRDefault="00C34110" w:rsidP="00C34110">
      <w:pPr>
        <w:numPr>
          <w:ilvl w:val="0"/>
          <w:numId w:val="8"/>
        </w:numPr>
        <w:ind w:left="851"/>
        <w:contextualSpacing/>
        <w:jc w:val="both"/>
        <w:rPr>
          <w:sz w:val="20"/>
        </w:rPr>
      </w:pPr>
      <w:r w:rsidRPr="002838BC">
        <w:rPr>
          <w:sz w:val="20"/>
        </w:rPr>
        <w:t>K311. Szakmai anyagok beszerzése</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elvégzését segítő és a napi, rendszeres tájékoztatást szolgáló, papír alapú eszközök - így különösen könyvek, közlönyök, jogi információk, napilapok, folyóiratok - beszerzése, előfizetése után fizetett vételárat.</w:t>
      </w:r>
    </w:p>
    <w:p w:rsidR="00C34110" w:rsidRPr="002838BC" w:rsidRDefault="00C34110" w:rsidP="00C34110">
      <w:pPr>
        <w:ind w:left="851"/>
        <w:contextualSpacing/>
        <w:jc w:val="both"/>
        <w:rPr>
          <w:sz w:val="20"/>
        </w:rPr>
      </w:pPr>
      <w:r w:rsidRPr="002838BC">
        <w:rPr>
          <w:sz w:val="20"/>
        </w:rPr>
        <w:t>Nem számolható</w:t>
      </w:r>
      <w:r>
        <w:rPr>
          <w:sz w:val="20"/>
        </w:rPr>
        <w:t>k</w:t>
      </w:r>
      <w:r w:rsidRPr="002838BC">
        <w:rPr>
          <w:sz w:val="20"/>
        </w:rPr>
        <w:t xml:space="preserve"> el (sem ezen a rovaton, sem másik rovaton) az olyan informatikai eszközök, elektronikus könyvek, egyéb információhordozók beszerzése után fizetett vételár, amelyek a tevékenységet legfeljebb egy évig szolgálják.</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w:t>
      </w:r>
    </w:p>
    <w:p w:rsidR="00C34110" w:rsidRPr="002838BC" w:rsidRDefault="00C34110" w:rsidP="00C34110">
      <w:pPr>
        <w:numPr>
          <w:ilvl w:val="0"/>
          <w:numId w:val="8"/>
        </w:numPr>
        <w:ind w:left="851"/>
        <w:contextualSpacing/>
        <w:jc w:val="both"/>
        <w:rPr>
          <w:sz w:val="20"/>
        </w:rPr>
      </w:pPr>
      <w:r w:rsidRPr="002838BC">
        <w:rPr>
          <w:sz w:val="20"/>
        </w:rPr>
        <w:t>K312. Üzemeltetési anyagok beszerzése</w:t>
      </w:r>
    </w:p>
    <w:p w:rsidR="00C34110" w:rsidRPr="002838BC" w:rsidRDefault="00C34110" w:rsidP="00C34110">
      <w:pPr>
        <w:ind w:left="851"/>
        <w:contextualSpacing/>
        <w:jc w:val="both"/>
        <w:rPr>
          <w:sz w:val="20"/>
        </w:rPr>
      </w:pPr>
      <w:r w:rsidRPr="002838BC">
        <w:rPr>
          <w:sz w:val="20"/>
        </w:rPr>
        <w:t xml:space="preserve">Ezen a rovaton lehet elszámolni a 3. pontban meghatározott feladatok elvégzéséhez kapcsolódó </w:t>
      </w:r>
    </w:p>
    <w:p w:rsidR="00C34110" w:rsidRPr="002838BC" w:rsidRDefault="00C34110" w:rsidP="00C34110">
      <w:pPr>
        <w:numPr>
          <w:ilvl w:val="1"/>
          <w:numId w:val="9"/>
        </w:numPr>
        <w:ind w:left="1276" w:hanging="196"/>
        <w:contextualSpacing/>
        <w:jc w:val="both"/>
        <w:rPr>
          <w:sz w:val="20"/>
        </w:rPr>
      </w:pPr>
      <w:r w:rsidRPr="002838BC">
        <w:rPr>
          <w:sz w:val="20"/>
        </w:rPr>
        <w:t>élelmiszerek, élelmezési nyersanyagok beszerzése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az irodai papír és a nyomtatványok beszerzése után fizetett vételárat, továbbá minden, irodai célt szolgáló anyag – így különösen irattartó, tűzőgép, irodai kapcsok, naptár, ceruza, toll, radír, ragasztó, lyukasztó – beszerzése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 nyomtatási, sokszorosítási feladatokkal összefüggő anyagok – így különösen festék, festékpatron – beszerzése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 tüzelőanyagok, folyékony és gáznemű energiahordozók, járművekhez hajtó- és kenőanyagok beszerzése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 ruházati költségtérítésnél nem szerepeltethető munka- és védőruha beszerzése után fizetett vételárat, és</w:t>
      </w:r>
    </w:p>
    <w:p w:rsidR="00C34110" w:rsidRPr="002838BC" w:rsidRDefault="00C34110" w:rsidP="00C34110">
      <w:pPr>
        <w:numPr>
          <w:ilvl w:val="1"/>
          <w:numId w:val="9"/>
        </w:numPr>
        <w:ind w:left="1276" w:hanging="196"/>
        <w:contextualSpacing/>
        <w:jc w:val="both"/>
        <w:rPr>
          <w:sz w:val="20"/>
        </w:rPr>
      </w:pPr>
      <w:r w:rsidRPr="002838BC">
        <w:rPr>
          <w:sz w:val="20"/>
        </w:rPr>
        <w:t>mindazon anyagok beszerzése után fizetett vételárat, amelyek nem számolhatók el szakmai anyag beszerzéseként.</w:t>
      </w:r>
    </w:p>
    <w:p w:rsidR="00C34110" w:rsidRPr="002838BC" w:rsidRDefault="00C34110" w:rsidP="00C34110">
      <w:pPr>
        <w:autoSpaceDE w:val="0"/>
        <w:autoSpaceDN w:val="0"/>
        <w:adjustRightInd w:val="0"/>
        <w:ind w:left="851"/>
        <w:jc w:val="both"/>
        <w:rPr>
          <w:sz w:val="20"/>
        </w:rPr>
      </w:pPr>
      <w:r w:rsidRPr="002838BC">
        <w:rPr>
          <w:sz w:val="20"/>
        </w:rPr>
        <w:t>Nem számolható el ezen a rovaton informatikai eszköz vásárlás (pl. nyomtató).</w:t>
      </w:r>
    </w:p>
    <w:p w:rsidR="00C34110" w:rsidRPr="002838BC" w:rsidRDefault="00C34110" w:rsidP="00C34110">
      <w:pPr>
        <w:autoSpaceDE w:val="0"/>
        <w:autoSpaceDN w:val="0"/>
        <w:adjustRightInd w:val="0"/>
        <w:ind w:left="851"/>
        <w:jc w:val="both"/>
        <w:rPr>
          <w:sz w:val="20"/>
        </w:rPr>
      </w:pPr>
      <w:r w:rsidRPr="002838BC">
        <w:rPr>
          <w:sz w:val="20"/>
        </w:rPr>
        <w:lastRenderedPageBreak/>
        <w:t>Alátámasztó dokumentáció: Szerződés, visszaigazolt megrendelő, árajánlat, számla, kifizetési bizonylat, garancia, forgalmi engedély.</w:t>
      </w:r>
    </w:p>
    <w:p w:rsidR="00C34110" w:rsidRPr="002838BC" w:rsidRDefault="00C34110" w:rsidP="00C34110">
      <w:pPr>
        <w:numPr>
          <w:ilvl w:val="0"/>
          <w:numId w:val="8"/>
        </w:numPr>
        <w:ind w:left="851"/>
        <w:contextualSpacing/>
        <w:jc w:val="both"/>
        <w:rPr>
          <w:sz w:val="20"/>
        </w:rPr>
      </w:pPr>
      <w:r w:rsidRPr="002838BC">
        <w:rPr>
          <w:sz w:val="20"/>
        </w:rPr>
        <w:t>K321. Informatikai szolgáltatások igénybevétele</w:t>
      </w:r>
    </w:p>
    <w:p w:rsidR="00C34110" w:rsidRPr="002838BC" w:rsidRDefault="00C34110" w:rsidP="00C34110">
      <w:pPr>
        <w:ind w:left="851"/>
        <w:contextualSpacing/>
        <w:jc w:val="both"/>
        <w:rPr>
          <w:sz w:val="20"/>
        </w:rPr>
      </w:pPr>
      <w:r w:rsidRPr="002838BC">
        <w:rPr>
          <w:sz w:val="20"/>
        </w:rPr>
        <w:t>Ezen a rovaton lehet elszámolnia 3. pontban meghatározott feladatok elvégzéséhez kapcsolódó</w:t>
      </w:r>
    </w:p>
    <w:p w:rsidR="00C34110" w:rsidRPr="002838BC" w:rsidRDefault="00C34110" w:rsidP="00C34110">
      <w:pPr>
        <w:numPr>
          <w:ilvl w:val="1"/>
          <w:numId w:val="9"/>
        </w:numPr>
        <w:ind w:left="1276" w:hanging="196"/>
        <w:contextualSpacing/>
        <w:jc w:val="both"/>
        <w:rPr>
          <w:sz w:val="20"/>
        </w:rPr>
      </w:pPr>
      <w:r w:rsidRPr="002838BC">
        <w:rPr>
          <w:sz w:val="20"/>
        </w:rPr>
        <w:t>számítógépes rendszer tervezésére, az erre vonatkozó tanácsadásra, számítógéprendszer, illetve adatfeldolgozó berendezések kiépítésére, helyszíni irányítására, üzemeltetésére – ide értve a számítógépek üzembe helyezését, szoftverek telepítését is, ha azok nem részei azok vételárának –, valamint az ezeket segítő tevékenységekre irányuló szolgáltatás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 számítógépes programozásra, így különösen adatbázisok készítésére, szoftverek írására, meglévő alkalmazások módosítására és konfigurálására, ezek tesztelésére irányuló szolgáltatás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az informatikai eszközök javítása, karbantartása vételárát, díját,</w:t>
      </w:r>
    </w:p>
    <w:p w:rsidR="00C34110" w:rsidRPr="002838BC" w:rsidRDefault="00C34110" w:rsidP="00C34110">
      <w:pPr>
        <w:numPr>
          <w:ilvl w:val="1"/>
          <w:numId w:val="9"/>
        </w:numPr>
        <w:ind w:left="1276" w:hanging="196"/>
        <w:contextualSpacing/>
        <w:jc w:val="both"/>
        <w:rPr>
          <w:sz w:val="20"/>
        </w:rPr>
      </w:pPr>
      <w:r w:rsidRPr="002838BC">
        <w:rPr>
          <w:sz w:val="20"/>
        </w:rPr>
        <w:t>az adatrögzítésre, adatfeldolgozásra, web-hosztingra irányuló szolgáltatás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 világhálón megjelenő oldalak, internetes portálok tervezésére, elkészítésére, működtetésére irányuló szolgáltatás után fizetett vételárat,</w:t>
      </w:r>
    </w:p>
    <w:p w:rsidR="00C34110" w:rsidRPr="002838BC" w:rsidRDefault="00C34110" w:rsidP="00C34110">
      <w:pPr>
        <w:numPr>
          <w:ilvl w:val="1"/>
          <w:numId w:val="9"/>
        </w:numPr>
        <w:ind w:left="1276" w:hanging="196"/>
        <w:contextualSpacing/>
        <w:jc w:val="both"/>
        <w:rPr>
          <w:sz w:val="20"/>
        </w:rPr>
      </w:pPr>
      <w:r w:rsidRPr="002838BC">
        <w:rPr>
          <w:sz w:val="20"/>
        </w:rPr>
        <w:t>a számítógépek között megvalósuló adatátviteli célú távközlési kapcsolatok díjait, és</w:t>
      </w:r>
    </w:p>
    <w:p w:rsidR="00C34110" w:rsidRPr="002838BC" w:rsidRDefault="00C34110" w:rsidP="00C34110">
      <w:pPr>
        <w:numPr>
          <w:ilvl w:val="1"/>
          <w:numId w:val="9"/>
        </w:numPr>
        <w:ind w:left="1276" w:hanging="196"/>
        <w:contextualSpacing/>
        <w:jc w:val="both"/>
        <w:rPr>
          <w:sz w:val="20"/>
        </w:rPr>
      </w:pPr>
      <w:r w:rsidRPr="002838BC">
        <w:rPr>
          <w:sz w:val="20"/>
        </w:rPr>
        <w:t>a számítógépes oktatásra irányuló szolgáltatás után fizetett vételárat.</w:t>
      </w:r>
    </w:p>
    <w:p w:rsidR="00C34110" w:rsidRPr="002838BC" w:rsidRDefault="00C34110" w:rsidP="00C34110">
      <w:pPr>
        <w:ind w:left="851"/>
        <w:jc w:val="both"/>
        <w:rPr>
          <w:sz w:val="20"/>
        </w:rPr>
      </w:pPr>
      <w:r w:rsidRPr="002838BC">
        <w:rPr>
          <w:sz w:val="20"/>
        </w:rPr>
        <w:t>Alátámasztó dokumentáció: Szerződés, visszaigazolt megrendelő, árajánlat, számla, kifizetési bizonylat, garancia.</w:t>
      </w:r>
    </w:p>
    <w:p w:rsidR="00C34110" w:rsidRPr="002838BC" w:rsidRDefault="00C34110" w:rsidP="00C34110">
      <w:pPr>
        <w:numPr>
          <w:ilvl w:val="0"/>
          <w:numId w:val="8"/>
        </w:numPr>
        <w:ind w:left="851"/>
        <w:contextualSpacing/>
        <w:jc w:val="both"/>
        <w:rPr>
          <w:sz w:val="20"/>
        </w:rPr>
      </w:pPr>
      <w:r w:rsidRPr="002838BC">
        <w:rPr>
          <w:sz w:val="20"/>
        </w:rPr>
        <w:t>K322. Egyéb kommunikációs szolgáltatások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elvégzéséhez kapcsolódó, nem számítógépek között megvalósuló, nem adatátviteli célú távközlési – így különösen telefon, telefax, telex, mobil – díjakat, mobil telefonokhoz vásárolt kártyák vételárát, továbbá a műsorvételi, műsorközlési jogdíjak kiadásait.</w:t>
      </w:r>
    </w:p>
    <w:p w:rsidR="00C34110" w:rsidRPr="002838BC" w:rsidRDefault="00C34110" w:rsidP="00C34110">
      <w:pPr>
        <w:ind w:left="851"/>
        <w:contextualSpacing/>
        <w:jc w:val="both"/>
        <w:rPr>
          <w:sz w:val="20"/>
        </w:rPr>
      </w:pPr>
      <w:r w:rsidRPr="002838BC">
        <w:rPr>
          <w:sz w:val="20"/>
        </w:rPr>
        <w:t>Nem számolhatók el más, pl. lakossági célú szolgáltatások díjai ezen a rovaton.</w:t>
      </w:r>
    </w:p>
    <w:p w:rsidR="00C34110" w:rsidRPr="002838BC" w:rsidRDefault="00C34110" w:rsidP="00C34110">
      <w:pPr>
        <w:autoSpaceDE w:val="0"/>
        <w:autoSpaceDN w:val="0"/>
        <w:adjustRightInd w:val="0"/>
        <w:ind w:left="851"/>
        <w:jc w:val="both"/>
        <w:rPr>
          <w:sz w:val="20"/>
        </w:rPr>
      </w:pPr>
      <w:r w:rsidRPr="002838BC">
        <w:rPr>
          <w:sz w:val="20"/>
        </w:rPr>
        <w:t>Alátámasztó dokumentáció: Szerződés, visszaigazolt megrendelő, árajánlat, számla, kifizetési bizonylat, garancia, munkaköri leírás.</w:t>
      </w:r>
    </w:p>
    <w:p w:rsidR="00C34110" w:rsidRPr="002838BC" w:rsidRDefault="00C34110" w:rsidP="00C34110">
      <w:pPr>
        <w:numPr>
          <w:ilvl w:val="0"/>
          <w:numId w:val="8"/>
        </w:numPr>
        <w:ind w:left="851"/>
        <w:contextualSpacing/>
        <w:jc w:val="both"/>
        <w:rPr>
          <w:sz w:val="20"/>
        </w:rPr>
      </w:pPr>
      <w:r w:rsidRPr="002838BC">
        <w:rPr>
          <w:sz w:val="20"/>
        </w:rPr>
        <w:t>K331. Közüzemi díjak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elvégzéséhez kapcsolódó villamosenergia, gázenergia, távhő- és melegvíz szolgáltatások díjait, a víz- és csatornadíjakat.</w:t>
      </w:r>
    </w:p>
    <w:p w:rsidR="00C34110" w:rsidRPr="002838BC" w:rsidRDefault="00C34110" w:rsidP="00C34110">
      <w:pPr>
        <w:ind w:left="851"/>
        <w:contextualSpacing/>
        <w:jc w:val="both"/>
        <w:rPr>
          <w:sz w:val="20"/>
        </w:rPr>
      </w:pPr>
      <w:r w:rsidRPr="002838BC">
        <w:rPr>
          <w:sz w:val="20"/>
        </w:rPr>
        <w:t>Nem számolhatók el más, pl. lakossági célú szolgáltatások díjai ezen a rovaton.</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w:t>
      </w:r>
    </w:p>
    <w:p w:rsidR="00C34110" w:rsidRPr="002838BC" w:rsidRDefault="00C34110" w:rsidP="00C34110">
      <w:pPr>
        <w:numPr>
          <w:ilvl w:val="0"/>
          <w:numId w:val="8"/>
        </w:numPr>
        <w:ind w:left="851"/>
        <w:contextualSpacing/>
        <w:jc w:val="both"/>
        <w:rPr>
          <w:sz w:val="20"/>
        </w:rPr>
      </w:pPr>
      <w:r w:rsidRPr="002838BC">
        <w:rPr>
          <w:sz w:val="20"/>
        </w:rPr>
        <w:t>K332. Vásárolt élelmezés</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elvégzéséhez kapcsolódó, az étkeztetésről szolgáltatás vásárlásával gondoskodó szervnél a konyha, étterem, büfé vagy más vendéglátóipari helyiség üzemeltetésére irányuló szolgáltatásért fizetett vételárat.</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w:t>
      </w:r>
    </w:p>
    <w:p w:rsidR="00C34110" w:rsidRPr="002838BC" w:rsidRDefault="00C34110" w:rsidP="00C34110">
      <w:pPr>
        <w:numPr>
          <w:ilvl w:val="0"/>
          <w:numId w:val="8"/>
        </w:numPr>
        <w:ind w:left="851"/>
        <w:contextualSpacing/>
        <w:jc w:val="both"/>
        <w:rPr>
          <w:sz w:val="20"/>
        </w:rPr>
      </w:pPr>
      <w:r w:rsidRPr="002838BC">
        <w:rPr>
          <w:sz w:val="20"/>
        </w:rPr>
        <w:t>K333. Bérleti és lízing díjak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elvégzéséhez kapcsolódó (az informatikai eszközök kivételével) bérelt, operatív lízing keretében használt immateriális javak, tárgyi eszközök bérleti és lízingdíjait.</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 garancia.</w:t>
      </w:r>
    </w:p>
    <w:p w:rsidR="00C34110" w:rsidRPr="002838BC" w:rsidRDefault="00C34110" w:rsidP="00C34110">
      <w:pPr>
        <w:numPr>
          <w:ilvl w:val="0"/>
          <w:numId w:val="8"/>
        </w:numPr>
        <w:ind w:left="851"/>
        <w:contextualSpacing/>
        <w:jc w:val="both"/>
        <w:rPr>
          <w:sz w:val="20"/>
        </w:rPr>
      </w:pPr>
      <w:r w:rsidRPr="002838BC">
        <w:rPr>
          <w:sz w:val="20"/>
        </w:rPr>
        <w:t>K334. Karbantartási, kisjavítási szolgáltatások</w:t>
      </w:r>
    </w:p>
    <w:p w:rsidR="00C34110" w:rsidRPr="002838BC" w:rsidRDefault="00C34110" w:rsidP="00C34110">
      <w:pPr>
        <w:ind w:left="851"/>
        <w:contextualSpacing/>
        <w:jc w:val="both"/>
        <w:rPr>
          <w:sz w:val="20"/>
        </w:rPr>
      </w:pPr>
      <w:r w:rsidRPr="002838BC">
        <w:rPr>
          <w:sz w:val="20"/>
        </w:rPr>
        <w:t>Ezen a rovaton lehet elszámolni – az informatikai eszközök kivételével – a 3. pontban meghatározott feladatok elvégzéséhez kapcsolódó tárgyi eszközök, készletek idegen kivitelezővel végeztetett karbantartásáért és kisjavításáért fizetett vételárat.</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 garancia.</w:t>
      </w:r>
    </w:p>
    <w:p w:rsidR="00C34110" w:rsidRPr="002838BC" w:rsidRDefault="00C34110" w:rsidP="00C34110">
      <w:pPr>
        <w:numPr>
          <w:ilvl w:val="0"/>
          <w:numId w:val="8"/>
        </w:numPr>
        <w:ind w:left="851"/>
        <w:contextualSpacing/>
        <w:jc w:val="both"/>
        <w:rPr>
          <w:sz w:val="20"/>
        </w:rPr>
      </w:pPr>
      <w:r w:rsidRPr="002838BC">
        <w:rPr>
          <w:sz w:val="20"/>
        </w:rPr>
        <w:t>K336. Szakmai tevékenységet segítő szolgáltatások</w:t>
      </w:r>
    </w:p>
    <w:p w:rsidR="00C34110" w:rsidRPr="002838BC" w:rsidRDefault="00C34110" w:rsidP="00C34110">
      <w:pPr>
        <w:ind w:left="851"/>
        <w:contextualSpacing/>
        <w:jc w:val="both"/>
        <w:rPr>
          <w:sz w:val="20"/>
        </w:rPr>
      </w:pPr>
      <w:r w:rsidRPr="002838BC">
        <w:rPr>
          <w:sz w:val="20"/>
        </w:rPr>
        <w:t>Ezen a rovaton lehet elszámolni azokat a 3. pontban meghatározott feladatok elvégzéséhez kapcsolódó, egyébként jellemzően az államháztartás által kibocsátott komplex szolgáltatások – így különösen egészségügyi, oktatási (az informatikai oktatás kivételével), szociális szolgáltatások – vételárát, amelyeket államháztartáson kívüli szervezetek, személyek teljesítenek, és más szellemi jellegű tevékenység szolgáltatásvásárlással történő ellátása miatt fizetett vételárakat, így különösen a tervezői, tanácsadói, ügyvédi, jogi segítői, fordító-, közjegyzői, közbeszerzési irodai díjakat.</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w:t>
      </w:r>
    </w:p>
    <w:p w:rsidR="00C34110" w:rsidRPr="002838BC" w:rsidRDefault="00C34110" w:rsidP="00C34110">
      <w:pPr>
        <w:numPr>
          <w:ilvl w:val="0"/>
          <w:numId w:val="8"/>
        </w:numPr>
        <w:ind w:left="851"/>
        <w:contextualSpacing/>
        <w:jc w:val="both"/>
        <w:rPr>
          <w:sz w:val="20"/>
        </w:rPr>
      </w:pPr>
      <w:r w:rsidRPr="002838BC">
        <w:rPr>
          <w:sz w:val="20"/>
        </w:rPr>
        <w:lastRenderedPageBreak/>
        <w:t>K337. Egyéb szolgáltatások</w:t>
      </w:r>
    </w:p>
    <w:p w:rsidR="00C34110" w:rsidRPr="002838BC" w:rsidRDefault="00C34110" w:rsidP="00C34110">
      <w:pPr>
        <w:ind w:left="851"/>
        <w:contextualSpacing/>
        <w:jc w:val="both"/>
        <w:rPr>
          <w:sz w:val="20"/>
        </w:rPr>
      </w:pPr>
      <w:r w:rsidRPr="002838BC">
        <w:rPr>
          <w:sz w:val="20"/>
        </w:rPr>
        <w:t>Ezen a rovaton lehet elszámolnia 3. pontban meghatározott feladatok elvégzéséhez kapcsolódó, más rovaton nem szerepeltethető szolgáltatások vételárát, így különösen a raktározás, csomagolás, postai levél, csomag, távirat, postafiókbérlet, szállítás, tájékoztató kiadványok kihordása,a tájékoztatással kapcsolatos személyszállítási szolgáltatások (pl. külföldi és belföldi társulási delegáció szállítása szervezett szakmai program keretében), takarítás, mosás és vegytisztítás, kéményseprés, rovarirtás vételárát, a pénzügyi szolgáltatásokkal összefüggésben felmerülő díjakat – ideértve a Kincstár és más számlavezető intézet által felszámított díjakat is –, ha azokat nem a személyi juttatások között kell megjeleníteni.</w:t>
      </w:r>
    </w:p>
    <w:p w:rsidR="00C34110" w:rsidRPr="002838BC" w:rsidRDefault="00C34110" w:rsidP="00C34110">
      <w:pPr>
        <w:autoSpaceDE w:val="0"/>
        <w:autoSpaceDN w:val="0"/>
        <w:adjustRightInd w:val="0"/>
        <w:ind w:left="851"/>
        <w:jc w:val="both"/>
        <w:rPr>
          <w:sz w:val="20"/>
        </w:rPr>
      </w:pPr>
      <w:r w:rsidRPr="002838BC">
        <w:rPr>
          <w:sz w:val="20"/>
        </w:rPr>
        <w:t>Nem lehet ezen a rovaton elszámolni a befektetési, biztosítóintézeti szolgáltatásokkal összefüggésben felmerülő díjakat, jutalékokat és más kiadásokat, a közigazgatási alap- és szakvizsgáért és a kötelező közigazgatási továbbképzésért fizetett munkáltatói térítés ellenértékét.</w:t>
      </w:r>
    </w:p>
    <w:p w:rsidR="00C34110" w:rsidRPr="002838BC" w:rsidRDefault="00C34110" w:rsidP="00C34110">
      <w:pPr>
        <w:autoSpaceDE w:val="0"/>
        <w:autoSpaceDN w:val="0"/>
        <w:adjustRightInd w:val="0"/>
        <w:ind w:left="851"/>
        <w:jc w:val="both"/>
        <w:rPr>
          <w:sz w:val="20"/>
        </w:rPr>
      </w:pPr>
      <w:r w:rsidRPr="002838BC">
        <w:rPr>
          <w:sz w:val="20"/>
        </w:rPr>
        <w:t>Alátámasztó dokumentáció: Szerződés, visszaigazolt megrendelő, árajánlat, számla, kifizetési bizonylat, garancia.</w:t>
      </w:r>
    </w:p>
    <w:p w:rsidR="00C34110" w:rsidRPr="002838BC" w:rsidRDefault="00C34110" w:rsidP="00C34110">
      <w:pPr>
        <w:numPr>
          <w:ilvl w:val="0"/>
          <w:numId w:val="8"/>
        </w:numPr>
        <w:ind w:left="851"/>
        <w:contextualSpacing/>
        <w:jc w:val="both"/>
        <w:rPr>
          <w:sz w:val="20"/>
        </w:rPr>
      </w:pPr>
      <w:r w:rsidRPr="002838BC">
        <w:rPr>
          <w:sz w:val="20"/>
        </w:rPr>
        <w:t>K341. Kiküldetések kiadásai</w:t>
      </w:r>
    </w:p>
    <w:p w:rsidR="00C34110" w:rsidRPr="002838BC" w:rsidRDefault="00C34110" w:rsidP="00C34110">
      <w:pPr>
        <w:ind w:left="851"/>
        <w:contextualSpacing/>
        <w:jc w:val="both"/>
        <w:rPr>
          <w:sz w:val="20"/>
        </w:rPr>
      </w:pPr>
      <w:r w:rsidRPr="002838BC">
        <w:rPr>
          <w:sz w:val="20"/>
        </w:rPr>
        <w:t>Ezen a rovaton csak a nukleáris létesítményekhez közeli önkormányzatokat tömörítő nemzetközi szervezet (GMF) konferenciájával kapcsolatos azon költségek számolhatók el, melyek a személyi juttatások között nem számolhatóak el, így különösen az utazási- és szállásköltségek, az elszámolható élelmezési és egyéb (például poggyászmegőrzés, telefon) kiadások, a saját személygépkocsi igénybevételével kapcsolatos költségtérítés.</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 forgalmi engedély.</w:t>
      </w:r>
    </w:p>
    <w:p w:rsidR="00C34110" w:rsidRPr="002838BC" w:rsidRDefault="00C34110" w:rsidP="00C34110">
      <w:pPr>
        <w:numPr>
          <w:ilvl w:val="0"/>
          <w:numId w:val="8"/>
        </w:numPr>
        <w:ind w:left="851"/>
        <w:contextualSpacing/>
        <w:jc w:val="both"/>
        <w:rPr>
          <w:sz w:val="20"/>
        </w:rPr>
      </w:pPr>
      <w:r w:rsidRPr="002838BC">
        <w:rPr>
          <w:sz w:val="20"/>
        </w:rPr>
        <w:t>K342. Reklám- és propagandakiadások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elvégzéséhez kapcsolódó bemutató, népszerűsítő, és egyéb ismeretterjesztő célokat szolgáló reklám, marketing, propaganda, hirdetés, valamint a közvélemény-kutatások, médiafigyelési és médiaelemzési szolgáltatások beszerzése után fizetett vételárat.</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w:t>
      </w:r>
    </w:p>
    <w:p w:rsidR="00C34110" w:rsidRPr="002838BC" w:rsidRDefault="00C34110" w:rsidP="00C34110">
      <w:pPr>
        <w:numPr>
          <w:ilvl w:val="0"/>
          <w:numId w:val="8"/>
        </w:numPr>
        <w:ind w:left="851"/>
        <w:contextualSpacing/>
        <w:jc w:val="both"/>
        <w:rPr>
          <w:sz w:val="20"/>
        </w:rPr>
      </w:pPr>
      <w:r w:rsidRPr="002838BC">
        <w:rPr>
          <w:sz w:val="20"/>
        </w:rPr>
        <w:t>K352. Fizetendő általános forgalmi adó</w:t>
      </w:r>
    </w:p>
    <w:p w:rsidR="00C34110" w:rsidRPr="002838BC" w:rsidRDefault="00C34110" w:rsidP="00C34110">
      <w:pPr>
        <w:ind w:left="851"/>
        <w:contextualSpacing/>
        <w:jc w:val="both"/>
        <w:rPr>
          <w:sz w:val="20"/>
        </w:rPr>
      </w:pPr>
      <w:r w:rsidRPr="002838BC">
        <w:rPr>
          <w:sz w:val="20"/>
        </w:rPr>
        <w:t>Ezen a rovaton csak a fordított általános forgalmi adó számolható el.</w:t>
      </w:r>
    </w:p>
    <w:p w:rsidR="00C34110" w:rsidRPr="002838BC" w:rsidRDefault="00C34110" w:rsidP="00C34110">
      <w:pPr>
        <w:ind w:left="851"/>
        <w:contextualSpacing/>
        <w:jc w:val="both"/>
        <w:rPr>
          <w:sz w:val="20"/>
        </w:rPr>
      </w:pPr>
      <w:r w:rsidRPr="002838BC">
        <w:rPr>
          <w:sz w:val="20"/>
        </w:rPr>
        <w:t>Alátámasztó dokumentáció: Szerződés, visszaigazolt megrendelő, árajánlat, számla, kifizetési bizonylat, bevallás.</w:t>
      </w:r>
    </w:p>
    <w:p w:rsidR="00C34110" w:rsidRPr="002838BC" w:rsidRDefault="00C34110" w:rsidP="00C34110">
      <w:pPr>
        <w:numPr>
          <w:ilvl w:val="0"/>
          <w:numId w:val="8"/>
        </w:numPr>
        <w:ind w:left="851"/>
        <w:contextualSpacing/>
        <w:jc w:val="both"/>
        <w:rPr>
          <w:sz w:val="20"/>
        </w:rPr>
      </w:pPr>
      <w:r w:rsidRPr="002838BC">
        <w:rPr>
          <w:sz w:val="20"/>
        </w:rPr>
        <w:t>K355. Egyéb dologi kiadások</w:t>
      </w:r>
    </w:p>
    <w:p w:rsidR="00C34110" w:rsidRPr="002838BC" w:rsidRDefault="00C34110" w:rsidP="00C34110">
      <w:pPr>
        <w:ind w:left="851"/>
        <w:contextualSpacing/>
        <w:jc w:val="both"/>
        <w:rPr>
          <w:sz w:val="20"/>
        </w:rPr>
      </w:pPr>
      <w:r w:rsidRPr="002838BC">
        <w:rPr>
          <w:sz w:val="20"/>
        </w:rPr>
        <w:t xml:space="preserve">Ezen a rovaton lehet elszámolni a 3. pontban meghatározott feladatok elvégzéséhez kapcsolódó </w:t>
      </w:r>
    </w:p>
    <w:p w:rsidR="00C34110" w:rsidRPr="002838BC" w:rsidRDefault="00C34110" w:rsidP="00C34110">
      <w:pPr>
        <w:numPr>
          <w:ilvl w:val="1"/>
          <w:numId w:val="9"/>
        </w:numPr>
        <w:ind w:left="1276" w:hanging="196"/>
        <w:contextualSpacing/>
        <w:jc w:val="both"/>
        <w:rPr>
          <w:sz w:val="20"/>
        </w:rPr>
      </w:pPr>
      <w:r w:rsidRPr="002838BC">
        <w:rPr>
          <w:sz w:val="20"/>
        </w:rPr>
        <w:t>a tevékenység ellátással kapcsolatban felmerülő adó-, vám-, illeték és más adójellegű befizetések, hozzájárulások teljesítését, ha azokat nem más rovaton kell elszámolni,</w:t>
      </w:r>
    </w:p>
    <w:p w:rsidR="00C34110" w:rsidRPr="002838BC" w:rsidRDefault="00C34110" w:rsidP="00C34110">
      <w:pPr>
        <w:numPr>
          <w:ilvl w:val="1"/>
          <w:numId w:val="9"/>
        </w:numPr>
        <w:ind w:left="1276" w:hanging="196"/>
        <w:contextualSpacing/>
        <w:jc w:val="both"/>
        <w:rPr>
          <w:sz w:val="20"/>
        </w:rPr>
      </w:pPr>
      <w:r w:rsidRPr="002838BC">
        <w:rPr>
          <w:sz w:val="20"/>
        </w:rPr>
        <w:t xml:space="preserve">a Társulás és a tagtelepülési önkormányzatok tulajdonában lévő járművekhez kapcsolódóan a tevékenység ellátással kapcsolatban felmerülő kötelező jellegű díjakat, így különösen a díjköteles utak használata ellenében fizetett használati díjat, pótdíjat, elektronikus útdíjat, a járművek műszaki vizsgáztatásának díját, a zöldkártya hatósági díját, </w:t>
      </w:r>
    </w:p>
    <w:p w:rsidR="00C34110" w:rsidRPr="002838BC" w:rsidRDefault="00C34110" w:rsidP="00C34110">
      <w:pPr>
        <w:numPr>
          <w:ilvl w:val="1"/>
          <w:numId w:val="9"/>
        </w:numPr>
        <w:ind w:left="1276" w:hanging="196"/>
        <w:contextualSpacing/>
        <w:jc w:val="both"/>
        <w:rPr>
          <w:sz w:val="20"/>
        </w:rPr>
      </w:pPr>
      <w:r w:rsidRPr="002838BC">
        <w:rPr>
          <w:sz w:val="20"/>
        </w:rPr>
        <w:t>a közbeszerzési díjat, a közbeszerzésről szóló törvényben előírt ajánlati biztosítékot,</w:t>
      </w:r>
    </w:p>
    <w:p w:rsidR="00C34110" w:rsidRPr="002838BC" w:rsidRDefault="00C34110" w:rsidP="00C34110">
      <w:pPr>
        <w:ind w:left="851"/>
        <w:contextualSpacing/>
        <w:jc w:val="both"/>
        <w:rPr>
          <w:sz w:val="20"/>
        </w:rPr>
      </w:pPr>
      <w:r w:rsidRPr="002838BC">
        <w:rPr>
          <w:sz w:val="20"/>
        </w:rPr>
        <w:t>Nem számolható el ezen a rovaton a behajthatatlan előleg, a szerződés megerősítésével, a szerződésszegéssel kapcsolatos végleges kiadások (például óvadék, foglaló, kötbér, jótállás, szavatosság, késedelmi kamat, a késedelmes vagy elmaradt teljesítés miatti kártérítés, behajtási költségátalány), a szerződésen kívüli károkozásért, személyiségi, dologi vagy más jog megsértéséért, jogalap nélküli gazdagodásért fizetett összegek, az adóhatóság által kiszabott szankciók, a fizetett késedelmi és önellenőrzési pótlékok, bírságok, a perköltség, a követelések vásárlására fordított kiadások, az OEP felémegtérített kiadások, a pénztárhiány.</w:t>
      </w:r>
    </w:p>
    <w:p w:rsidR="00C34110" w:rsidRPr="002838BC" w:rsidRDefault="00C34110" w:rsidP="00C34110">
      <w:pPr>
        <w:ind w:left="851"/>
        <w:contextualSpacing/>
        <w:jc w:val="both"/>
        <w:rPr>
          <w:sz w:val="20"/>
          <w:highlight w:val="yellow"/>
        </w:rPr>
      </w:pPr>
      <w:r w:rsidRPr="002838BC">
        <w:rPr>
          <w:sz w:val="20"/>
        </w:rPr>
        <w:t>Alátámasztó dokumentáció: Szerződés, visszaigazolt megrendelő, árajánlat, számla, kifizetési bizonylat, forgalmi engedély.</w:t>
      </w:r>
    </w:p>
    <w:p w:rsidR="00C34110" w:rsidRPr="002838BC" w:rsidRDefault="00C34110" w:rsidP="00C34110">
      <w:pPr>
        <w:numPr>
          <w:ilvl w:val="0"/>
          <w:numId w:val="8"/>
        </w:numPr>
        <w:ind w:left="851"/>
        <w:contextualSpacing/>
        <w:jc w:val="both"/>
        <w:rPr>
          <w:sz w:val="20"/>
        </w:rPr>
      </w:pPr>
      <w:r w:rsidRPr="002838BC">
        <w:rPr>
          <w:sz w:val="20"/>
        </w:rPr>
        <w:t>K501. Nemzetközi kötelezettségek</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elvégzéséhez kapcsolódó nemzetközi szervezetekben történő részvétel után fizetendő tagsági díjakat, a tagállami kötelező és önkéntes hozzájárulásokat.</w:t>
      </w:r>
    </w:p>
    <w:p w:rsidR="00C34110" w:rsidRPr="002838BC" w:rsidRDefault="00C34110" w:rsidP="00C34110">
      <w:pPr>
        <w:ind w:left="851"/>
        <w:contextualSpacing/>
        <w:jc w:val="both"/>
        <w:rPr>
          <w:sz w:val="20"/>
        </w:rPr>
      </w:pPr>
      <w:r w:rsidRPr="002838BC">
        <w:rPr>
          <w:sz w:val="20"/>
        </w:rPr>
        <w:t>Alátámasztó dokumentáció: Szerződés, számla, kifizetési bizonylat.</w:t>
      </w:r>
    </w:p>
    <w:p w:rsidR="00C34110" w:rsidRPr="002838BC" w:rsidRDefault="00C34110" w:rsidP="00C34110">
      <w:pPr>
        <w:numPr>
          <w:ilvl w:val="0"/>
          <w:numId w:val="8"/>
        </w:numPr>
        <w:ind w:left="851"/>
        <w:contextualSpacing/>
        <w:jc w:val="both"/>
        <w:rPr>
          <w:sz w:val="20"/>
        </w:rPr>
      </w:pPr>
      <w:r w:rsidRPr="002838BC">
        <w:rPr>
          <w:sz w:val="20"/>
        </w:rPr>
        <w:t>K506. Egyéb működési célú támogatások államháztartáson belülre</w:t>
      </w:r>
    </w:p>
    <w:p w:rsidR="00C34110" w:rsidRPr="002838BC" w:rsidRDefault="00C34110" w:rsidP="00C34110">
      <w:pPr>
        <w:ind w:left="851"/>
        <w:contextualSpacing/>
        <w:jc w:val="both"/>
        <w:rPr>
          <w:sz w:val="20"/>
        </w:rPr>
      </w:pPr>
      <w:r w:rsidRPr="002838BC">
        <w:rPr>
          <w:sz w:val="20"/>
        </w:rPr>
        <w:t xml:space="preserve">Ezen a rovaton lehet elszámolni a 3. pontban meghatározott feladatok elvégzéséhez kapcsolódó, az államháztartáson belüli szervezetek számára működési célból végleges jelleggel nyújtott </w:t>
      </w:r>
      <w:r w:rsidRPr="002838BC">
        <w:rPr>
          <w:sz w:val="20"/>
        </w:rPr>
        <w:lastRenderedPageBreak/>
        <w:t>támogatásokat és más ellenérték nélküli kifizetéseket. (Pl.: közös önkormányzati Hivatal működéséhez való hozzájárulás)</w:t>
      </w:r>
    </w:p>
    <w:p w:rsidR="00C34110" w:rsidRPr="002838BC" w:rsidRDefault="00C34110" w:rsidP="00C34110">
      <w:pPr>
        <w:ind w:left="851"/>
        <w:contextualSpacing/>
        <w:jc w:val="both"/>
        <w:rPr>
          <w:sz w:val="20"/>
        </w:rPr>
      </w:pPr>
      <w:r w:rsidRPr="002838BC">
        <w:rPr>
          <w:sz w:val="20"/>
        </w:rPr>
        <w:t>Alátámasztó dokumentáció: Szerződés, számla, kifizetési bizonylat.</w:t>
      </w:r>
    </w:p>
    <w:p w:rsidR="00C34110" w:rsidRPr="002838BC" w:rsidRDefault="00C34110" w:rsidP="00C34110">
      <w:pPr>
        <w:numPr>
          <w:ilvl w:val="0"/>
          <w:numId w:val="8"/>
        </w:numPr>
        <w:ind w:left="851"/>
        <w:contextualSpacing/>
        <w:jc w:val="both"/>
        <w:rPr>
          <w:sz w:val="20"/>
        </w:rPr>
      </w:pPr>
      <w:r w:rsidRPr="002838BC">
        <w:rPr>
          <w:sz w:val="20"/>
        </w:rPr>
        <w:t>K512. Egyéb működési célú támogatások államháztartáson kívülre</w:t>
      </w:r>
    </w:p>
    <w:p w:rsidR="00C34110" w:rsidRPr="002838BC" w:rsidRDefault="00C34110" w:rsidP="00C34110">
      <w:pPr>
        <w:ind w:left="851"/>
        <w:contextualSpacing/>
        <w:jc w:val="both"/>
        <w:rPr>
          <w:sz w:val="20"/>
        </w:rPr>
      </w:pPr>
      <w:r w:rsidRPr="002838BC">
        <w:rPr>
          <w:sz w:val="20"/>
        </w:rPr>
        <w:t>Ezen a rovaton lehet elszámolni a 3. pontban meghatározott feladatok elvégzéséhez kapcsolódó, az államháztartáson kívüli szervezetek, személyek számára működési célból végleges jelleggel nyújtott támogatásokat és más ellenérték nélküli kifizetéseket. (Pl.: civil szervezetek részére, egyesületek részére átadott összegek).</w:t>
      </w:r>
    </w:p>
    <w:p w:rsidR="00C34110" w:rsidRPr="002838BC" w:rsidRDefault="00C34110" w:rsidP="00C34110">
      <w:pPr>
        <w:ind w:left="851"/>
        <w:contextualSpacing/>
        <w:jc w:val="both"/>
        <w:rPr>
          <w:sz w:val="20"/>
        </w:rPr>
      </w:pPr>
      <w:r w:rsidRPr="002838BC">
        <w:rPr>
          <w:sz w:val="20"/>
        </w:rPr>
        <w:t>Alátámasztó dokumentáció: Szerződés, számla, kifizetési bizonylat.</w:t>
      </w:r>
    </w:p>
    <w:p w:rsidR="00C34110" w:rsidRPr="002838BC" w:rsidRDefault="00C34110" w:rsidP="00C34110">
      <w:pPr>
        <w:ind w:left="426"/>
        <w:contextualSpacing/>
        <w:rPr>
          <w:b/>
          <w:sz w:val="20"/>
        </w:rPr>
      </w:pPr>
    </w:p>
    <w:p w:rsidR="00C34110" w:rsidRPr="002838BC" w:rsidRDefault="00C34110" w:rsidP="00C34110">
      <w:pPr>
        <w:numPr>
          <w:ilvl w:val="0"/>
          <w:numId w:val="5"/>
        </w:numPr>
        <w:ind w:left="284" w:hanging="284"/>
        <w:contextualSpacing/>
        <w:jc w:val="both"/>
        <w:rPr>
          <w:b/>
          <w:i/>
          <w:sz w:val="20"/>
        </w:rPr>
      </w:pPr>
      <w:r w:rsidRPr="002838BC">
        <w:rPr>
          <w:b/>
          <w:i/>
          <w:sz w:val="20"/>
        </w:rPr>
        <w:t xml:space="preserve">Számlaösszesítő – a jogcímenkénti elszámolás alátámasztására – című táblázat </w:t>
      </w:r>
      <w:r w:rsidRPr="002838BC">
        <w:rPr>
          <w:b/>
          <w:sz w:val="20"/>
        </w:rPr>
        <w:t>kitöltési szabályai</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A táblázat adatait forintban szükséges megadni.</w:t>
      </w:r>
    </w:p>
    <w:p w:rsidR="00C34110" w:rsidRDefault="00C34110" w:rsidP="00C34110">
      <w:pPr>
        <w:numPr>
          <w:ilvl w:val="0"/>
          <w:numId w:val="6"/>
        </w:numPr>
        <w:autoSpaceDE w:val="0"/>
        <w:autoSpaceDN w:val="0"/>
        <w:adjustRightInd w:val="0"/>
        <w:ind w:left="567"/>
        <w:contextualSpacing/>
        <w:jc w:val="both"/>
        <w:rPr>
          <w:sz w:val="20"/>
        </w:rPr>
      </w:pPr>
      <w:r w:rsidRPr="002838BC">
        <w:rPr>
          <w:sz w:val="20"/>
        </w:rPr>
        <w:t>A táblázat minden sorát ki kell tölteni, amelyik jogcímsor esetében nincs elszámolandó kiadás, ott nulla forint a támogatásból elszámolni kívánt összeg nagysága.</w:t>
      </w:r>
    </w:p>
    <w:p w:rsidR="00C34110" w:rsidRDefault="00C34110" w:rsidP="00C34110">
      <w:pPr>
        <w:numPr>
          <w:ilvl w:val="0"/>
          <w:numId w:val="6"/>
        </w:numPr>
        <w:autoSpaceDE w:val="0"/>
        <w:autoSpaceDN w:val="0"/>
        <w:adjustRightInd w:val="0"/>
        <w:ind w:left="567"/>
        <w:contextualSpacing/>
        <w:jc w:val="both"/>
        <w:rPr>
          <w:sz w:val="20"/>
        </w:rPr>
      </w:pPr>
      <w:r>
        <w:rPr>
          <w:sz w:val="20"/>
        </w:rPr>
        <w:t>A táblázatban a számla típusa lehet például</w:t>
      </w:r>
      <w:r w:rsidRPr="007D59AB">
        <w:rPr>
          <w:sz w:val="20"/>
        </w:rPr>
        <w:t>számla, bérkifizetési összesítő, számlakivonat</w:t>
      </w:r>
      <w:r>
        <w:rPr>
          <w:sz w:val="20"/>
        </w:rPr>
        <w:t>.</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 xml:space="preserve">A táblázatban kimutatott, jogcímsoronkénti összegeknek meg kell egyezniük a </w:t>
      </w:r>
      <w:r w:rsidRPr="002838BC">
        <w:rPr>
          <w:i/>
          <w:sz w:val="20"/>
        </w:rPr>
        <w:t>– Számlaösszesítő – a jogcímenkénti elszámolás alátámasztására –</w:t>
      </w:r>
      <w:r w:rsidRPr="002838BC">
        <w:rPr>
          <w:sz w:val="20"/>
        </w:rPr>
        <w:t xml:space="preserve"> című táblázat jogcímsoronkénti összegző adataival.</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sz w:val="20"/>
        </w:rPr>
        <w:t>A táblázat 46. jogcímsorában (</w:t>
      </w:r>
      <w:r w:rsidRPr="002838BC">
        <w:rPr>
          <w:bCs/>
          <w:sz w:val="20"/>
        </w:rPr>
        <w:t xml:space="preserve">Költségvetési működési kiadások) kimutatott kiadási összegnek meg kell egyeznie a </w:t>
      </w:r>
      <w:r w:rsidRPr="002838BC">
        <w:rPr>
          <w:bCs/>
          <w:i/>
          <w:sz w:val="20"/>
        </w:rPr>
        <w:t xml:space="preserve">– Számlaösszesítő – a jogcímenkénti elszámolás alátámasztására – </w:t>
      </w:r>
      <w:r w:rsidRPr="002838BC">
        <w:rPr>
          <w:bCs/>
          <w:sz w:val="20"/>
        </w:rPr>
        <w:t>című táblázat Költségvetési működési kiadások mindösszesen sorának támogatásból elszámolni kívánt bruttó összeg adatával.</w:t>
      </w:r>
    </w:p>
    <w:p w:rsidR="00C34110" w:rsidRPr="002838BC" w:rsidRDefault="00C34110" w:rsidP="00C34110">
      <w:pPr>
        <w:numPr>
          <w:ilvl w:val="0"/>
          <w:numId w:val="6"/>
        </w:numPr>
        <w:autoSpaceDE w:val="0"/>
        <w:autoSpaceDN w:val="0"/>
        <w:adjustRightInd w:val="0"/>
        <w:ind w:left="567"/>
        <w:contextualSpacing/>
        <w:jc w:val="both"/>
        <w:rPr>
          <w:sz w:val="20"/>
        </w:rPr>
      </w:pPr>
      <w:r w:rsidRPr="002838BC">
        <w:rPr>
          <w:bCs/>
          <w:sz w:val="20"/>
        </w:rPr>
        <w:t>Amennyiben a számlák bruttó összege magasabb, mint a támogatásból elszámolni kívánt kiadások bruttó összege, szükséges egy nyilatkozat mellékelése, melyben a település nyilatkozik arról, hogy a különbözetet saját forrásból finanszírozta.</w:t>
      </w:r>
    </w:p>
    <w:p w:rsidR="00244D28" w:rsidRDefault="00C34110" w:rsidP="00C34110">
      <w:pPr>
        <w:pStyle w:val="Listaszerbekezds"/>
        <w:numPr>
          <w:ilvl w:val="0"/>
          <w:numId w:val="6"/>
        </w:numPr>
        <w:spacing w:line="276" w:lineRule="auto"/>
        <w:ind w:left="284"/>
        <w:jc w:val="both"/>
      </w:pPr>
      <w:r w:rsidRPr="00C34110">
        <w:rPr>
          <w:bCs/>
          <w:sz w:val="20"/>
        </w:rPr>
        <w:t>A Megjegyzés/indoklás oszlopban számlánként szükséges röviden indokolni, hogy adott kiadás hogyan kapcsolódik a támogatási szerződésben meghatározott célhoz, mivel segíti annak megvalósulását, illetve itt szükséges jelölni az adott számlához kapcsolódó bankszámlakivonat sorszámát.</w:t>
      </w:r>
    </w:p>
    <w:sectPr w:rsidR="00244D28" w:rsidSect="00244D28">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B82" w:rsidRDefault="00BE7B82" w:rsidP="00C34110">
      <w:r>
        <w:separator/>
      </w:r>
    </w:p>
  </w:endnote>
  <w:endnote w:type="continuationSeparator" w:id="1">
    <w:p w:rsidR="00BE7B82" w:rsidRDefault="00BE7B82" w:rsidP="00C341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10" w:rsidRPr="00C34110" w:rsidRDefault="00C34110" w:rsidP="00C34110">
    <w:pPr>
      <w:pStyle w:val="llb"/>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10" w:rsidRPr="00E476FA" w:rsidRDefault="00C34110" w:rsidP="00C34110">
    <w:pPr>
      <w:pStyle w:val="llb"/>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B82" w:rsidRDefault="00BE7B82" w:rsidP="00C34110">
      <w:r>
        <w:separator/>
      </w:r>
    </w:p>
  </w:footnote>
  <w:footnote w:type="continuationSeparator" w:id="1">
    <w:p w:rsidR="00BE7B82" w:rsidRDefault="00BE7B82" w:rsidP="00C34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10" w:rsidRPr="00F67C12" w:rsidRDefault="00C34110" w:rsidP="00C34110">
    <w:pPr>
      <w:tabs>
        <w:tab w:val="left" w:pos="8505"/>
      </w:tabs>
      <w:rPr>
        <w:sz w:val="20"/>
      </w:rPr>
    </w:pPr>
    <w:r>
      <w:rPr>
        <w:sz w:val="20"/>
      </w:rPr>
      <w:tab/>
      <w:t>4</w:t>
    </w:r>
    <w:r w:rsidRPr="00F67C12">
      <w:rPr>
        <w:sz w:val="20"/>
      </w:rPr>
      <w:t>. sz. melléklet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10" w:rsidRPr="00F67C12" w:rsidRDefault="00C34110" w:rsidP="00C34110">
    <w:pPr>
      <w:tabs>
        <w:tab w:val="left" w:pos="12758"/>
      </w:tabs>
      <w:rPr>
        <w:sz w:val="20"/>
      </w:rPr>
    </w:pPr>
    <w:r>
      <w:rPr>
        <w:sz w:val="20"/>
      </w:rPr>
      <w:tab/>
      <w:t>4</w:t>
    </w:r>
    <w:r w:rsidRPr="00F67C12">
      <w:rPr>
        <w:sz w:val="20"/>
      </w:rPr>
      <w:t>. sz. melléklet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10" w:rsidRDefault="00C34110">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10" w:rsidRPr="00F67C12" w:rsidRDefault="00C34110" w:rsidP="00C34110">
    <w:pPr>
      <w:jc w:val="right"/>
      <w:rPr>
        <w:sz w:val="20"/>
      </w:rPr>
    </w:pPr>
    <w:r>
      <w:rPr>
        <w:sz w:val="20"/>
      </w:rPr>
      <w:t>4</w:t>
    </w:r>
    <w:r w:rsidRPr="00F67C12">
      <w:rPr>
        <w:sz w:val="20"/>
      </w:rPr>
      <w:t>. sz. melléklet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10" w:rsidRDefault="00C3411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525"/>
    <w:multiLevelType w:val="hybridMultilevel"/>
    <w:tmpl w:val="0F269954"/>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9A77E6D"/>
    <w:multiLevelType w:val="hybridMultilevel"/>
    <w:tmpl w:val="C7522C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E682F34"/>
    <w:multiLevelType w:val="hybridMultilevel"/>
    <w:tmpl w:val="29E83522"/>
    <w:lvl w:ilvl="0" w:tplc="040E0001">
      <w:start w:val="1"/>
      <w:numFmt w:val="bullet"/>
      <w:lvlText w:val=""/>
      <w:lvlJc w:val="left"/>
      <w:pPr>
        <w:ind w:left="1222" w:hanging="360"/>
      </w:pPr>
      <w:rPr>
        <w:rFonts w:ascii="Symbol" w:hAnsi="Symbol"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3">
    <w:nsid w:val="24492BA2"/>
    <w:multiLevelType w:val="hybridMultilevel"/>
    <w:tmpl w:val="4F40A6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
    <w:nsid w:val="39E676D3"/>
    <w:multiLevelType w:val="hybridMultilevel"/>
    <w:tmpl w:val="2DCEA204"/>
    <w:lvl w:ilvl="0" w:tplc="CED694F0">
      <w:start w:val="4"/>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D085E82"/>
    <w:multiLevelType w:val="hybridMultilevel"/>
    <w:tmpl w:val="B8483A56"/>
    <w:lvl w:ilvl="0" w:tplc="040E0001">
      <w:start w:val="1"/>
      <w:numFmt w:val="bullet"/>
      <w:lvlText w:val=""/>
      <w:lvlJc w:val="left"/>
      <w:pPr>
        <w:ind w:left="720" w:hanging="360"/>
      </w:pPr>
      <w:rPr>
        <w:rFonts w:ascii="Symbol" w:hAnsi="Symbol" w:hint="default"/>
      </w:rPr>
    </w:lvl>
    <w:lvl w:ilvl="1" w:tplc="AA200A40">
      <w:start w:val="1"/>
      <w:numFmt w:val="bullet"/>
      <w:lvlText w:val="-"/>
      <w:lvlJc w:val="left"/>
      <w:pPr>
        <w:ind w:left="1440" w:hanging="360"/>
      </w:pPr>
      <w:rPr>
        <w:rFonts w:ascii="Sylfaen" w:hAnsi="Sylfae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1C37AEB"/>
    <w:multiLevelType w:val="hybridMultilevel"/>
    <w:tmpl w:val="AA60C518"/>
    <w:lvl w:ilvl="0" w:tplc="040E0001">
      <w:start w:val="1"/>
      <w:numFmt w:val="bullet"/>
      <w:lvlText w:val=""/>
      <w:lvlJc w:val="left"/>
      <w:pPr>
        <w:ind w:left="1222" w:hanging="360"/>
      </w:pPr>
      <w:rPr>
        <w:rFonts w:ascii="Symbol" w:hAnsi="Symbol"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nsid w:val="555E3C8D"/>
    <w:multiLevelType w:val="hybridMultilevel"/>
    <w:tmpl w:val="F1B69D26"/>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7254565C"/>
    <w:multiLevelType w:val="hybridMultilevel"/>
    <w:tmpl w:val="61B49BDC"/>
    <w:lvl w:ilvl="0" w:tplc="BCACB976">
      <w:start w:val="1"/>
      <w:numFmt w:val="decimal"/>
      <w:lvlText w:val="%1."/>
      <w:lvlJc w:val="left"/>
      <w:pPr>
        <w:ind w:left="502"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4110"/>
    <w:rsid w:val="00244D28"/>
    <w:rsid w:val="00B37090"/>
    <w:rsid w:val="00BE7B82"/>
    <w:rsid w:val="00C341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4110"/>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4110"/>
    <w:pPr>
      <w:tabs>
        <w:tab w:val="center" w:pos="4536"/>
        <w:tab w:val="right" w:pos="9072"/>
      </w:tabs>
    </w:pPr>
  </w:style>
  <w:style w:type="character" w:customStyle="1" w:styleId="lfejChar">
    <w:name w:val="Élőfej Char"/>
    <w:basedOn w:val="Bekezdsalapbettpusa"/>
    <w:link w:val="lfej"/>
    <w:uiPriority w:val="99"/>
    <w:rsid w:val="00C34110"/>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C34110"/>
    <w:pPr>
      <w:tabs>
        <w:tab w:val="center" w:pos="4536"/>
        <w:tab w:val="right" w:pos="9072"/>
      </w:tabs>
    </w:pPr>
  </w:style>
  <w:style w:type="character" w:customStyle="1" w:styleId="llbChar">
    <w:name w:val="Élőláb Char"/>
    <w:basedOn w:val="Bekezdsalapbettpusa"/>
    <w:link w:val="llb"/>
    <w:uiPriority w:val="99"/>
    <w:rsid w:val="00C34110"/>
    <w:rPr>
      <w:rFonts w:ascii="Times New Roman" w:eastAsia="Times New Roman" w:hAnsi="Times New Roman" w:cs="Times New Roman"/>
      <w:sz w:val="24"/>
      <w:szCs w:val="20"/>
      <w:lang w:eastAsia="hu-HU"/>
    </w:rPr>
  </w:style>
  <w:style w:type="paragraph" w:styleId="Listaszerbekezds">
    <w:name w:val="List Paragraph"/>
    <w:aliases w:val="LISTA"/>
    <w:basedOn w:val="Norml"/>
    <w:uiPriority w:val="34"/>
    <w:qFormat/>
    <w:rsid w:val="00C34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CBA9-D2E0-4537-8EB4-19FA8335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3505</Words>
  <Characters>24185</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2017-04-10T20:46:00Z</dcterms:created>
  <dcterms:modified xsi:type="dcterms:W3CDTF">2017-04-10T21:08:00Z</dcterms:modified>
</cp:coreProperties>
</file>