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4C" w:rsidRPr="00303835" w:rsidRDefault="00204C4C" w:rsidP="00204C4C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303835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204C4C" w:rsidRPr="00303835" w:rsidRDefault="00204C4C" w:rsidP="00204C4C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303835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303835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303835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204C4C" w:rsidRDefault="00204C4C" w:rsidP="00204C4C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303835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303835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303835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303835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204C4C" w:rsidRDefault="00204C4C" w:rsidP="00204C4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204C4C" w:rsidRDefault="00204C4C" w:rsidP="00204C4C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166. számú előterjesztés</w:t>
      </w:r>
    </w:p>
    <w:p w:rsidR="00204C4C" w:rsidRDefault="00204C4C" w:rsidP="00204C4C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204C4C" w:rsidRDefault="00204C4C" w:rsidP="00204C4C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 xml:space="preserve">Bátaszék Város Önkormányzata Képviselő-testületének 2017. július 20-án, </w:t>
      </w:r>
    </w:p>
    <w:p w:rsidR="00204C4C" w:rsidRDefault="00204C4C" w:rsidP="00204C4C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 xml:space="preserve">17,00 órakor megtartandó </w:t>
      </w:r>
      <w:r>
        <w:rPr>
          <w:rFonts w:ascii="Arial" w:eastAsia="Times New Roman" w:hAnsi="Arial" w:cs="Arial"/>
          <w:b/>
          <w:color w:val="3366FF"/>
          <w:u w:val="single"/>
          <w:lang w:eastAsia="ar-SA"/>
        </w:rPr>
        <w:t xml:space="preserve">RENDKÍVÜLI </w:t>
      </w:r>
      <w:r>
        <w:rPr>
          <w:rFonts w:ascii="Arial" w:eastAsia="Times New Roman" w:hAnsi="Arial" w:cs="Arial"/>
          <w:color w:val="3366FF"/>
          <w:lang w:eastAsia="ar-SA"/>
        </w:rPr>
        <w:t>ülésére</w:t>
      </w:r>
    </w:p>
    <w:p w:rsidR="00204C4C" w:rsidRDefault="00032E44" w:rsidP="00032E44">
      <w:pPr>
        <w:tabs>
          <w:tab w:val="left" w:pos="567"/>
        </w:tabs>
        <w:spacing w:before="240" w:line="254" w:lineRule="auto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A </w:t>
      </w:r>
      <w:r w:rsidRPr="00032E44">
        <w:rPr>
          <w:rFonts w:ascii="Arial" w:hAnsi="Arial" w:cs="Arial"/>
          <w:i/>
          <w:color w:val="3366FF"/>
          <w:sz w:val="32"/>
          <w:szCs w:val="32"/>
          <w:u w:val="single"/>
        </w:rPr>
        <w:t>TOP-1.1.1-15-TL1-2016-00002 azonosítószám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ú</w:t>
      </w:r>
      <w:r w:rsidRPr="00032E44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="00DB0682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„Iparterület fejlesztése Bátaszéken” projektnevű </w:t>
      </w:r>
      <w:r w:rsidRPr="00032E44">
        <w:rPr>
          <w:rFonts w:ascii="Arial" w:hAnsi="Arial" w:cs="Arial"/>
          <w:i/>
          <w:color w:val="3366FF"/>
          <w:sz w:val="32"/>
          <w:szCs w:val="32"/>
          <w:u w:val="single"/>
        </w:rPr>
        <w:t>támogatási kérel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e</w:t>
      </w:r>
      <w:r w:rsidRPr="00032E44">
        <w:rPr>
          <w:rFonts w:ascii="Arial" w:hAnsi="Arial" w:cs="Arial"/>
          <w:i/>
          <w:color w:val="3366FF"/>
          <w:sz w:val="32"/>
          <w:szCs w:val="32"/>
          <w:u w:val="single"/>
        </w:rPr>
        <w:t>m Támogatási szerződés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ének jóváhagyása</w:t>
      </w:r>
    </w:p>
    <w:p w:rsidR="00204C4C" w:rsidRDefault="00204C4C" w:rsidP="00204C4C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204C4C" w:rsidTr="00204C4C">
        <w:trPr>
          <w:trHeight w:val="2597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04C4C" w:rsidRDefault="00204C4C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204C4C" w:rsidRDefault="00204C4C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>dr. Bozsolik Róbert polgármester</w:t>
            </w:r>
          </w:p>
          <w:p w:rsidR="00204C4C" w:rsidRDefault="00204C4C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204C4C" w:rsidRDefault="00204C4C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proofErr w:type="gramStart"/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   </w:t>
            </w:r>
            <w:r>
              <w:rPr>
                <w:rFonts w:ascii="Arial" w:hAnsi="Arial" w:cs="Arial"/>
                <w:color w:val="3366FF"/>
              </w:rPr>
              <w:t>Bozsolik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Zoltán városüzemeltetési mb. irodavezető</w:t>
            </w:r>
          </w:p>
          <w:p w:rsidR="00204C4C" w:rsidRDefault="00204C4C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 xml:space="preserve">                      </w:t>
            </w:r>
          </w:p>
          <w:p w:rsidR="00204C4C" w:rsidRDefault="00204C4C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964C4D">
              <w:rPr>
                <w:rFonts w:ascii="Arial" w:hAnsi="Arial" w:cs="Arial"/>
                <w:color w:val="3366FF"/>
              </w:rPr>
              <w:t>Takácsné Gehring Mária aljegyző</w:t>
            </w:r>
          </w:p>
          <w:p w:rsidR="00204C4C" w:rsidRDefault="00204C4C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204C4C" w:rsidRPr="00204C4C" w:rsidRDefault="00204C4C" w:rsidP="00204C4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  <w:r w:rsidRPr="00204C4C">
              <w:rPr>
                <w:rFonts w:ascii="Arial" w:hAnsi="Arial" w:cs="Arial"/>
                <w:b/>
                <w:bCs/>
                <w:color w:val="3366FF"/>
              </w:rPr>
              <w:t>---</w:t>
            </w:r>
          </w:p>
        </w:tc>
      </w:tr>
    </w:tbl>
    <w:p w:rsidR="00166909" w:rsidRDefault="00166909"/>
    <w:p w:rsidR="00210710" w:rsidRDefault="00210710"/>
    <w:p w:rsidR="00210710" w:rsidRPr="007E5A5A" w:rsidRDefault="00210710" w:rsidP="00355D3F">
      <w:pPr>
        <w:pStyle w:val="Listaszerbekezds"/>
        <w:suppressAutoHyphens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bCs/>
          <w:color w:val="000000" w:themeColor="text1"/>
        </w:rPr>
      </w:pPr>
      <w:r w:rsidRPr="007E5A5A">
        <w:rPr>
          <w:rFonts w:ascii="Arial" w:eastAsia="Times New Roman" w:hAnsi="Arial" w:cs="Arial"/>
          <w:bCs/>
          <w:color w:val="000000" w:themeColor="text1"/>
        </w:rPr>
        <w:t>A</w:t>
      </w:r>
      <w:r w:rsidR="00355D3F">
        <w:rPr>
          <w:rFonts w:ascii="Arial" w:eastAsia="Times New Roman" w:hAnsi="Arial" w:cs="Arial"/>
          <w:bCs/>
          <w:color w:val="000000" w:themeColor="text1"/>
        </w:rPr>
        <w:t>z</w:t>
      </w:r>
      <w:r w:rsidRPr="007E5A5A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Pr="007E5A5A">
        <w:rPr>
          <w:rFonts w:ascii="Arial" w:eastAsia="Times New Roman" w:hAnsi="Arial" w:cs="Arial"/>
          <w:b/>
          <w:bCs/>
          <w:color w:val="000000" w:themeColor="text1"/>
        </w:rPr>
        <w:t>„</w:t>
      </w:r>
      <w:r w:rsidRPr="00210710">
        <w:rPr>
          <w:rFonts w:ascii="Arial" w:eastAsia="Times New Roman" w:hAnsi="Arial" w:cs="Arial"/>
          <w:b/>
          <w:bCs/>
          <w:color w:val="000000" w:themeColor="text1"/>
        </w:rPr>
        <w:t>Iparterület fejlesztése Bátaszéken</w:t>
      </w:r>
      <w:r w:rsidRPr="007E5A5A">
        <w:rPr>
          <w:rFonts w:ascii="Arial" w:eastAsia="Times New Roman" w:hAnsi="Arial" w:cs="Arial"/>
          <w:b/>
          <w:bCs/>
          <w:color w:val="000000" w:themeColor="text1"/>
        </w:rPr>
        <w:t>”</w:t>
      </w:r>
      <w:r w:rsidRPr="007E5A5A">
        <w:rPr>
          <w:rFonts w:ascii="Arial" w:eastAsia="Times New Roman" w:hAnsi="Arial" w:cs="Arial"/>
          <w:bCs/>
          <w:color w:val="000000" w:themeColor="text1"/>
        </w:rPr>
        <w:t xml:space="preserve"> című és </w:t>
      </w:r>
      <w:r w:rsidRPr="00210710">
        <w:rPr>
          <w:rFonts w:ascii="Arial" w:eastAsia="Times New Roman" w:hAnsi="Arial" w:cs="Arial"/>
          <w:b/>
          <w:bCs/>
          <w:color w:val="000000" w:themeColor="text1"/>
        </w:rPr>
        <w:t xml:space="preserve">TOP-1.1.1-15-TL1-2016-00002 </w:t>
      </w:r>
      <w:r w:rsidRPr="007E5A5A">
        <w:rPr>
          <w:rFonts w:ascii="Arial" w:eastAsia="Times New Roman" w:hAnsi="Arial" w:cs="Arial"/>
          <w:bCs/>
          <w:color w:val="000000" w:themeColor="text1"/>
        </w:rPr>
        <w:t xml:space="preserve">azonosító számú, a támogatási kérelemben és annak mellékleteiben rögzített projekt elszámolható költségeinek az Európai Regionális Fejlesztési Alapból és hazai központi költségvetési előirányzatból vissza nem térítendő támogatás formájában történő finanszírozása tárgyban </w:t>
      </w:r>
      <w:r>
        <w:rPr>
          <w:rFonts w:ascii="Arial" w:eastAsia="Times New Roman" w:hAnsi="Arial" w:cs="Arial"/>
          <w:bCs/>
          <w:color w:val="000000" w:themeColor="text1"/>
        </w:rPr>
        <w:t>é</w:t>
      </w:r>
      <w:r w:rsidRPr="00615A9A">
        <w:rPr>
          <w:rFonts w:ascii="Arial" w:eastAsia="Times New Roman" w:hAnsi="Arial" w:cs="Arial"/>
          <w:bCs/>
          <w:color w:val="000000" w:themeColor="text1"/>
        </w:rPr>
        <w:t xml:space="preserve">rtesítés </w:t>
      </w:r>
      <w:r>
        <w:rPr>
          <w:rFonts w:ascii="Arial" w:eastAsia="Times New Roman" w:hAnsi="Arial" w:cs="Arial"/>
          <w:bCs/>
          <w:color w:val="000000" w:themeColor="text1"/>
        </w:rPr>
        <w:t xml:space="preserve">érkezett </w:t>
      </w:r>
      <w:r w:rsidRPr="00615A9A">
        <w:rPr>
          <w:rFonts w:ascii="Arial" w:eastAsia="Times New Roman" w:hAnsi="Arial" w:cs="Arial"/>
          <w:bCs/>
          <w:color w:val="000000" w:themeColor="text1"/>
        </w:rPr>
        <w:t>támogatási kérel</w:t>
      </w:r>
      <w:r>
        <w:rPr>
          <w:rFonts w:ascii="Arial" w:eastAsia="Times New Roman" w:hAnsi="Arial" w:cs="Arial"/>
          <w:bCs/>
          <w:color w:val="000000" w:themeColor="text1"/>
        </w:rPr>
        <w:t>e</w:t>
      </w:r>
      <w:r w:rsidRPr="00615A9A">
        <w:rPr>
          <w:rFonts w:ascii="Arial" w:eastAsia="Times New Roman" w:hAnsi="Arial" w:cs="Arial"/>
          <w:bCs/>
          <w:color w:val="000000" w:themeColor="text1"/>
        </w:rPr>
        <w:t>m</w:t>
      </w:r>
      <w:r>
        <w:rPr>
          <w:rFonts w:ascii="Arial" w:eastAsia="Times New Roman" w:hAnsi="Arial" w:cs="Arial"/>
          <w:bCs/>
          <w:color w:val="000000" w:themeColor="text1"/>
        </w:rPr>
        <w:t xml:space="preserve"> t</w:t>
      </w:r>
      <w:r w:rsidRPr="00615A9A">
        <w:rPr>
          <w:rFonts w:ascii="Arial" w:eastAsia="Times New Roman" w:hAnsi="Arial" w:cs="Arial"/>
          <w:bCs/>
          <w:color w:val="000000" w:themeColor="text1"/>
        </w:rPr>
        <w:t>ámogatásáról</w:t>
      </w:r>
      <w:r w:rsidRPr="007E5A5A">
        <w:rPr>
          <w:rFonts w:ascii="Arial" w:eastAsia="Times New Roman" w:hAnsi="Arial" w:cs="Arial"/>
          <w:bCs/>
          <w:color w:val="000000" w:themeColor="text1"/>
        </w:rPr>
        <w:t>.</w:t>
      </w:r>
    </w:p>
    <w:p w:rsidR="00210710" w:rsidRPr="00210710" w:rsidRDefault="00210710" w:rsidP="00355D3F">
      <w:pPr>
        <w:jc w:val="both"/>
        <w:rPr>
          <w:rFonts w:ascii="Arial" w:hAnsi="Arial" w:cs="Arial"/>
        </w:rPr>
      </w:pPr>
      <w:r w:rsidRPr="00210710">
        <w:rPr>
          <w:rFonts w:ascii="Arial" w:hAnsi="Arial" w:cs="Arial"/>
        </w:rPr>
        <w:t>A Támogatási Szerződés</w:t>
      </w:r>
      <w:r>
        <w:rPr>
          <w:rFonts w:ascii="Arial" w:hAnsi="Arial" w:cs="Arial"/>
        </w:rPr>
        <w:t xml:space="preserve"> tervezetét a Közreműködő Szervezet megküldte, annak adatokkal történő feltöltése és véglegesítése elkészült mely az előterjesztés melléklete.</w:t>
      </w:r>
    </w:p>
    <w:p w:rsidR="00A11FD8" w:rsidRDefault="00A11FD8" w:rsidP="00355D3F">
      <w:pPr>
        <w:jc w:val="both"/>
        <w:rPr>
          <w:rFonts w:ascii="Arial" w:hAnsi="Arial" w:cs="Arial"/>
        </w:rPr>
      </w:pPr>
      <w:r w:rsidRPr="00A11FD8">
        <w:rPr>
          <w:rFonts w:ascii="Arial" w:hAnsi="Arial" w:cs="Arial"/>
        </w:rPr>
        <w:t>A Projektre vonatkozó output indikátor</w:t>
      </w:r>
      <w:r>
        <w:rPr>
          <w:rFonts w:ascii="Arial" w:hAnsi="Arial" w:cs="Arial"/>
        </w:rPr>
        <w:t>okat</w:t>
      </w:r>
      <w:r w:rsidRPr="00A11FD8">
        <w:rPr>
          <w:rFonts w:ascii="Arial" w:hAnsi="Arial" w:cs="Arial"/>
        </w:rPr>
        <w:t xml:space="preserve"> és elvárt célértéke</w:t>
      </w:r>
      <w:r>
        <w:rPr>
          <w:rFonts w:ascii="Arial" w:hAnsi="Arial" w:cs="Arial"/>
        </w:rPr>
        <w:t xml:space="preserve">ket a </w:t>
      </w:r>
      <w:r w:rsidRPr="00210710">
        <w:rPr>
          <w:rFonts w:ascii="Arial" w:hAnsi="Arial" w:cs="Arial"/>
        </w:rPr>
        <w:t>Támogatási Szerződés</w:t>
      </w:r>
      <w:r>
        <w:rPr>
          <w:rFonts w:ascii="Arial" w:hAnsi="Arial" w:cs="Arial"/>
        </w:rPr>
        <w:t xml:space="preserve"> 5</w:t>
      </w:r>
      <w:proofErr w:type="gramStart"/>
      <w:r>
        <w:rPr>
          <w:rFonts w:ascii="Arial" w:hAnsi="Arial" w:cs="Arial"/>
        </w:rPr>
        <w:t>.sz.</w:t>
      </w:r>
      <w:proofErr w:type="gramEnd"/>
      <w:r>
        <w:rPr>
          <w:rFonts w:ascii="Arial" w:hAnsi="Arial" w:cs="Arial"/>
        </w:rPr>
        <w:t xml:space="preserve"> melléklete tartalmazza.</w:t>
      </w:r>
    </w:p>
    <w:tbl>
      <w:tblPr>
        <w:tblStyle w:val="Rcsostblzat1"/>
        <w:tblW w:w="4510" w:type="dxa"/>
        <w:jc w:val="center"/>
        <w:tblLayout w:type="fixed"/>
        <w:tblLook w:val="04A0" w:firstRow="1" w:lastRow="0" w:firstColumn="1" w:lastColumn="0" w:noHBand="0" w:noVBand="1"/>
      </w:tblPr>
      <w:tblGrid>
        <w:gridCol w:w="3175"/>
        <w:gridCol w:w="1335"/>
      </w:tblGrid>
      <w:tr w:rsidR="00697D3D" w:rsidRPr="007266F3" w:rsidTr="00697D3D">
        <w:trPr>
          <w:jc w:val="center"/>
        </w:trPr>
        <w:tc>
          <w:tcPr>
            <w:tcW w:w="3175" w:type="dxa"/>
            <w:shd w:val="clear" w:color="auto" w:fill="BFBFBF" w:themeFill="background1" w:themeFillShade="BF"/>
            <w:vAlign w:val="center"/>
          </w:tcPr>
          <w:p w:rsidR="00697D3D" w:rsidRPr="007266F3" w:rsidRDefault="00697D3D" w:rsidP="00B65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266F3">
              <w:rPr>
                <w:rFonts w:ascii="Arial" w:hAnsi="Arial" w:cs="Arial"/>
                <w:b/>
                <w:bCs/>
              </w:rPr>
              <w:t>Monitoring mutató</w:t>
            </w:r>
          </w:p>
          <w:p w:rsidR="00697D3D" w:rsidRPr="007266F3" w:rsidRDefault="00697D3D" w:rsidP="00B659CC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</w:rPr>
            </w:pPr>
            <w:r w:rsidRPr="007266F3">
              <w:rPr>
                <w:rFonts w:ascii="Arial" w:hAnsi="Arial" w:cs="Arial"/>
                <w:b/>
                <w:bCs/>
              </w:rPr>
              <w:t>megnevezése</w:t>
            </w:r>
          </w:p>
        </w:tc>
        <w:tc>
          <w:tcPr>
            <w:tcW w:w="1335" w:type="dxa"/>
            <w:shd w:val="clear" w:color="auto" w:fill="BFBFBF" w:themeFill="background1" w:themeFillShade="BF"/>
            <w:vAlign w:val="center"/>
          </w:tcPr>
          <w:p w:rsidR="00697D3D" w:rsidRPr="007266F3" w:rsidRDefault="00697D3D" w:rsidP="00B659CC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</w:rPr>
            </w:pPr>
            <w:proofErr w:type="gramStart"/>
            <w:r w:rsidRPr="007266F3">
              <w:rPr>
                <w:rFonts w:ascii="Arial" w:hAnsi="Arial" w:cs="Arial"/>
                <w:b/>
                <w:bCs/>
              </w:rPr>
              <w:t>Cél változás</w:t>
            </w:r>
            <w:proofErr w:type="gramEnd"/>
          </w:p>
        </w:tc>
      </w:tr>
      <w:tr w:rsidR="00697D3D" w:rsidRPr="007266F3" w:rsidTr="00697D3D">
        <w:trPr>
          <w:jc w:val="center"/>
        </w:trPr>
        <w:tc>
          <w:tcPr>
            <w:tcW w:w="3175" w:type="dxa"/>
            <w:vAlign w:val="center"/>
          </w:tcPr>
          <w:p w:rsidR="00697D3D" w:rsidRPr="007266F3" w:rsidRDefault="00697D3D" w:rsidP="00B659CC">
            <w:pPr>
              <w:jc w:val="left"/>
              <w:rPr>
                <w:rFonts w:ascii="Arial" w:hAnsi="Arial" w:cs="Arial"/>
              </w:rPr>
            </w:pPr>
            <w:r w:rsidRPr="007266F3">
              <w:rPr>
                <w:rFonts w:ascii="Arial" w:hAnsi="Arial" w:cs="Arial"/>
              </w:rPr>
              <w:t>A fejlesztett vagy újonnan létesített iparterületek és ipari parkok területe</w:t>
            </w:r>
          </w:p>
        </w:tc>
        <w:tc>
          <w:tcPr>
            <w:tcW w:w="1335" w:type="dxa"/>
          </w:tcPr>
          <w:p w:rsidR="00697D3D" w:rsidRPr="007266F3" w:rsidRDefault="00697D3D" w:rsidP="00B659CC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</w:rPr>
            </w:pPr>
            <w:r w:rsidRPr="007266F3">
              <w:rPr>
                <w:rFonts w:ascii="Arial" w:hAnsi="Arial" w:cs="Arial"/>
                <w:b/>
              </w:rPr>
              <w:t>6,0000</w:t>
            </w:r>
          </w:p>
        </w:tc>
      </w:tr>
      <w:tr w:rsidR="00697D3D" w:rsidRPr="007266F3" w:rsidTr="00697D3D">
        <w:trPr>
          <w:jc w:val="center"/>
        </w:trPr>
        <w:tc>
          <w:tcPr>
            <w:tcW w:w="3175" w:type="dxa"/>
          </w:tcPr>
          <w:p w:rsidR="00697D3D" w:rsidRPr="007266F3" w:rsidRDefault="00697D3D" w:rsidP="008E097A">
            <w:pPr>
              <w:rPr>
                <w:rFonts w:ascii="Arial" w:hAnsi="Arial" w:cs="Arial"/>
              </w:rPr>
            </w:pPr>
            <w:r w:rsidRPr="007266F3">
              <w:rPr>
                <w:rFonts w:ascii="Arial" w:hAnsi="Arial" w:cs="Arial"/>
              </w:rPr>
              <w:t>Vissza nem térítendő támogatásban részesülő vállalkozások száma</w:t>
            </w:r>
          </w:p>
        </w:tc>
        <w:tc>
          <w:tcPr>
            <w:tcW w:w="1335" w:type="dxa"/>
          </w:tcPr>
          <w:p w:rsidR="00697D3D" w:rsidRPr="007266F3" w:rsidRDefault="00697D3D" w:rsidP="004E1AA6">
            <w:pPr>
              <w:jc w:val="center"/>
              <w:rPr>
                <w:rFonts w:ascii="Arial" w:hAnsi="Arial" w:cs="Arial"/>
                <w:b/>
              </w:rPr>
            </w:pPr>
            <w:r w:rsidRPr="007266F3">
              <w:rPr>
                <w:rFonts w:ascii="Arial" w:hAnsi="Arial" w:cs="Arial"/>
                <w:b/>
              </w:rPr>
              <w:t>1</w:t>
            </w:r>
          </w:p>
        </w:tc>
      </w:tr>
      <w:tr w:rsidR="00697D3D" w:rsidRPr="007266F3" w:rsidTr="00697D3D">
        <w:trPr>
          <w:jc w:val="center"/>
        </w:trPr>
        <w:tc>
          <w:tcPr>
            <w:tcW w:w="3175" w:type="dxa"/>
            <w:vAlign w:val="center"/>
          </w:tcPr>
          <w:p w:rsidR="00697D3D" w:rsidRPr="007266F3" w:rsidRDefault="00697D3D" w:rsidP="00B659CC">
            <w:pPr>
              <w:rPr>
                <w:rFonts w:ascii="Arial" w:hAnsi="Arial" w:cs="Arial"/>
              </w:rPr>
            </w:pPr>
            <w:r w:rsidRPr="007266F3">
              <w:rPr>
                <w:rFonts w:ascii="Arial" w:hAnsi="Arial" w:cs="Arial"/>
              </w:rPr>
              <w:t>A nem pénzügyi támogatásban részesülő vállalkozások száma</w:t>
            </w:r>
          </w:p>
        </w:tc>
        <w:tc>
          <w:tcPr>
            <w:tcW w:w="1335" w:type="dxa"/>
          </w:tcPr>
          <w:p w:rsidR="00697D3D" w:rsidRPr="007266F3" w:rsidRDefault="00697D3D" w:rsidP="00B659CC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</w:rPr>
            </w:pPr>
            <w:r w:rsidRPr="007266F3">
              <w:rPr>
                <w:rFonts w:ascii="Arial" w:hAnsi="Arial" w:cs="Arial"/>
                <w:b/>
              </w:rPr>
              <w:t>0</w:t>
            </w:r>
          </w:p>
        </w:tc>
      </w:tr>
      <w:tr w:rsidR="00697D3D" w:rsidRPr="007266F3" w:rsidTr="00697D3D">
        <w:trPr>
          <w:jc w:val="center"/>
        </w:trPr>
        <w:tc>
          <w:tcPr>
            <w:tcW w:w="3175" w:type="dxa"/>
            <w:vAlign w:val="center"/>
          </w:tcPr>
          <w:p w:rsidR="00697D3D" w:rsidRPr="007266F3" w:rsidRDefault="00697D3D" w:rsidP="00B659CC">
            <w:pPr>
              <w:rPr>
                <w:rFonts w:ascii="Arial" w:hAnsi="Arial" w:cs="Arial"/>
              </w:rPr>
            </w:pPr>
            <w:r w:rsidRPr="007266F3">
              <w:rPr>
                <w:rFonts w:ascii="Arial" w:hAnsi="Arial" w:cs="Arial"/>
              </w:rPr>
              <w:t>Támogatásban részesülő vállalkozások száma (OP szinten)</w:t>
            </w:r>
          </w:p>
        </w:tc>
        <w:tc>
          <w:tcPr>
            <w:tcW w:w="1335" w:type="dxa"/>
          </w:tcPr>
          <w:p w:rsidR="00697D3D" w:rsidRPr="007266F3" w:rsidRDefault="00697D3D" w:rsidP="00B659CC">
            <w:pPr>
              <w:tabs>
                <w:tab w:val="left" w:pos="5040"/>
              </w:tabs>
              <w:jc w:val="center"/>
              <w:rPr>
                <w:rFonts w:ascii="Arial" w:hAnsi="Arial" w:cs="Arial"/>
                <w:b/>
              </w:rPr>
            </w:pPr>
            <w:r w:rsidRPr="007266F3">
              <w:rPr>
                <w:rFonts w:ascii="Arial" w:hAnsi="Arial" w:cs="Arial"/>
                <w:b/>
              </w:rPr>
              <w:t>1</w:t>
            </w:r>
          </w:p>
        </w:tc>
      </w:tr>
    </w:tbl>
    <w:p w:rsidR="00A11FD8" w:rsidRDefault="00A11FD8" w:rsidP="00210710">
      <w:pPr>
        <w:ind w:left="709"/>
        <w:jc w:val="both"/>
        <w:rPr>
          <w:rFonts w:ascii="Arial" w:hAnsi="Arial" w:cs="Arial"/>
        </w:rPr>
      </w:pPr>
    </w:p>
    <w:p w:rsidR="00A11FD8" w:rsidRDefault="003437C5" w:rsidP="00355D3F">
      <w:pPr>
        <w:jc w:val="both"/>
        <w:rPr>
          <w:rFonts w:ascii="Arial" w:hAnsi="Arial" w:cs="Arial"/>
        </w:rPr>
      </w:pPr>
      <w:r w:rsidRPr="003437C5">
        <w:rPr>
          <w:rFonts w:ascii="Arial" w:hAnsi="Arial" w:cs="Arial"/>
        </w:rPr>
        <w:lastRenderedPageBreak/>
        <w:t>A fejlesztett vagy újonnan létesített iparterületek és ipari parkok területe</w:t>
      </w:r>
      <w:r>
        <w:rPr>
          <w:rFonts w:ascii="Arial" w:hAnsi="Arial" w:cs="Arial"/>
        </w:rPr>
        <w:t xml:space="preserve"> 6 hektár nagyságú. A közmű vezetékek kiépítésével ekkora terület válik elérhetővé</w:t>
      </w:r>
      <w:r w:rsidR="0061403F">
        <w:rPr>
          <w:rFonts w:ascii="Arial" w:hAnsi="Arial" w:cs="Arial"/>
        </w:rPr>
        <w:t>, mint közművesített telek.</w:t>
      </w:r>
    </w:p>
    <w:p w:rsidR="00DA280E" w:rsidRDefault="00DA280E" w:rsidP="00355D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</w:t>
      </w:r>
      <w:r w:rsidR="0061403F" w:rsidRPr="006140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61403F" w:rsidRPr="0061403F">
        <w:rPr>
          <w:rFonts w:ascii="Arial" w:hAnsi="Arial" w:cs="Arial"/>
        </w:rPr>
        <w:t>ndikátorok, szakpolitikai mutatók, adatszolgáltatás pontja alapján a</w:t>
      </w:r>
      <w:r>
        <w:rPr>
          <w:rFonts w:ascii="Arial" w:hAnsi="Arial" w:cs="Arial"/>
        </w:rPr>
        <w:t xml:space="preserve"> </w:t>
      </w:r>
      <w:r w:rsidR="0061403F" w:rsidRPr="0061403F">
        <w:rPr>
          <w:rFonts w:ascii="Arial" w:hAnsi="Arial" w:cs="Arial"/>
        </w:rPr>
        <w:t>megvalósítás és a fenntartás időszakában a kedvezményezett a projekt megvalósulásáról köteles</w:t>
      </w:r>
      <w:r>
        <w:rPr>
          <w:rFonts w:ascii="Arial" w:hAnsi="Arial" w:cs="Arial"/>
        </w:rPr>
        <w:t xml:space="preserve"> </w:t>
      </w:r>
      <w:r w:rsidR="0061403F" w:rsidRPr="0061403F">
        <w:rPr>
          <w:rFonts w:ascii="Arial" w:hAnsi="Arial" w:cs="Arial"/>
        </w:rPr>
        <w:t>értékeket adni. Tekintettel arra, hogy a támogatási kérelemben a monitoring mutatók adatai a fenntartás</w:t>
      </w:r>
      <w:r w:rsidR="006A186F">
        <w:rPr>
          <w:rFonts w:ascii="Arial" w:hAnsi="Arial" w:cs="Arial"/>
        </w:rPr>
        <w:t xml:space="preserve"> </w:t>
      </w:r>
      <w:r w:rsidR="0061403F" w:rsidRPr="0061403F">
        <w:rPr>
          <w:rFonts w:ascii="Arial" w:hAnsi="Arial" w:cs="Arial"/>
        </w:rPr>
        <w:t>időszakára vonatkozóan nem tartalmaz</w:t>
      </w:r>
      <w:r w:rsidR="004E1AA6">
        <w:rPr>
          <w:rFonts w:ascii="Arial" w:hAnsi="Arial" w:cs="Arial"/>
        </w:rPr>
        <w:t>t</w:t>
      </w:r>
      <w:r w:rsidR="0061403F" w:rsidRPr="0061403F">
        <w:rPr>
          <w:rFonts w:ascii="Arial" w:hAnsi="Arial" w:cs="Arial"/>
        </w:rPr>
        <w:t>ak adatokat, szerződéskötéskor a Támogatást Igénylőnek a</w:t>
      </w:r>
      <w:r w:rsidR="006A186F">
        <w:rPr>
          <w:rFonts w:ascii="Arial" w:hAnsi="Arial" w:cs="Arial"/>
        </w:rPr>
        <w:t xml:space="preserve"> </w:t>
      </w:r>
      <w:r w:rsidR="0061403F" w:rsidRPr="0061403F">
        <w:rPr>
          <w:rFonts w:ascii="Arial" w:hAnsi="Arial" w:cs="Arial"/>
        </w:rPr>
        <w:t>fenntartási időszakra vonatkozóan is szükséges a vállalást megtennie. Az indikátorokat az alábbiak</w:t>
      </w:r>
      <w:r w:rsidR="006A186F">
        <w:rPr>
          <w:rFonts w:ascii="Arial" w:hAnsi="Arial" w:cs="Arial"/>
        </w:rPr>
        <w:t xml:space="preserve"> </w:t>
      </w:r>
      <w:r w:rsidR="0061403F" w:rsidRPr="0061403F">
        <w:rPr>
          <w:rFonts w:ascii="Arial" w:hAnsi="Arial" w:cs="Arial"/>
        </w:rPr>
        <w:t>szer</w:t>
      </w:r>
      <w:r w:rsidR="004E1AA6">
        <w:rPr>
          <w:rFonts w:ascii="Arial" w:hAnsi="Arial" w:cs="Arial"/>
        </w:rPr>
        <w:t>int szükséges felülvizsgálni:</w:t>
      </w:r>
    </w:p>
    <w:p w:rsidR="00DA280E" w:rsidRDefault="0061403F" w:rsidP="00355D3F">
      <w:pPr>
        <w:jc w:val="both"/>
        <w:rPr>
          <w:rFonts w:ascii="Arial" w:hAnsi="Arial" w:cs="Arial"/>
        </w:rPr>
      </w:pPr>
      <w:r w:rsidRPr="000415DB">
        <w:rPr>
          <w:rFonts w:ascii="Arial" w:hAnsi="Arial" w:cs="Arial"/>
        </w:rPr>
        <w:t>A „Vissza nem térítendő támogatásban részesülő vállalkozások száma”</w:t>
      </w:r>
      <w:r w:rsidR="00DA280E" w:rsidRPr="000415DB">
        <w:rPr>
          <w:rFonts w:ascii="Arial" w:hAnsi="Arial" w:cs="Arial"/>
        </w:rPr>
        <w:t xml:space="preserve"> </w:t>
      </w:r>
      <w:r w:rsidRPr="000415DB">
        <w:rPr>
          <w:rFonts w:ascii="Arial" w:hAnsi="Arial" w:cs="Arial"/>
        </w:rPr>
        <w:t>megnevezésű indikátor célértéke az indikátor definíciós adatlap értelmében „a támogatott, pénzügyileg</w:t>
      </w:r>
      <w:r w:rsidR="00DA280E" w:rsidRPr="000415DB">
        <w:rPr>
          <w:rFonts w:ascii="Arial" w:hAnsi="Arial" w:cs="Arial"/>
        </w:rPr>
        <w:t xml:space="preserve"> </w:t>
      </w:r>
      <w:r w:rsidRPr="000415DB">
        <w:rPr>
          <w:rFonts w:ascii="Arial" w:hAnsi="Arial" w:cs="Arial"/>
        </w:rPr>
        <w:t>lezárt projektek száma, ahol a kedvezményezett vállalkozás”.</w:t>
      </w:r>
      <w:r w:rsidR="00DA280E" w:rsidRPr="000415DB">
        <w:rPr>
          <w:rFonts w:ascii="Arial" w:hAnsi="Arial" w:cs="Arial"/>
        </w:rPr>
        <w:t xml:space="preserve"> Az indikátor előállításhoz kapcsolódó speciális szempont alapján a</w:t>
      </w:r>
      <w:r w:rsidR="00DA280E">
        <w:rPr>
          <w:rFonts w:ascii="Arial" w:hAnsi="Arial" w:cs="Arial"/>
        </w:rPr>
        <w:t xml:space="preserve"> kedvezményezett az Önkormányzat.</w:t>
      </w:r>
    </w:p>
    <w:p w:rsidR="004E1AA6" w:rsidRDefault="0061403F" w:rsidP="00355D3F">
      <w:pPr>
        <w:jc w:val="both"/>
        <w:rPr>
          <w:rFonts w:ascii="Arial" w:hAnsi="Arial" w:cs="Arial"/>
        </w:rPr>
      </w:pPr>
      <w:r w:rsidRPr="0061403F">
        <w:rPr>
          <w:rFonts w:ascii="Arial" w:hAnsi="Arial" w:cs="Arial"/>
        </w:rPr>
        <w:t>A „nem pénzügyi támogatásban részesülő</w:t>
      </w:r>
      <w:r w:rsidR="004E1AA6">
        <w:rPr>
          <w:rFonts w:ascii="Arial" w:hAnsi="Arial" w:cs="Arial"/>
        </w:rPr>
        <w:t xml:space="preserve"> </w:t>
      </w:r>
      <w:r w:rsidRPr="0061403F">
        <w:rPr>
          <w:rFonts w:ascii="Arial" w:hAnsi="Arial" w:cs="Arial"/>
        </w:rPr>
        <w:t xml:space="preserve">vállalkozások száma” megnevezésű indikátor célértéke </w:t>
      </w:r>
      <w:r w:rsidR="004E1AA6">
        <w:rPr>
          <w:rFonts w:ascii="Arial" w:hAnsi="Arial" w:cs="Arial"/>
        </w:rPr>
        <w:t>nulla.</w:t>
      </w:r>
    </w:p>
    <w:p w:rsidR="00DA280E" w:rsidRDefault="0061403F" w:rsidP="00355D3F">
      <w:pPr>
        <w:jc w:val="both"/>
        <w:rPr>
          <w:rFonts w:ascii="Arial" w:hAnsi="Arial" w:cs="Arial"/>
        </w:rPr>
      </w:pPr>
      <w:r w:rsidRPr="0061403F">
        <w:rPr>
          <w:rFonts w:ascii="Arial" w:hAnsi="Arial" w:cs="Arial"/>
        </w:rPr>
        <w:t>A „Támogatásban részesülő vállalkozások száma (OP szinten)” megnevezésű indikátor</w:t>
      </w:r>
      <w:r w:rsidR="00DA280E">
        <w:rPr>
          <w:rFonts w:ascii="Arial" w:hAnsi="Arial" w:cs="Arial"/>
        </w:rPr>
        <w:t xml:space="preserve"> </w:t>
      </w:r>
      <w:r w:rsidRPr="0061403F">
        <w:rPr>
          <w:rFonts w:ascii="Arial" w:hAnsi="Arial" w:cs="Arial"/>
        </w:rPr>
        <w:t>célértéke az indikátor definíciós adatlap értelmében „Vissza nem térítendő támogatásban részesülő</w:t>
      </w:r>
      <w:r w:rsidR="004E1AA6">
        <w:rPr>
          <w:rFonts w:ascii="Arial" w:hAnsi="Arial" w:cs="Arial"/>
        </w:rPr>
        <w:t xml:space="preserve"> </w:t>
      </w:r>
      <w:r w:rsidRPr="0061403F">
        <w:rPr>
          <w:rFonts w:ascii="Arial" w:hAnsi="Arial" w:cs="Arial"/>
        </w:rPr>
        <w:t xml:space="preserve">vállalkozások száma + a nem pénzügyi támogatásban </w:t>
      </w:r>
      <w:r w:rsidR="004E1AA6">
        <w:rPr>
          <w:rFonts w:ascii="Arial" w:hAnsi="Arial" w:cs="Arial"/>
        </w:rPr>
        <w:t>részesülő vállalkozások száma”.</w:t>
      </w:r>
      <w:r w:rsidR="00DA280E">
        <w:rPr>
          <w:rFonts w:ascii="Arial" w:hAnsi="Arial" w:cs="Arial"/>
        </w:rPr>
        <w:t xml:space="preserve"> A két értéket összeadva 1-et kapunk.</w:t>
      </w:r>
    </w:p>
    <w:p w:rsidR="00DA280E" w:rsidRDefault="00DA280E" w:rsidP="00355D3F">
      <w:pPr>
        <w:jc w:val="both"/>
        <w:rPr>
          <w:rFonts w:ascii="Arial" w:hAnsi="Arial" w:cs="Arial"/>
        </w:rPr>
      </w:pPr>
    </w:p>
    <w:p w:rsidR="00210710" w:rsidRDefault="000415DB" w:rsidP="00355D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vállalt indikátorok teljesíthetőek, ezért javasoljuk a Támogatási Szerződés jóváhagyását és a </w:t>
      </w:r>
      <w:r w:rsidR="00210710">
        <w:rPr>
          <w:rFonts w:ascii="Arial" w:hAnsi="Arial" w:cs="Arial"/>
        </w:rPr>
        <w:t>határozati javaslat elfogadását.</w:t>
      </w:r>
    </w:p>
    <w:p w:rsidR="00210710" w:rsidRPr="006A6356" w:rsidRDefault="00210710" w:rsidP="00210710">
      <w:pPr>
        <w:tabs>
          <w:tab w:val="left" w:pos="567"/>
        </w:tabs>
        <w:jc w:val="both"/>
        <w:outlineLvl w:val="0"/>
        <w:rPr>
          <w:rFonts w:ascii="Arial" w:hAnsi="Arial" w:cs="Arial"/>
        </w:rPr>
      </w:pPr>
    </w:p>
    <w:p w:rsidR="00210710" w:rsidRPr="0047446F" w:rsidRDefault="00210710" w:rsidP="00355D3F">
      <w:pPr>
        <w:spacing w:after="0" w:line="240" w:lineRule="auto"/>
        <w:ind w:left="2835"/>
        <w:jc w:val="both"/>
        <w:rPr>
          <w:rFonts w:ascii="Arial" w:hAnsi="Arial" w:cs="Arial"/>
          <w:b/>
          <w:i/>
          <w:iCs/>
          <w:u w:val="single"/>
        </w:rPr>
      </w:pPr>
      <w:r w:rsidRPr="0047446F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47446F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210710" w:rsidRPr="0047446F" w:rsidRDefault="00210710" w:rsidP="00355D3F">
      <w:pPr>
        <w:spacing w:after="0" w:line="240" w:lineRule="auto"/>
        <w:ind w:left="2835"/>
        <w:jc w:val="both"/>
        <w:rPr>
          <w:rFonts w:ascii="Arial" w:hAnsi="Arial" w:cs="Arial"/>
          <w:b/>
          <w:i/>
          <w:iCs/>
        </w:rPr>
      </w:pPr>
      <w:r w:rsidRPr="0047446F">
        <w:rPr>
          <w:rFonts w:ascii="Arial" w:hAnsi="Arial" w:cs="Arial"/>
          <w:b/>
          <w:i/>
          <w:iCs/>
        </w:rPr>
        <w:tab/>
      </w:r>
      <w:r w:rsidRPr="0047446F">
        <w:rPr>
          <w:rFonts w:ascii="Arial" w:hAnsi="Arial" w:cs="Arial"/>
          <w:b/>
          <w:i/>
          <w:iCs/>
        </w:rPr>
        <w:tab/>
        <w:t xml:space="preserve">      </w:t>
      </w:r>
    </w:p>
    <w:p w:rsidR="00210710" w:rsidRPr="003B26DD" w:rsidRDefault="00210710" w:rsidP="00355D3F">
      <w:pPr>
        <w:spacing w:after="0" w:line="240" w:lineRule="auto"/>
        <w:ind w:left="2832" w:right="72"/>
        <w:jc w:val="both"/>
        <w:rPr>
          <w:rFonts w:ascii="Arial" w:hAnsi="Arial" w:cs="Arial"/>
          <w:b/>
          <w:u w:val="single"/>
          <w:lang w:eastAsia="hu-HU"/>
        </w:rPr>
      </w:pPr>
      <w:proofErr w:type="gramStart"/>
      <w:r>
        <w:rPr>
          <w:rFonts w:ascii="Arial" w:hAnsi="Arial" w:cs="Arial"/>
          <w:b/>
          <w:u w:val="single"/>
          <w:lang w:eastAsia="hu-HU"/>
        </w:rPr>
        <w:t>a</w:t>
      </w:r>
      <w:proofErr w:type="gramEnd"/>
      <w:r>
        <w:rPr>
          <w:rFonts w:ascii="Arial" w:hAnsi="Arial" w:cs="Arial"/>
          <w:b/>
          <w:u w:val="single"/>
          <w:lang w:eastAsia="hu-HU"/>
        </w:rPr>
        <w:t xml:space="preserve"> </w:t>
      </w:r>
      <w:r w:rsidR="000415DB" w:rsidRPr="000415DB">
        <w:rPr>
          <w:rFonts w:ascii="Arial" w:hAnsi="Arial" w:cs="Arial"/>
          <w:b/>
          <w:u w:val="single"/>
          <w:lang w:eastAsia="hu-HU"/>
        </w:rPr>
        <w:t xml:space="preserve">TOP-1.1.1-15-TL1-2016-00002 </w:t>
      </w:r>
      <w:r w:rsidRPr="002B686B">
        <w:rPr>
          <w:rFonts w:ascii="Arial" w:hAnsi="Arial" w:cs="Arial"/>
          <w:b/>
          <w:u w:val="single"/>
          <w:lang w:eastAsia="hu-HU"/>
        </w:rPr>
        <w:t>azonosító számú „</w:t>
      </w:r>
      <w:r w:rsidR="000415DB" w:rsidRPr="000415DB">
        <w:rPr>
          <w:rFonts w:ascii="Arial" w:hAnsi="Arial" w:cs="Arial"/>
          <w:b/>
          <w:u w:val="single"/>
          <w:lang w:eastAsia="hu-HU"/>
        </w:rPr>
        <w:t>Ipa</w:t>
      </w:r>
      <w:r w:rsidR="000415DB">
        <w:rPr>
          <w:rFonts w:ascii="Arial" w:hAnsi="Arial" w:cs="Arial"/>
          <w:b/>
          <w:u w:val="single"/>
          <w:lang w:eastAsia="hu-HU"/>
        </w:rPr>
        <w:t>rterület fejlesztése Bátaszéken</w:t>
      </w:r>
      <w:r w:rsidRPr="002B686B">
        <w:rPr>
          <w:rFonts w:ascii="Arial" w:hAnsi="Arial" w:cs="Arial"/>
          <w:b/>
          <w:u w:val="single"/>
          <w:lang w:eastAsia="hu-HU"/>
        </w:rPr>
        <w:t xml:space="preserve">” </w:t>
      </w:r>
      <w:r w:rsidR="000415DB" w:rsidRPr="000415DB">
        <w:rPr>
          <w:rFonts w:ascii="Arial" w:hAnsi="Arial" w:cs="Arial"/>
          <w:b/>
          <w:u w:val="single"/>
          <w:lang w:eastAsia="hu-HU"/>
        </w:rPr>
        <w:t>projektnevű támogatási kérelem Támo</w:t>
      </w:r>
      <w:r w:rsidR="000415DB">
        <w:rPr>
          <w:rFonts w:ascii="Arial" w:hAnsi="Arial" w:cs="Arial"/>
          <w:b/>
          <w:u w:val="single"/>
          <w:lang w:eastAsia="hu-HU"/>
        </w:rPr>
        <w:t>gatási szerződésének jóváhagy</w:t>
      </w:r>
      <w:r w:rsidRPr="003D0ED1">
        <w:rPr>
          <w:rFonts w:ascii="Arial" w:hAnsi="Arial" w:cs="Arial"/>
          <w:b/>
          <w:u w:val="single"/>
          <w:lang w:eastAsia="hu-HU"/>
        </w:rPr>
        <w:t>ás</w:t>
      </w:r>
      <w:r>
        <w:rPr>
          <w:rFonts w:ascii="Arial" w:hAnsi="Arial" w:cs="Arial"/>
          <w:b/>
          <w:u w:val="single"/>
          <w:lang w:eastAsia="hu-HU"/>
        </w:rPr>
        <w:t>á</w:t>
      </w:r>
      <w:r w:rsidRPr="003B26DD">
        <w:rPr>
          <w:rFonts w:ascii="Arial" w:hAnsi="Arial" w:cs="Arial"/>
          <w:b/>
          <w:u w:val="single"/>
          <w:lang w:eastAsia="hu-HU"/>
        </w:rPr>
        <w:t>ra</w:t>
      </w:r>
    </w:p>
    <w:p w:rsidR="00210710" w:rsidRPr="00F14949" w:rsidRDefault="00210710" w:rsidP="00355D3F">
      <w:pPr>
        <w:spacing w:after="0" w:line="240" w:lineRule="auto"/>
        <w:ind w:left="2832" w:right="72"/>
        <w:jc w:val="both"/>
        <w:rPr>
          <w:rFonts w:ascii="Arial" w:hAnsi="Arial" w:cs="Arial"/>
        </w:rPr>
      </w:pPr>
    </w:p>
    <w:p w:rsidR="00210710" w:rsidRPr="00F14949" w:rsidRDefault="00210710" w:rsidP="00355D3F">
      <w:pPr>
        <w:spacing w:after="0" w:line="240" w:lineRule="auto"/>
        <w:ind w:left="2832" w:right="72"/>
        <w:jc w:val="both"/>
        <w:rPr>
          <w:rFonts w:ascii="Arial" w:hAnsi="Arial" w:cs="Arial"/>
        </w:rPr>
      </w:pPr>
      <w:r w:rsidRPr="00F14949">
        <w:rPr>
          <w:rFonts w:ascii="Arial" w:hAnsi="Arial" w:cs="Arial"/>
        </w:rPr>
        <w:t>Bátaszék Város Önkor</w:t>
      </w:r>
      <w:r w:rsidR="00355D3F">
        <w:rPr>
          <w:rFonts w:ascii="Arial" w:hAnsi="Arial" w:cs="Arial"/>
        </w:rPr>
        <w:t>mányzatának Képviselő-testülete</w:t>
      </w:r>
    </w:p>
    <w:p w:rsidR="00210710" w:rsidRPr="000415DB" w:rsidRDefault="00210710" w:rsidP="00355D3F">
      <w:pPr>
        <w:pStyle w:val="Listaszerbekezds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3119" w:right="74" w:hanging="284"/>
        <w:jc w:val="both"/>
        <w:textAlignment w:val="baseline"/>
        <w:rPr>
          <w:rFonts w:ascii="Arial" w:hAnsi="Arial" w:cs="Arial"/>
        </w:rPr>
      </w:pPr>
      <w:r w:rsidRPr="000415DB">
        <w:rPr>
          <w:rFonts w:ascii="Arial" w:hAnsi="Arial" w:cs="Arial"/>
        </w:rPr>
        <w:t xml:space="preserve">a </w:t>
      </w:r>
      <w:r w:rsidR="000415DB" w:rsidRPr="000415DB">
        <w:rPr>
          <w:rFonts w:ascii="Arial" w:hAnsi="Arial" w:cs="Arial"/>
          <w:lang w:eastAsia="hu-HU"/>
        </w:rPr>
        <w:t xml:space="preserve">TOP-1.1.1-15-TL1-2016-00002 azonosító számú „Iparterület fejlesztése Bátaszéken” projektnevű támogatási kérelem Támogatási szerződését </w:t>
      </w:r>
      <w:r w:rsidR="00355D3F">
        <w:rPr>
          <w:rFonts w:ascii="Arial" w:hAnsi="Arial" w:cs="Arial"/>
          <w:lang w:eastAsia="hu-HU"/>
        </w:rPr>
        <w:t xml:space="preserve">– a határozat melléklete szerinti tartalommal – </w:t>
      </w:r>
      <w:r w:rsidR="000415DB" w:rsidRPr="000415DB">
        <w:rPr>
          <w:rFonts w:ascii="Arial" w:hAnsi="Arial" w:cs="Arial"/>
          <w:lang w:eastAsia="hu-HU"/>
        </w:rPr>
        <w:t>jóváhagyja</w:t>
      </w:r>
      <w:r w:rsidRPr="000415DB">
        <w:rPr>
          <w:rFonts w:ascii="Arial" w:hAnsi="Arial" w:cs="Arial"/>
          <w:bCs/>
          <w:iCs/>
        </w:rPr>
        <w:t xml:space="preserve">, </w:t>
      </w:r>
    </w:p>
    <w:p w:rsidR="00697D3D" w:rsidRPr="0047446F" w:rsidRDefault="00697D3D" w:rsidP="00355D3F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3186" w:right="74" w:hanging="357"/>
        <w:jc w:val="both"/>
        <w:textAlignment w:val="baseline"/>
        <w:rPr>
          <w:rFonts w:ascii="Arial" w:hAnsi="Arial" w:cs="Arial"/>
        </w:rPr>
      </w:pPr>
      <w:r w:rsidRPr="0047446F">
        <w:rPr>
          <w:rFonts w:ascii="Arial" w:hAnsi="Arial" w:cs="Arial"/>
        </w:rPr>
        <w:t>felhatalmazza</w:t>
      </w:r>
      <w:r>
        <w:rPr>
          <w:rFonts w:ascii="Arial" w:hAnsi="Arial" w:cs="Arial"/>
        </w:rPr>
        <w:t xml:space="preserve"> a város polgármesterét a Támogatási Szerződés aláírására.</w:t>
      </w:r>
    </w:p>
    <w:p w:rsidR="00697D3D" w:rsidRPr="0063167B" w:rsidRDefault="00697D3D" w:rsidP="00355D3F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210710" w:rsidRDefault="00210710" w:rsidP="00355D3F">
      <w:pPr>
        <w:spacing w:after="0" w:line="240" w:lineRule="auto"/>
        <w:ind w:left="1701" w:firstLine="1134"/>
        <w:jc w:val="both"/>
        <w:rPr>
          <w:rFonts w:ascii="Arial" w:hAnsi="Arial" w:cs="Arial"/>
        </w:rPr>
      </w:pPr>
      <w:r w:rsidRPr="000C39E0">
        <w:rPr>
          <w:rFonts w:ascii="Arial" w:hAnsi="Arial" w:cs="Arial"/>
          <w:i/>
          <w:iCs/>
        </w:rPr>
        <w:t>Határidő:</w:t>
      </w:r>
      <w:r w:rsidRPr="000C39E0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0C39E0">
        <w:rPr>
          <w:rFonts w:ascii="Arial" w:hAnsi="Arial" w:cs="Arial"/>
        </w:rPr>
        <w:t xml:space="preserve">. július </w:t>
      </w:r>
      <w:r>
        <w:rPr>
          <w:rFonts w:ascii="Arial" w:hAnsi="Arial" w:cs="Arial"/>
        </w:rPr>
        <w:t>2</w:t>
      </w:r>
      <w:r w:rsidR="000415DB">
        <w:rPr>
          <w:rFonts w:ascii="Arial" w:hAnsi="Arial" w:cs="Arial"/>
        </w:rPr>
        <w:t>1</w:t>
      </w:r>
      <w:r w:rsidRPr="003A2056">
        <w:rPr>
          <w:rFonts w:ascii="Arial" w:hAnsi="Arial" w:cs="Arial"/>
        </w:rPr>
        <w:t>.</w:t>
      </w:r>
      <w:r w:rsidRPr="000C39E0">
        <w:rPr>
          <w:rFonts w:ascii="Arial" w:hAnsi="Arial" w:cs="Arial"/>
        </w:rPr>
        <w:t xml:space="preserve">  </w:t>
      </w:r>
    </w:p>
    <w:p w:rsidR="00697D3D" w:rsidRPr="0047446F" w:rsidRDefault="00697D3D" w:rsidP="00355D3F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Felelős</w:t>
      </w:r>
      <w:proofErr w:type="gramStart"/>
      <w:r w:rsidRPr="0047446F">
        <w:rPr>
          <w:rFonts w:ascii="Arial" w:hAnsi="Arial" w:cs="Arial"/>
        </w:rPr>
        <w:t>:   Dr.</w:t>
      </w:r>
      <w:proofErr w:type="gramEnd"/>
      <w:r w:rsidRPr="0047446F">
        <w:rPr>
          <w:rFonts w:ascii="Arial" w:hAnsi="Arial" w:cs="Arial"/>
        </w:rPr>
        <w:t xml:space="preserve"> Bozsolik Róbert polgármester </w:t>
      </w:r>
    </w:p>
    <w:p w:rsidR="00697D3D" w:rsidRPr="0047446F" w:rsidRDefault="00697D3D" w:rsidP="00355D3F">
      <w:pPr>
        <w:spacing w:after="0" w:line="240" w:lineRule="auto"/>
        <w:ind w:left="3672"/>
        <w:jc w:val="both"/>
        <w:rPr>
          <w:rFonts w:ascii="Arial" w:hAnsi="Arial" w:cs="Arial"/>
        </w:rPr>
      </w:pPr>
      <w:r w:rsidRPr="0047446F">
        <w:rPr>
          <w:rFonts w:ascii="Arial" w:hAnsi="Arial" w:cs="Arial"/>
        </w:rPr>
        <w:t xml:space="preserve">  (szerződés aláírásá</w:t>
      </w:r>
      <w:r>
        <w:rPr>
          <w:rFonts w:ascii="Arial" w:hAnsi="Arial" w:cs="Arial"/>
        </w:rPr>
        <w:t>ért</w:t>
      </w:r>
      <w:r w:rsidRPr="0047446F">
        <w:rPr>
          <w:rFonts w:ascii="Arial" w:hAnsi="Arial" w:cs="Arial"/>
        </w:rPr>
        <w:t>)</w:t>
      </w:r>
    </w:p>
    <w:p w:rsidR="00210710" w:rsidRPr="000C39E0" w:rsidRDefault="00210710" w:rsidP="00355D3F">
      <w:pPr>
        <w:spacing w:after="0" w:line="240" w:lineRule="auto"/>
        <w:ind w:left="1701" w:firstLine="1134"/>
        <w:jc w:val="both"/>
        <w:rPr>
          <w:rFonts w:ascii="Arial" w:hAnsi="Arial" w:cs="Arial"/>
        </w:rPr>
      </w:pPr>
    </w:p>
    <w:p w:rsidR="00210710" w:rsidRPr="00F14949" w:rsidRDefault="00210710" w:rsidP="00355D3F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0C39E0">
        <w:rPr>
          <w:rFonts w:ascii="Arial" w:hAnsi="Arial" w:cs="Arial"/>
          <w:i/>
          <w:iCs/>
        </w:rPr>
        <w:t>Határozatról értesül</w:t>
      </w:r>
      <w:r w:rsidRPr="000C39E0">
        <w:rPr>
          <w:rFonts w:ascii="Arial" w:hAnsi="Arial" w:cs="Arial"/>
        </w:rPr>
        <w:t xml:space="preserve">: </w:t>
      </w:r>
      <w:r w:rsidR="00355D3F">
        <w:rPr>
          <w:rFonts w:ascii="Arial" w:hAnsi="Arial" w:cs="Arial"/>
        </w:rPr>
        <w:t>Közreműködő szervezet</w:t>
      </w:r>
    </w:p>
    <w:p w:rsidR="00210710" w:rsidRPr="000C39E0" w:rsidRDefault="00210710" w:rsidP="00355D3F">
      <w:pPr>
        <w:tabs>
          <w:tab w:val="left" w:pos="5103"/>
        </w:tabs>
        <w:spacing w:after="0" w:line="240" w:lineRule="auto"/>
        <w:ind w:left="1701" w:firstLine="1134"/>
        <w:jc w:val="both"/>
        <w:rPr>
          <w:rFonts w:ascii="Arial" w:hAnsi="Arial" w:cs="Arial"/>
        </w:rPr>
      </w:pPr>
      <w:r w:rsidRPr="000C39E0">
        <w:rPr>
          <w:rFonts w:ascii="Arial" w:hAnsi="Arial" w:cs="Arial"/>
          <w:iCs/>
        </w:rPr>
        <w:t xml:space="preserve">                            </w:t>
      </w:r>
      <w:r>
        <w:rPr>
          <w:rFonts w:ascii="Arial" w:hAnsi="Arial" w:cs="Arial"/>
          <w:iCs/>
        </w:rPr>
        <w:t xml:space="preserve"> </w:t>
      </w:r>
      <w:r w:rsidRPr="000C39E0">
        <w:rPr>
          <w:rFonts w:ascii="Arial" w:hAnsi="Arial" w:cs="Arial"/>
          <w:iCs/>
        </w:rPr>
        <w:t xml:space="preserve">   Bátaszéki KÖH </w:t>
      </w:r>
      <w:proofErr w:type="spellStart"/>
      <w:r w:rsidRPr="000C39E0">
        <w:rPr>
          <w:rFonts w:ascii="Arial" w:hAnsi="Arial" w:cs="Arial"/>
          <w:iCs/>
        </w:rPr>
        <w:t>városüz</w:t>
      </w:r>
      <w:proofErr w:type="spellEnd"/>
      <w:r w:rsidRPr="000C39E0">
        <w:rPr>
          <w:rFonts w:ascii="Arial" w:hAnsi="Arial" w:cs="Arial"/>
        </w:rPr>
        <w:t>. iroda</w:t>
      </w:r>
    </w:p>
    <w:p w:rsidR="00210710" w:rsidRPr="000C39E0" w:rsidRDefault="00210710" w:rsidP="00355D3F">
      <w:pPr>
        <w:tabs>
          <w:tab w:val="left" w:pos="4920"/>
        </w:tabs>
        <w:spacing w:after="0" w:line="240" w:lineRule="auto"/>
        <w:ind w:left="2832" w:firstLine="1134"/>
        <w:jc w:val="both"/>
        <w:rPr>
          <w:rFonts w:ascii="Arial" w:hAnsi="Arial" w:cs="Arial"/>
          <w:iCs/>
        </w:rPr>
      </w:pPr>
      <w:r w:rsidRPr="000C39E0">
        <w:rPr>
          <w:rFonts w:ascii="Arial" w:hAnsi="Arial" w:cs="Arial"/>
          <w:i/>
          <w:iCs/>
        </w:rPr>
        <w:t xml:space="preserve">              </w:t>
      </w:r>
      <w:r w:rsidRPr="000C39E0">
        <w:rPr>
          <w:rFonts w:ascii="Arial" w:hAnsi="Arial" w:cs="Arial"/>
          <w:iCs/>
        </w:rPr>
        <w:t>Bátaszéki KÖH pénzügyi iroda</w:t>
      </w:r>
    </w:p>
    <w:p w:rsidR="00210710" w:rsidRPr="000C39E0" w:rsidRDefault="00210710" w:rsidP="00355D3F">
      <w:pPr>
        <w:tabs>
          <w:tab w:val="left" w:pos="4920"/>
        </w:tabs>
        <w:spacing w:after="0" w:line="240" w:lineRule="auto"/>
        <w:ind w:left="2832" w:firstLine="1134"/>
        <w:jc w:val="both"/>
      </w:pPr>
      <w:r w:rsidRPr="000C39E0">
        <w:rPr>
          <w:rFonts w:ascii="Arial" w:hAnsi="Arial" w:cs="Arial"/>
          <w:iCs/>
        </w:rPr>
        <w:t xml:space="preserve">              </w:t>
      </w:r>
      <w:proofErr w:type="gramStart"/>
      <w:r w:rsidRPr="000C39E0">
        <w:rPr>
          <w:rFonts w:ascii="Arial" w:hAnsi="Arial" w:cs="Arial"/>
          <w:iCs/>
        </w:rPr>
        <w:t>irattár</w:t>
      </w:r>
      <w:proofErr w:type="gramEnd"/>
    </w:p>
    <w:p w:rsidR="00210710" w:rsidRDefault="00210710" w:rsidP="00355D3F">
      <w:pPr>
        <w:spacing w:after="0" w:line="240" w:lineRule="auto"/>
      </w:pPr>
    </w:p>
    <w:sectPr w:rsidR="00210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549"/>
    <w:multiLevelType w:val="hybridMultilevel"/>
    <w:tmpl w:val="5504CD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754F2"/>
    <w:multiLevelType w:val="hybridMultilevel"/>
    <w:tmpl w:val="208CDD32"/>
    <w:lvl w:ilvl="0" w:tplc="5C5A4F04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8C50CB6"/>
    <w:multiLevelType w:val="hybridMultilevel"/>
    <w:tmpl w:val="F2B83D0A"/>
    <w:lvl w:ilvl="0" w:tplc="BD5AD752">
      <w:numFmt w:val="bullet"/>
      <w:lvlText w:val="-"/>
      <w:lvlJc w:val="left"/>
      <w:pPr>
        <w:ind w:left="3192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4C"/>
    <w:rsid w:val="00032E44"/>
    <w:rsid w:val="000415DB"/>
    <w:rsid w:val="00166909"/>
    <w:rsid w:val="00204C4C"/>
    <w:rsid w:val="00210710"/>
    <w:rsid w:val="00303835"/>
    <w:rsid w:val="003437C5"/>
    <w:rsid w:val="00355D3F"/>
    <w:rsid w:val="00370E47"/>
    <w:rsid w:val="004E1AA6"/>
    <w:rsid w:val="0061403F"/>
    <w:rsid w:val="00697D3D"/>
    <w:rsid w:val="006A186F"/>
    <w:rsid w:val="007266F3"/>
    <w:rsid w:val="00964C4D"/>
    <w:rsid w:val="00A11FD8"/>
    <w:rsid w:val="00DA280E"/>
    <w:rsid w:val="00DB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4C4C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210710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210710"/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A11F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A11F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1FD8"/>
    <w:pPr>
      <w:spacing w:after="200" w:line="240" w:lineRule="auto"/>
    </w:pPr>
    <w:rPr>
      <w:rFonts w:asciiTheme="minorHAnsi" w:eastAsiaTheme="minorEastAsia" w:hAnsiTheme="minorHAnsi" w:cstheme="minorBidi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1FD8"/>
    <w:rPr>
      <w:rFonts w:eastAsiaTheme="minorEastAsia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A11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1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1F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4C4C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210710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210710"/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A11F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A11F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1FD8"/>
    <w:pPr>
      <w:spacing w:after="200" w:line="240" w:lineRule="auto"/>
    </w:pPr>
    <w:rPr>
      <w:rFonts w:asciiTheme="minorHAnsi" w:eastAsiaTheme="minorEastAsia" w:hAnsiTheme="minorHAnsi" w:cstheme="minorBidi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1FD8"/>
    <w:rPr>
      <w:rFonts w:eastAsiaTheme="minorEastAsia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A11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1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1F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503</Words>
  <Characters>3471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8</cp:revision>
  <dcterms:created xsi:type="dcterms:W3CDTF">2017-07-17T07:13:00Z</dcterms:created>
  <dcterms:modified xsi:type="dcterms:W3CDTF">2017-07-18T14:38:00Z</dcterms:modified>
</cp:coreProperties>
</file>