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FB" w:rsidRPr="00AB78B7" w:rsidRDefault="007463FB" w:rsidP="007463FB">
      <w:pPr>
        <w:suppressAutoHyphens/>
        <w:overflowPunct w:val="0"/>
        <w:autoSpaceDE w:val="0"/>
        <w:spacing w:after="0" w:line="240" w:lineRule="auto"/>
        <w:jc w:val="right"/>
        <w:rPr>
          <w:rFonts w:ascii="Times New Roman" w:hAnsi="Times New Roman"/>
          <w:i/>
          <w:color w:val="3366FF"/>
          <w:lang w:eastAsia="ar-SA"/>
        </w:rPr>
      </w:pPr>
      <w:r w:rsidRPr="00AB78B7">
        <w:rPr>
          <w:rFonts w:ascii="Times New Roman" w:hAnsi="Times New Roman"/>
          <w:i/>
          <w:color w:val="3366FF"/>
          <w:lang w:eastAsia="ar-SA"/>
        </w:rPr>
        <w:t>A határozati javaslat elfogadásához</w:t>
      </w:r>
    </w:p>
    <w:p w:rsidR="007463FB" w:rsidRPr="00AB78B7" w:rsidRDefault="003C7384" w:rsidP="007463FB">
      <w:pPr>
        <w:suppressAutoHyphens/>
        <w:overflowPunct w:val="0"/>
        <w:autoSpaceDE w:val="0"/>
        <w:spacing w:after="0" w:line="240" w:lineRule="auto"/>
        <w:jc w:val="right"/>
        <w:rPr>
          <w:rFonts w:ascii="Times New Roman" w:hAnsi="Times New Roman"/>
          <w:i/>
          <w:color w:val="3366FF"/>
          <w:lang w:eastAsia="ar-SA"/>
        </w:rPr>
      </w:pPr>
      <w:proofErr w:type="gramStart"/>
      <w:r>
        <w:rPr>
          <w:rFonts w:ascii="Times New Roman" w:hAnsi="Times New Roman"/>
          <w:b/>
          <w:i/>
          <w:color w:val="3366FF"/>
          <w:u w:val="single"/>
          <w:lang w:eastAsia="ar-SA"/>
        </w:rPr>
        <w:t>egyszerű</w:t>
      </w:r>
      <w:proofErr w:type="gramEnd"/>
      <w:r w:rsidR="007463FB" w:rsidRPr="00AB78B7">
        <w:rPr>
          <w:rFonts w:ascii="Times New Roman" w:hAnsi="Times New Roman"/>
          <w:b/>
          <w:i/>
          <w:color w:val="3366FF"/>
          <w:u w:val="single"/>
          <w:lang w:eastAsia="ar-SA"/>
        </w:rPr>
        <w:t xml:space="preserve"> </w:t>
      </w:r>
      <w:r w:rsidR="007463FB" w:rsidRPr="00AB78B7">
        <w:rPr>
          <w:rFonts w:ascii="Times New Roman" w:hAnsi="Times New Roman"/>
          <w:i/>
          <w:color w:val="3366FF"/>
          <w:lang w:eastAsia="ar-SA"/>
        </w:rPr>
        <w:t xml:space="preserve"> többség szükséges,</w:t>
      </w:r>
    </w:p>
    <w:p w:rsidR="007463FB" w:rsidRDefault="007463FB" w:rsidP="007463FB">
      <w:pPr>
        <w:suppressAutoHyphens/>
        <w:overflowPunct w:val="0"/>
        <w:autoSpaceDE w:val="0"/>
        <w:spacing w:after="0" w:line="240" w:lineRule="auto"/>
        <w:jc w:val="right"/>
        <w:rPr>
          <w:rFonts w:ascii="Times New Roman" w:hAnsi="Times New Roman"/>
          <w:i/>
          <w:color w:val="3366FF"/>
          <w:lang w:eastAsia="ar-SA"/>
        </w:rPr>
      </w:pPr>
      <w:proofErr w:type="gramStart"/>
      <w:r w:rsidRPr="00AB78B7">
        <w:rPr>
          <w:rFonts w:ascii="Times New Roman" w:hAnsi="Times New Roman"/>
          <w:i/>
          <w:color w:val="3366FF"/>
          <w:lang w:eastAsia="ar-SA"/>
        </w:rPr>
        <w:t>az</w:t>
      </w:r>
      <w:proofErr w:type="gramEnd"/>
      <w:r w:rsidRPr="00AB78B7">
        <w:rPr>
          <w:rFonts w:ascii="Times New Roman" w:hAnsi="Times New Roman"/>
          <w:i/>
          <w:color w:val="3366FF"/>
          <w:lang w:eastAsia="ar-SA"/>
        </w:rPr>
        <w:t xml:space="preserve"> előterjesztés </w:t>
      </w:r>
      <w:r w:rsidRPr="00AB78B7">
        <w:rPr>
          <w:rFonts w:ascii="Times New Roman" w:hAnsi="Times New Roman"/>
          <w:b/>
          <w:i/>
          <w:color w:val="3366FF"/>
          <w:u w:val="single"/>
          <w:lang w:eastAsia="ar-SA"/>
        </w:rPr>
        <w:t>nyilvános ülésen tárgyalható</w:t>
      </w:r>
      <w:r w:rsidRPr="00AB78B7">
        <w:rPr>
          <w:rFonts w:ascii="Times New Roman" w:hAnsi="Times New Roman"/>
          <w:i/>
          <w:color w:val="3366FF"/>
          <w:lang w:eastAsia="ar-SA"/>
        </w:rPr>
        <w:t>!</w:t>
      </w:r>
    </w:p>
    <w:p w:rsidR="007463FB" w:rsidRDefault="007463FB" w:rsidP="007463FB">
      <w:pPr>
        <w:suppressAutoHyphens/>
        <w:overflowPunct w:val="0"/>
        <w:autoSpaceDE w:val="0"/>
        <w:spacing w:after="0" w:line="240" w:lineRule="auto"/>
        <w:jc w:val="both"/>
        <w:rPr>
          <w:rFonts w:ascii="Times New Roman" w:hAnsi="Times New Roman"/>
          <w:b/>
          <w:color w:val="3366FF"/>
          <w:sz w:val="24"/>
          <w:szCs w:val="24"/>
          <w:lang w:eastAsia="ar-SA"/>
        </w:rPr>
      </w:pPr>
    </w:p>
    <w:p w:rsidR="007463FB" w:rsidRDefault="00E61A5F" w:rsidP="007463FB">
      <w:pPr>
        <w:suppressAutoHyphens/>
        <w:overflowPunct w:val="0"/>
        <w:autoSpaceDE w:val="0"/>
        <w:spacing w:after="0" w:line="240" w:lineRule="auto"/>
        <w:jc w:val="center"/>
        <w:rPr>
          <w:rFonts w:ascii="Arial" w:hAnsi="Arial" w:cs="Arial"/>
          <w:i/>
          <w:color w:val="3366FF"/>
          <w:sz w:val="32"/>
          <w:szCs w:val="32"/>
          <w:u w:val="single"/>
          <w:lang w:eastAsia="ar-SA"/>
        </w:rPr>
      </w:pPr>
      <w:r>
        <w:rPr>
          <w:rFonts w:ascii="Arial" w:hAnsi="Arial" w:cs="Arial"/>
          <w:i/>
          <w:color w:val="3366FF"/>
          <w:sz w:val="32"/>
          <w:szCs w:val="32"/>
          <w:u w:val="single"/>
          <w:lang w:eastAsia="ar-SA"/>
        </w:rPr>
        <w:t>247</w:t>
      </w:r>
      <w:r w:rsidR="007463FB">
        <w:rPr>
          <w:rFonts w:ascii="Arial" w:hAnsi="Arial" w:cs="Arial"/>
          <w:i/>
          <w:color w:val="3366FF"/>
          <w:sz w:val="32"/>
          <w:szCs w:val="32"/>
          <w:u w:val="single"/>
          <w:lang w:eastAsia="ar-SA"/>
        </w:rPr>
        <w:t>. számú előterjesztés</w:t>
      </w:r>
    </w:p>
    <w:p w:rsidR="007463FB" w:rsidRDefault="007463FB" w:rsidP="007463FB">
      <w:pPr>
        <w:suppressAutoHyphens/>
        <w:overflowPunct w:val="0"/>
        <w:autoSpaceDE w:val="0"/>
        <w:spacing w:after="0" w:line="240" w:lineRule="auto"/>
        <w:jc w:val="center"/>
        <w:rPr>
          <w:rFonts w:ascii="Arial" w:hAnsi="Arial" w:cs="Arial"/>
          <w:i/>
          <w:iCs/>
          <w:color w:val="3366FF"/>
          <w:sz w:val="24"/>
          <w:szCs w:val="24"/>
          <w:u w:val="single"/>
          <w:lang w:eastAsia="ar-SA"/>
        </w:rPr>
      </w:pPr>
    </w:p>
    <w:p w:rsidR="007463FB" w:rsidRDefault="007463FB" w:rsidP="007463FB">
      <w:pPr>
        <w:suppressAutoHyphens/>
        <w:overflowPunct w:val="0"/>
        <w:autoSpaceDE w:val="0"/>
        <w:spacing w:after="0" w:line="240" w:lineRule="auto"/>
        <w:jc w:val="center"/>
        <w:rPr>
          <w:rFonts w:ascii="Arial" w:hAnsi="Arial" w:cs="Arial"/>
          <w:color w:val="3366FF"/>
          <w:lang w:eastAsia="ar-SA"/>
        </w:rPr>
      </w:pPr>
      <w:r>
        <w:rPr>
          <w:rFonts w:ascii="Arial" w:hAnsi="Arial" w:cs="Arial"/>
          <w:color w:val="3366FF"/>
          <w:lang w:eastAsia="ar-SA"/>
        </w:rPr>
        <w:t>Bátaszék Város Önkormányzata Képv</w:t>
      </w:r>
      <w:r w:rsidR="00F801A7">
        <w:rPr>
          <w:rFonts w:ascii="Arial" w:hAnsi="Arial" w:cs="Arial"/>
          <w:color w:val="3366FF"/>
          <w:lang w:eastAsia="ar-SA"/>
        </w:rPr>
        <w:t>iselő-testületének 2017. november 29-é</w:t>
      </w:r>
      <w:r>
        <w:rPr>
          <w:rFonts w:ascii="Arial" w:hAnsi="Arial" w:cs="Arial"/>
          <w:color w:val="3366FF"/>
          <w:lang w:eastAsia="ar-SA"/>
        </w:rPr>
        <w:t xml:space="preserve">n, </w:t>
      </w:r>
    </w:p>
    <w:p w:rsidR="007463FB" w:rsidRDefault="007463FB" w:rsidP="007463FB">
      <w:pPr>
        <w:suppressAutoHyphens/>
        <w:overflowPunct w:val="0"/>
        <w:autoSpaceDE w:val="0"/>
        <w:spacing w:before="120" w:after="0" w:line="240" w:lineRule="auto"/>
        <w:jc w:val="center"/>
        <w:rPr>
          <w:rFonts w:ascii="Arial" w:hAnsi="Arial" w:cs="Arial"/>
          <w:color w:val="3366FF"/>
          <w:lang w:eastAsia="ar-SA"/>
        </w:rPr>
      </w:pPr>
      <w:r>
        <w:rPr>
          <w:rFonts w:ascii="Arial" w:hAnsi="Arial" w:cs="Arial"/>
          <w:color w:val="3366FF"/>
          <w:lang w:eastAsia="ar-SA"/>
        </w:rPr>
        <w:t>16,00 órakor megtartandó ülésére</w:t>
      </w:r>
    </w:p>
    <w:p w:rsidR="007463FB" w:rsidRDefault="00CC104F" w:rsidP="007463FB">
      <w:pPr>
        <w:tabs>
          <w:tab w:val="left" w:pos="567"/>
        </w:tabs>
        <w:spacing w:before="240"/>
        <w:jc w:val="center"/>
        <w:rPr>
          <w:rFonts w:ascii="Arial" w:hAnsi="Arial" w:cs="Arial"/>
          <w:i/>
          <w:color w:val="3366FF"/>
          <w:sz w:val="32"/>
          <w:szCs w:val="32"/>
          <w:u w:val="single"/>
        </w:rPr>
      </w:pPr>
      <w:r>
        <w:rPr>
          <w:rFonts w:ascii="Arial" w:hAnsi="Arial" w:cs="Arial"/>
          <w:i/>
          <w:color w:val="3366FF"/>
          <w:sz w:val="32"/>
          <w:szCs w:val="32"/>
          <w:u w:val="single"/>
        </w:rPr>
        <w:t xml:space="preserve">A </w:t>
      </w:r>
      <w:r w:rsidRPr="00CC104F">
        <w:rPr>
          <w:rFonts w:ascii="Arial" w:hAnsi="Arial" w:cs="Arial"/>
          <w:i/>
          <w:color w:val="3366FF"/>
          <w:sz w:val="32"/>
          <w:szCs w:val="32"/>
          <w:u w:val="single"/>
        </w:rPr>
        <w:t>TOP-1.1.1-15-TL1-2016-00002 azonosító számú</w:t>
      </w:r>
      <w:r>
        <w:rPr>
          <w:rFonts w:ascii="Arial" w:hAnsi="Arial" w:cs="Arial"/>
          <w:i/>
          <w:color w:val="3366FF"/>
          <w:sz w:val="32"/>
          <w:szCs w:val="32"/>
          <w:u w:val="single"/>
        </w:rPr>
        <w:t xml:space="preserve">, </w:t>
      </w:r>
      <w:r w:rsidRPr="00CC104F">
        <w:rPr>
          <w:rFonts w:ascii="Arial" w:hAnsi="Arial" w:cs="Arial"/>
          <w:i/>
          <w:color w:val="3366FF"/>
          <w:sz w:val="32"/>
          <w:szCs w:val="32"/>
          <w:u w:val="single"/>
        </w:rPr>
        <w:t>„Iparterület fejlesztése Bátaszéken” című</w:t>
      </w:r>
      <w:r>
        <w:rPr>
          <w:rFonts w:ascii="Arial" w:hAnsi="Arial" w:cs="Arial"/>
          <w:i/>
          <w:color w:val="3366FF"/>
          <w:sz w:val="32"/>
          <w:szCs w:val="32"/>
          <w:u w:val="single"/>
        </w:rPr>
        <w:t xml:space="preserve"> támogatási kérelem Támogatási Szerződésének módosítása</w:t>
      </w:r>
    </w:p>
    <w:p w:rsidR="007463FB" w:rsidRDefault="007463FB" w:rsidP="007463FB">
      <w:pPr>
        <w:tabs>
          <w:tab w:val="left" w:pos="567"/>
          <w:tab w:val="left" w:pos="6237"/>
        </w:tabs>
        <w:suppressAutoHyphens/>
        <w:overflowPunct w:val="0"/>
        <w:autoSpaceDE w:val="0"/>
        <w:spacing w:after="0" w:line="240" w:lineRule="auto"/>
        <w:ind w:left="3119"/>
        <w:jc w:val="both"/>
        <w:rPr>
          <w:rFonts w:ascii="Arial"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7463FB" w:rsidTr="005823BE">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7463FB" w:rsidRDefault="007463FB" w:rsidP="005823BE">
            <w:pPr>
              <w:tabs>
                <w:tab w:val="left" w:pos="1843"/>
              </w:tabs>
              <w:suppressAutoHyphens/>
              <w:overflowPunct w:val="0"/>
              <w:autoSpaceDE w:val="0"/>
              <w:snapToGrid w:val="0"/>
              <w:spacing w:after="0"/>
              <w:jc w:val="both"/>
              <w:rPr>
                <w:rFonts w:ascii="Arial" w:hAnsi="Arial" w:cs="Arial"/>
                <w:b/>
                <w:color w:val="3366FF"/>
                <w:sz w:val="24"/>
                <w:u w:val="single"/>
                <w:lang w:eastAsia="ar-SA"/>
              </w:rPr>
            </w:pPr>
          </w:p>
          <w:p w:rsidR="00CC104F" w:rsidRPr="004F710E" w:rsidRDefault="00CC104F" w:rsidP="00CC104F">
            <w:pPr>
              <w:tabs>
                <w:tab w:val="left" w:pos="1843"/>
              </w:tabs>
              <w:suppressAutoHyphens/>
              <w:overflowPunct w:val="0"/>
              <w:autoSpaceDE w:val="0"/>
              <w:spacing w:after="0"/>
              <w:jc w:val="both"/>
              <w:rPr>
                <w:rFonts w:ascii="Arial" w:hAnsi="Arial" w:cs="Arial"/>
                <w:color w:val="3366FF"/>
                <w:u w:val="single"/>
                <w:lang w:eastAsia="ar-SA"/>
              </w:rPr>
            </w:pPr>
            <w:r>
              <w:rPr>
                <w:rFonts w:ascii="Arial" w:hAnsi="Arial" w:cs="Arial"/>
                <w:b/>
                <w:color w:val="3366FF"/>
                <w:u w:val="single"/>
                <w:lang w:eastAsia="ar-SA"/>
              </w:rPr>
              <w:t>Előterjesztő</w:t>
            </w:r>
            <w:r>
              <w:rPr>
                <w:rFonts w:ascii="Arial" w:hAnsi="Arial" w:cs="Arial"/>
                <w:b/>
                <w:color w:val="3366FF"/>
                <w:lang w:eastAsia="ar-SA"/>
              </w:rPr>
              <w:t xml:space="preserve">: </w:t>
            </w:r>
            <w:r w:rsidRPr="004F710E">
              <w:rPr>
                <w:rFonts w:ascii="Arial" w:hAnsi="Arial" w:cs="Arial"/>
                <w:color w:val="3366FF"/>
                <w:lang w:eastAsia="ar-SA"/>
              </w:rPr>
              <w:t>Dr. Bozsolik Róbert polgármester</w:t>
            </w:r>
          </w:p>
          <w:p w:rsidR="00CC104F" w:rsidRPr="00BF7FB7" w:rsidRDefault="00CC104F" w:rsidP="00CC104F">
            <w:pPr>
              <w:tabs>
                <w:tab w:val="left" w:pos="1843"/>
              </w:tabs>
              <w:suppressAutoHyphens/>
              <w:overflowPunct w:val="0"/>
              <w:autoSpaceDE w:val="0"/>
              <w:spacing w:after="0"/>
              <w:jc w:val="both"/>
              <w:rPr>
                <w:rFonts w:ascii="Arial" w:hAnsi="Arial" w:cs="Arial"/>
                <w:b/>
                <w:color w:val="3366FF"/>
                <w:u w:val="single"/>
                <w:lang w:eastAsia="ar-SA"/>
              </w:rPr>
            </w:pPr>
          </w:p>
          <w:p w:rsidR="00CC104F" w:rsidRPr="006B0467" w:rsidRDefault="00CC104F" w:rsidP="00CC104F">
            <w:pPr>
              <w:tabs>
                <w:tab w:val="left" w:pos="1843"/>
              </w:tabs>
              <w:suppressAutoHyphens/>
              <w:overflowPunct w:val="0"/>
              <w:autoSpaceDE w:val="0"/>
              <w:spacing w:after="0"/>
              <w:jc w:val="both"/>
              <w:rPr>
                <w:rFonts w:ascii="Arial" w:hAnsi="Arial" w:cs="Arial"/>
                <w:b/>
                <w:color w:val="3366FF"/>
                <w:u w:val="single"/>
                <w:lang w:eastAsia="ar-SA"/>
              </w:rPr>
            </w:pPr>
            <w:r w:rsidRPr="00BF7FB7">
              <w:rPr>
                <w:rFonts w:ascii="Arial" w:hAnsi="Arial" w:cs="Arial"/>
                <w:b/>
                <w:color w:val="3366FF"/>
                <w:u w:val="single"/>
                <w:lang w:eastAsia="ar-SA"/>
              </w:rPr>
              <w:t>Készítette</w:t>
            </w:r>
            <w:r w:rsidRPr="00BF7FB7">
              <w:rPr>
                <w:rFonts w:ascii="Arial" w:hAnsi="Arial" w:cs="Arial"/>
                <w:b/>
                <w:color w:val="3366FF"/>
                <w:lang w:eastAsia="ar-SA"/>
              </w:rPr>
              <w:t>:</w:t>
            </w:r>
            <w:r>
              <w:rPr>
                <w:rFonts w:ascii="Arial" w:hAnsi="Arial" w:cs="Arial"/>
                <w:b/>
                <w:color w:val="3366FF"/>
                <w:lang w:eastAsia="ar-SA"/>
              </w:rPr>
              <w:t xml:space="preserve"> </w:t>
            </w:r>
            <w:r w:rsidRPr="0047446F">
              <w:rPr>
                <w:rFonts w:ascii="Arial" w:hAnsi="Arial" w:cs="Arial"/>
                <w:color w:val="3366FF"/>
              </w:rPr>
              <w:t>Bozsolik Zoltán városüzemeltetési mb. irodavezető</w:t>
            </w:r>
          </w:p>
          <w:p w:rsidR="00CC104F" w:rsidRDefault="00CC104F" w:rsidP="00CC104F">
            <w:pPr>
              <w:tabs>
                <w:tab w:val="left" w:pos="1843"/>
              </w:tabs>
              <w:suppressAutoHyphens/>
              <w:overflowPunct w:val="0"/>
              <w:autoSpaceDE w:val="0"/>
              <w:spacing w:after="0"/>
              <w:jc w:val="both"/>
              <w:rPr>
                <w:rFonts w:ascii="Arial" w:hAnsi="Arial" w:cs="Arial"/>
                <w:b/>
                <w:color w:val="3366FF"/>
                <w:u w:val="single"/>
                <w:lang w:eastAsia="ar-SA"/>
              </w:rPr>
            </w:pPr>
          </w:p>
          <w:p w:rsidR="00CC104F" w:rsidRDefault="00CC104F" w:rsidP="00CC104F">
            <w:pPr>
              <w:tabs>
                <w:tab w:val="left" w:pos="1843"/>
              </w:tabs>
              <w:suppressAutoHyphens/>
              <w:overflowPunct w:val="0"/>
              <w:autoSpaceDE w:val="0"/>
              <w:spacing w:after="0"/>
              <w:jc w:val="both"/>
              <w:rPr>
                <w:rFonts w:ascii="Arial" w:hAnsi="Arial" w:cs="Arial"/>
                <w:bCs/>
                <w:color w:val="3366FF"/>
                <w:sz w:val="24"/>
                <w:lang w:eastAsia="ar-SA"/>
              </w:rPr>
            </w:pPr>
            <w:r>
              <w:rPr>
                <w:rFonts w:ascii="Arial" w:hAnsi="Arial" w:cs="Arial"/>
                <w:b/>
                <w:color w:val="3366FF"/>
                <w:u w:val="single"/>
                <w:lang w:eastAsia="ar-SA"/>
              </w:rPr>
              <w:t>Törvényességi ellenőrzést végezte</w:t>
            </w:r>
            <w:r>
              <w:rPr>
                <w:rFonts w:ascii="Arial" w:hAnsi="Arial" w:cs="Arial"/>
                <w:color w:val="3366FF"/>
                <w:u w:val="single"/>
                <w:lang w:eastAsia="ar-SA"/>
              </w:rPr>
              <w:t>:</w:t>
            </w:r>
            <w:r>
              <w:rPr>
                <w:rFonts w:ascii="Arial" w:hAnsi="Arial" w:cs="Arial"/>
                <w:color w:val="3366FF"/>
                <w:lang w:eastAsia="ar-SA"/>
              </w:rPr>
              <w:t xml:space="preserve"> Kondriczné dr. Varga Erzsébet jegyző</w:t>
            </w:r>
          </w:p>
          <w:p w:rsidR="00CC104F" w:rsidRDefault="00CC104F" w:rsidP="00CC104F">
            <w:pPr>
              <w:tabs>
                <w:tab w:val="left" w:pos="1843"/>
              </w:tabs>
              <w:suppressAutoHyphens/>
              <w:overflowPunct w:val="0"/>
              <w:autoSpaceDE w:val="0"/>
              <w:spacing w:after="0"/>
              <w:jc w:val="both"/>
              <w:rPr>
                <w:rFonts w:ascii="Arial" w:hAnsi="Arial" w:cs="Arial"/>
                <w:bCs/>
                <w:color w:val="3366FF"/>
                <w:sz w:val="24"/>
                <w:lang w:eastAsia="ar-SA"/>
              </w:rPr>
            </w:pPr>
            <w:r>
              <w:rPr>
                <w:rFonts w:ascii="Arial" w:hAnsi="Arial" w:cs="Arial"/>
                <w:bCs/>
                <w:color w:val="3366FF"/>
                <w:lang w:eastAsia="ar-SA"/>
              </w:rPr>
              <w:t xml:space="preserve">                                             </w:t>
            </w:r>
          </w:p>
          <w:p w:rsidR="00CC104F" w:rsidRDefault="00CC104F" w:rsidP="00CC104F">
            <w:pPr>
              <w:suppressAutoHyphens/>
              <w:overflowPunct w:val="0"/>
              <w:autoSpaceDE w:val="0"/>
              <w:spacing w:after="0"/>
              <w:jc w:val="both"/>
              <w:rPr>
                <w:rFonts w:ascii="Arial" w:hAnsi="Arial" w:cs="Arial"/>
                <w:b/>
                <w:color w:val="3366FF"/>
                <w:u w:val="single"/>
                <w:lang w:eastAsia="ar-SA"/>
              </w:rPr>
            </w:pPr>
            <w:r>
              <w:rPr>
                <w:rFonts w:ascii="Arial" w:hAnsi="Arial" w:cs="Arial"/>
                <w:b/>
                <w:color w:val="3366FF"/>
                <w:u w:val="single"/>
                <w:lang w:eastAsia="ar-SA"/>
              </w:rPr>
              <w:t>Tárgyalja:</w:t>
            </w:r>
          </w:p>
          <w:p w:rsidR="007463FB" w:rsidRDefault="00CC104F" w:rsidP="00CC104F">
            <w:pPr>
              <w:suppressAutoHyphens/>
              <w:overflowPunct w:val="0"/>
              <w:autoSpaceDE w:val="0"/>
              <w:spacing w:after="0"/>
              <w:jc w:val="both"/>
              <w:rPr>
                <w:rFonts w:ascii="Arial" w:hAnsi="Arial" w:cs="Arial"/>
                <w:color w:val="3366FF"/>
                <w:sz w:val="24"/>
                <w:lang w:eastAsia="ar-SA"/>
              </w:rPr>
            </w:pPr>
            <w:r>
              <w:rPr>
                <w:rFonts w:ascii="Arial" w:hAnsi="Arial" w:cs="Arial"/>
                <w:color w:val="3366FF"/>
                <w:lang w:eastAsia="ar-SA"/>
              </w:rPr>
              <w:t>PG Bizottság</w:t>
            </w:r>
            <w:r w:rsidRPr="00CC104F">
              <w:rPr>
                <w:rFonts w:ascii="Arial" w:hAnsi="Arial" w:cs="Arial"/>
                <w:color w:val="3366FF"/>
                <w:lang w:eastAsia="ar-SA"/>
              </w:rPr>
              <w:t>: 2017. 11. 28</w:t>
            </w:r>
            <w:r>
              <w:rPr>
                <w:rFonts w:ascii="Arial" w:hAnsi="Arial" w:cs="Arial"/>
                <w:color w:val="3366FF"/>
                <w:lang w:eastAsia="ar-SA"/>
              </w:rPr>
              <w:t>.</w:t>
            </w:r>
          </w:p>
        </w:tc>
      </w:tr>
    </w:tbl>
    <w:p w:rsidR="007463FB" w:rsidRDefault="007463FB" w:rsidP="007463FB"/>
    <w:p w:rsidR="007463FB" w:rsidRDefault="007463FB" w:rsidP="007463FB">
      <w:pPr>
        <w:rPr>
          <w:rFonts w:ascii="Arial" w:hAnsi="Arial" w:cs="Arial"/>
          <w:b/>
          <w:sz w:val="24"/>
          <w:szCs w:val="24"/>
        </w:rPr>
      </w:pPr>
      <w:r>
        <w:rPr>
          <w:rFonts w:ascii="Arial" w:hAnsi="Arial" w:cs="Arial"/>
          <w:b/>
          <w:sz w:val="24"/>
          <w:szCs w:val="24"/>
        </w:rPr>
        <w:t>Tisztelt Képviselő-testület!</w:t>
      </w:r>
    </w:p>
    <w:p w:rsidR="00CC104F" w:rsidRDefault="00CC104F" w:rsidP="00CC104F">
      <w:pPr>
        <w:suppressAutoHyphens/>
        <w:overflowPunct w:val="0"/>
        <w:autoSpaceDE w:val="0"/>
        <w:spacing w:after="0" w:line="240" w:lineRule="auto"/>
        <w:contextualSpacing/>
        <w:jc w:val="both"/>
        <w:textAlignment w:val="baseline"/>
        <w:rPr>
          <w:rFonts w:ascii="Arial" w:hAnsi="Arial" w:cs="Arial"/>
          <w:bCs/>
          <w:color w:val="000000" w:themeColor="text1"/>
        </w:rPr>
      </w:pPr>
    </w:p>
    <w:p w:rsidR="00CC104F" w:rsidRPr="00481D18" w:rsidRDefault="00CC104F" w:rsidP="00CC104F">
      <w:pPr>
        <w:pStyle w:val="Listaszerbekezds"/>
        <w:overflowPunct w:val="0"/>
        <w:autoSpaceDE w:val="0"/>
        <w:ind w:left="0"/>
        <w:jc w:val="both"/>
        <w:textAlignment w:val="baseline"/>
        <w:rPr>
          <w:rFonts w:ascii="Arial" w:hAnsi="Arial" w:cs="Arial"/>
          <w:bCs/>
          <w:color w:val="000000"/>
          <w:sz w:val="22"/>
          <w:szCs w:val="22"/>
        </w:rPr>
      </w:pPr>
      <w:r w:rsidRPr="00481D18">
        <w:rPr>
          <w:rFonts w:ascii="Arial" w:hAnsi="Arial" w:cs="Arial"/>
          <w:bCs/>
          <w:color w:val="000000"/>
          <w:sz w:val="22"/>
          <w:szCs w:val="22"/>
        </w:rPr>
        <w:t>Az „</w:t>
      </w:r>
      <w:r w:rsidRPr="00481D18">
        <w:rPr>
          <w:rFonts w:ascii="Arial" w:hAnsi="Arial" w:cs="Arial"/>
          <w:sz w:val="22"/>
          <w:szCs w:val="22"/>
        </w:rPr>
        <w:t>Iparterület fejlesztése Bátaszéken</w:t>
      </w:r>
      <w:r w:rsidRPr="00481D18">
        <w:rPr>
          <w:rFonts w:ascii="Arial" w:hAnsi="Arial" w:cs="Arial"/>
          <w:bCs/>
          <w:color w:val="000000"/>
          <w:sz w:val="22"/>
          <w:szCs w:val="22"/>
        </w:rPr>
        <w:t xml:space="preserve">” című és </w:t>
      </w:r>
      <w:r w:rsidRPr="00481D18">
        <w:rPr>
          <w:rFonts w:ascii="Arial" w:hAnsi="Arial" w:cs="Arial"/>
          <w:sz w:val="22"/>
          <w:szCs w:val="22"/>
        </w:rPr>
        <w:t>TOP-1.1.1-15-TL1-2016-00002</w:t>
      </w:r>
      <w:r w:rsidRPr="00481D18">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CC104F" w:rsidRPr="00481D18" w:rsidRDefault="00CC104F" w:rsidP="00CC104F">
      <w:pPr>
        <w:pStyle w:val="Listaszerbekezds"/>
        <w:overflowPunct w:val="0"/>
        <w:autoSpaceDE w:val="0"/>
        <w:ind w:left="0"/>
        <w:jc w:val="both"/>
        <w:textAlignment w:val="baseline"/>
        <w:rPr>
          <w:rFonts w:ascii="Arial" w:hAnsi="Arial" w:cs="Arial"/>
          <w:color w:val="000000"/>
          <w:sz w:val="22"/>
          <w:szCs w:val="22"/>
        </w:rPr>
      </w:pPr>
    </w:p>
    <w:p w:rsidR="00CC104F" w:rsidRPr="00481D18" w:rsidRDefault="00CC104F" w:rsidP="00CC104F">
      <w:pPr>
        <w:suppressAutoHyphens/>
        <w:overflowPunct w:val="0"/>
        <w:autoSpaceDE w:val="0"/>
        <w:spacing w:after="0" w:line="240" w:lineRule="auto"/>
        <w:contextualSpacing/>
        <w:jc w:val="both"/>
        <w:textAlignment w:val="baseline"/>
        <w:rPr>
          <w:rFonts w:ascii="Arial" w:hAnsi="Arial" w:cs="Arial"/>
          <w:bCs/>
          <w:color w:val="000000" w:themeColor="text1"/>
        </w:rPr>
      </w:pPr>
      <w:r w:rsidRPr="00481D18">
        <w:rPr>
          <w:rFonts w:ascii="Arial" w:hAnsi="Arial" w:cs="Arial"/>
          <w:color w:val="000000"/>
        </w:rPr>
        <w:t>A Projekt megvalósítási időszakának kezdő időpontja 2017.10.01.</w:t>
      </w:r>
    </w:p>
    <w:p w:rsidR="00CC104F" w:rsidRPr="00481D18" w:rsidRDefault="00CC104F" w:rsidP="00CC104F">
      <w:pPr>
        <w:suppressAutoHyphens/>
        <w:overflowPunct w:val="0"/>
        <w:autoSpaceDE w:val="0"/>
        <w:spacing w:after="0" w:line="240" w:lineRule="auto"/>
        <w:contextualSpacing/>
        <w:jc w:val="both"/>
        <w:textAlignment w:val="baseline"/>
        <w:rPr>
          <w:rFonts w:ascii="Arial" w:hAnsi="Arial" w:cs="Arial"/>
          <w:bCs/>
          <w:color w:val="000000" w:themeColor="text1"/>
        </w:rPr>
      </w:pPr>
    </w:p>
    <w:p w:rsidR="00CC104F" w:rsidRPr="00481D18" w:rsidRDefault="00CC104F" w:rsidP="00CC104F">
      <w:pPr>
        <w:spacing w:after="0" w:line="240" w:lineRule="auto"/>
        <w:jc w:val="both"/>
        <w:rPr>
          <w:rFonts w:ascii="Arial" w:hAnsi="Arial" w:cs="Arial"/>
          <w:lang w:eastAsia="ar-SA"/>
        </w:rPr>
      </w:pPr>
      <w:r w:rsidRPr="00481D18">
        <w:rPr>
          <w:rFonts w:ascii="Arial" w:hAnsi="Arial" w:cs="Arial"/>
          <w:lang w:eastAsia="ar-SA"/>
        </w:rPr>
        <w:t>Javasoljuk a Támogatási Szerződés módosítását - tartalékkeretből történő átcsoportosítás kezdeményezését -, mivel a kivitelezési munkákra beérkezett ajánlatok mindegyike magasabb összegű, mint a rendelkezésre álló keretösszeg.</w:t>
      </w:r>
    </w:p>
    <w:p w:rsidR="00CC104F" w:rsidRPr="00481D18" w:rsidRDefault="00CC104F" w:rsidP="00CC104F">
      <w:pPr>
        <w:spacing w:after="0" w:line="240" w:lineRule="auto"/>
        <w:rPr>
          <w:rFonts w:ascii="Arial" w:hAnsi="Arial" w:cs="Arial"/>
          <w:lang w:eastAsia="ar-SA"/>
        </w:rPr>
      </w:pP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w:t>
      </w:r>
      <w:r w:rsidRPr="008227F4">
        <w:rPr>
          <w:rFonts w:ascii="Arial" w:hAnsi="Arial" w:cs="Arial"/>
          <w:lang w:eastAsia="ar-SA"/>
        </w:rPr>
        <w:tab/>
        <w:t>Közúti Építő és Szolgáltató Kft. (7100 Szekszárd, Holdfény utca 3.)</w:t>
      </w: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ab/>
        <w:t>254.390.806,</w:t>
      </w:r>
      <w:proofErr w:type="spellStart"/>
      <w:r w:rsidRPr="008227F4">
        <w:rPr>
          <w:rFonts w:ascii="Arial" w:hAnsi="Arial" w:cs="Arial"/>
          <w:lang w:eastAsia="ar-SA"/>
        </w:rPr>
        <w:t>-Ft</w:t>
      </w:r>
      <w:proofErr w:type="spellEnd"/>
    </w:p>
    <w:p w:rsidR="000E4358" w:rsidRPr="008227F4" w:rsidRDefault="000E4358" w:rsidP="000E4358">
      <w:pPr>
        <w:spacing w:after="0" w:line="240" w:lineRule="auto"/>
        <w:rPr>
          <w:rFonts w:ascii="Arial" w:hAnsi="Arial" w:cs="Arial"/>
          <w:lang w:eastAsia="ar-SA"/>
        </w:rPr>
      </w:pP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w:t>
      </w:r>
      <w:r w:rsidRPr="008227F4">
        <w:rPr>
          <w:rFonts w:ascii="Arial" w:hAnsi="Arial" w:cs="Arial"/>
          <w:lang w:eastAsia="ar-SA"/>
        </w:rPr>
        <w:tab/>
      </w:r>
      <w:proofErr w:type="spellStart"/>
      <w:r w:rsidRPr="008227F4">
        <w:rPr>
          <w:rFonts w:ascii="Arial" w:hAnsi="Arial" w:cs="Arial"/>
          <w:lang w:eastAsia="ar-SA"/>
        </w:rPr>
        <w:t>Alisca</w:t>
      </w:r>
      <w:proofErr w:type="spellEnd"/>
      <w:r w:rsidRPr="008227F4">
        <w:rPr>
          <w:rFonts w:ascii="Arial" w:hAnsi="Arial" w:cs="Arial"/>
          <w:lang w:eastAsia="ar-SA"/>
        </w:rPr>
        <w:t xml:space="preserve"> </w:t>
      </w:r>
      <w:proofErr w:type="spellStart"/>
      <w:r w:rsidRPr="008227F4">
        <w:rPr>
          <w:rFonts w:ascii="Arial" w:hAnsi="Arial" w:cs="Arial"/>
          <w:lang w:eastAsia="ar-SA"/>
        </w:rPr>
        <w:t>Bau</w:t>
      </w:r>
      <w:proofErr w:type="spellEnd"/>
      <w:r w:rsidRPr="008227F4">
        <w:rPr>
          <w:rFonts w:ascii="Arial" w:hAnsi="Arial" w:cs="Arial"/>
          <w:lang w:eastAsia="ar-SA"/>
        </w:rPr>
        <w:t xml:space="preserve"> Építőipari </w:t>
      </w:r>
      <w:proofErr w:type="spellStart"/>
      <w:r w:rsidRPr="008227F4">
        <w:rPr>
          <w:rFonts w:ascii="Arial" w:hAnsi="Arial" w:cs="Arial"/>
          <w:lang w:eastAsia="ar-SA"/>
        </w:rPr>
        <w:t>Zrt</w:t>
      </w:r>
      <w:proofErr w:type="spellEnd"/>
      <w:r w:rsidRPr="008227F4">
        <w:rPr>
          <w:rFonts w:ascii="Arial" w:hAnsi="Arial" w:cs="Arial"/>
          <w:lang w:eastAsia="ar-SA"/>
        </w:rPr>
        <w:t>. (7140 Bátaszék, Bonyhádi u. 30.)</w:t>
      </w: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ab/>
        <w:t>246.375.667,</w:t>
      </w:r>
      <w:proofErr w:type="spellStart"/>
      <w:r w:rsidRPr="008227F4">
        <w:rPr>
          <w:rFonts w:ascii="Arial" w:hAnsi="Arial" w:cs="Arial"/>
          <w:lang w:eastAsia="ar-SA"/>
        </w:rPr>
        <w:t>-Ft</w:t>
      </w:r>
      <w:proofErr w:type="spellEnd"/>
    </w:p>
    <w:p w:rsidR="000E4358" w:rsidRPr="008227F4" w:rsidRDefault="000E4358" w:rsidP="000E4358">
      <w:pPr>
        <w:spacing w:after="0" w:line="240" w:lineRule="auto"/>
        <w:rPr>
          <w:rFonts w:ascii="Arial" w:hAnsi="Arial" w:cs="Arial"/>
          <w:lang w:eastAsia="ar-SA"/>
        </w:rPr>
      </w:pP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w:t>
      </w:r>
      <w:r w:rsidRPr="008227F4">
        <w:rPr>
          <w:rFonts w:ascii="Arial" w:hAnsi="Arial" w:cs="Arial"/>
          <w:lang w:eastAsia="ar-SA"/>
        </w:rPr>
        <w:tab/>
        <w:t xml:space="preserve">Konstruktor Építő Szolgáltató és Kereskedelmi Kft. </w:t>
      </w:r>
      <w:bookmarkStart w:id="0" w:name="_GoBack"/>
      <w:bookmarkEnd w:id="0"/>
    </w:p>
    <w:p w:rsidR="000E4358" w:rsidRPr="008227F4" w:rsidRDefault="000E4358" w:rsidP="000E4358">
      <w:pPr>
        <w:spacing w:after="0" w:line="240" w:lineRule="auto"/>
        <w:ind w:left="709"/>
        <w:rPr>
          <w:rFonts w:ascii="Arial" w:hAnsi="Arial" w:cs="Arial"/>
          <w:lang w:eastAsia="ar-SA"/>
        </w:rPr>
      </w:pPr>
      <w:r w:rsidRPr="008227F4">
        <w:rPr>
          <w:rFonts w:ascii="Arial" w:hAnsi="Arial" w:cs="Arial"/>
          <w:lang w:eastAsia="ar-SA"/>
        </w:rPr>
        <w:t>(7100 Szekszárd, Csokonai u. 7.)</w:t>
      </w: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ab/>
        <w:t>246.823.855,</w:t>
      </w:r>
      <w:proofErr w:type="spellStart"/>
      <w:r w:rsidRPr="008227F4">
        <w:rPr>
          <w:rFonts w:ascii="Arial" w:hAnsi="Arial" w:cs="Arial"/>
          <w:lang w:eastAsia="ar-SA"/>
        </w:rPr>
        <w:t>-Ft</w:t>
      </w:r>
      <w:proofErr w:type="spellEnd"/>
      <w:r w:rsidRPr="008227F4">
        <w:rPr>
          <w:rFonts w:ascii="Arial" w:hAnsi="Arial" w:cs="Arial"/>
          <w:lang w:eastAsia="ar-SA"/>
        </w:rPr>
        <w:br w:type="page"/>
      </w: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lastRenderedPageBreak/>
        <w:t>-</w:t>
      </w:r>
      <w:r w:rsidRPr="008227F4">
        <w:rPr>
          <w:rFonts w:ascii="Arial" w:hAnsi="Arial" w:cs="Arial"/>
          <w:lang w:eastAsia="ar-SA"/>
        </w:rPr>
        <w:tab/>
      </w:r>
      <w:proofErr w:type="spellStart"/>
      <w:r w:rsidRPr="008227F4">
        <w:rPr>
          <w:rFonts w:ascii="Arial" w:hAnsi="Arial" w:cs="Arial"/>
          <w:lang w:eastAsia="ar-SA"/>
        </w:rPr>
        <w:t>Szabadics</w:t>
      </w:r>
      <w:proofErr w:type="spellEnd"/>
      <w:r w:rsidRPr="008227F4">
        <w:rPr>
          <w:rFonts w:ascii="Arial" w:hAnsi="Arial" w:cs="Arial"/>
          <w:lang w:eastAsia="ar-SA"/>
        </w:rPr>
        <w:t xml:space="preserve"> Közmű- és Mélyépítő Zrt. (8749 Zalakaros, Jegenye sor 3.)</w:t>
      </w:r>
    </w:p>
    <w:p w:rsidR="000E4358" w:rsidRPr="008227F4" w:rsidRDefault="000E4358" w:rsidP="000E4358">
      <w:pPr>
        <w:spacing w:after="0" w:line="240" w:lineRule="auto"/>
        <w:rPr>
          <w:rFonts w:ascii="Arial" w:hAnsi="Arial" w:cs="Arial"/>
          <w:lang w:eastAsia="ar-SA"/>
        </w:rPr>
      </w:pPr>
      <w:r w:rsidRPr="008227F4">
        <w:rPr>
          <w:rFonts w:ascii="Arial" w:hAnsi="Arial" w:cs="Arial"/>
          <w:lang w:eastAsia="ar-SA"/>
        </w:rPr>
        <w:tab/>
        <w:t>250.767.167,</w:t>
      </w:r>
      <w:proofErr w:type="spellStart"/>
      <w:r w:rsidRPr="008227F4">
        <w:rPr>
          <w:rFonts w:ascii="Arial" w:hAnsi="Arial" w:cs="Arial"/>
          <w:lang w:eastAsia="ar-SA"/>
        </w:rPr>
        <w:t>-Ft</w:t>
      </w:r>
      <w:proofErr w:type="spellEnd"/>
    </w:p>
    <w:p w:rsidR="000E4358" w:rsidRPr="008227F4" w:rsidRDefault="000E4358" w:rsidP="000E4358">
      <w:pPr>
        <w:spacing w:after="0" w:line="240" w:lineRule="auto"/>
        <w:rPr>
          <w:rFonts w:ascii="Arial" w:hAnsi="Arial" w:cs="Arial"/>
          <w:lang w:eastAsia="ar-SA"/>
        </w:rPr>
      </w:pPr>
    </w:p>
    <w:p w:rsidR="00CC104F" w:rsidRPr="008227F4" w:rsidRDefault="000E4358" w:rsidP="000E4358">
      <w:pPr>
        <w:spacing w:after="0" w:line="240" w:lineRule="auto"/>
        <w:rPr>
          <w:rFonts w:ascii="Arial" w:hAnsi="Arial" w:cs="Arial"/>
          <w:lang w:eastAsia="ar-SA"/>
        </w:rPr>
      </w:pPr>
      <w:r w:rsidRPr="008227F4">
        <w:rPr>
          <w:rFonts w:ascii="Arial" w:hAnsi="Arial" w:cs="Arial"/>
          <w:lang w:eastAsia="ar-SA"/>
        </w:rPr>
        <w:t>-</w:t>
      </w:r>
      <w:r w:rsidRPr="008227F4">
        <w:rPr>
          <w:rFonts w:ascii="Arial" w:hAnsi="Arial" w:cs="Arial"/>
          <w:lang w:eastAsia="ar-SA"/>
        </w:rPr>
        <w:tab/>
        <w:t>BERN Építő Zrt. (7800 Siklós, külterület 015/19 hrsz.)</w:t>
      </w:r>
    </w:p>
    <w:p w:rsidR="000E4358" w:rsidRPr="00481D18" w:rsidRDefault="000E4358" w:rsidP="000E4358">
      <w:pPr>
        <w:spacing w:after="0" w:line="240" w:lineRule="auto"/>
        <w:rPr>
          <w:rFonts w:ascii="Arial" w:hAnsi="Arial" w:cs="Arial"/>
          <w:lang w:eastAsia="ar-SA"/>
        </w:rPr>
      </w:pPr>
      <w:r w:rsidRPr="008227F4">
        <w:rPr>
          <w:rFonts w:ascii="Arial" w:hAnsi="Arial" w:cs="Arial"/>
          <w:lang w:eastAsia="ar-SA"/>
        </w:rPr>
        <w:tab/>
        <w:t>257.323.600,</w:t>
      </w:r>
      <w:proofErr w:type="spellStart"/>
      <w:r w:rsidRPr="008227F4">
        <w:rPr>
          <w:rFonts w:ascii="Arial" w:hAnsi="Arial" w:cs="Arial"/>
          <w:lang w:eastAsia="ar-SA"/>
        </w:rPr>
        <w:t>-Ft</w:t>
      </w:r>
      <w:proofErr w:type="spellEnd"/>
    </w:p>
    <w:p w:rsidR="000E4358" w:rsidRPr="00481D18" w:rsidRDefault="000E4358" w:rsidP="000E4358">
      <w:pPr>
        <w:spacing w:after="0" w:line="240" w:lineRule="auto"/>
        <w:rPr>
          <w:rFonts w:ascii="Arial" w:hAnsi="Arial" w:cs="Arial"/>
          <w:lang w:eastAsia="ar-SA"/>
        </w:rPr>
      </w:pPr>
    </w:p>
    <w:p w:rsidR="000E4358" w:rsidRPr="00481D18" w:rsidRDefault="000E4358" w:rsidP="000E4358">
      <w:pPr>
        <w:spacing w:after="0" w:line="240" w:lineRule="auto"/>
        <w:rPr>
          <w:rFonts w:ascii="Arial" w:hAnsi="Arial" w:cs="Arial"/>
          <w:lang w:eastAsia="ar-SA"/>
        </w:rPr>
      </w:pPr>
    </w:p>
    <w:p w:rsidR="00CC104F" w:rsidRPr="00481D18" w:rsidRDefault="00CC104F" w:rsidP="00CC104F">
      <w:pPr>
        <w:spacing w:after="0" w:line="240" w:lineRule="auto"/>
        <w:rPr>
          <w:rFonts w:ascii="Arial" w:hAnsi="Arial" w:cs="Arial"/>
          <w:u w:val="single"/>
          <w:lang w:eastAsia="ar-SA"/>
        </w:rPr>
      </w:pPr>
      <w:r w:rsidRPr="00481D18">
        <w:rPr>
          <w:rFonts w:ascii="Arial" w:hAnsi="Arial" w:cs="Arial"/>
          <w:u w:val="single"/>
          <w:lang w:eastAsia="ar-SA"/>
        </w:rPr>
        <w:t>Az ajánlatok formai és tartalmi értékelése még folyamatban van.</w:t>
      </w:r>
    </w:p>
    <w:p w:rsidR="00CC104F" w:rsidRPr="00481D18" w:rsidRDefault="00CC104F" w:rsidP="00CC104F">
      <w:pPr>
        <w:spacing w:after="0" w:line="240" w:lineRule="auto"/>
        <w:rPr>
          <w:rFonts w:ascii="Arial" w:hAnsi="Arial" w:cs="Arial"/>
          <w:lang w:eastAsia="ar-SA"/>
        </w:rPr>
      </w:pPr>
    </w:p>
    <w:p w:rsidR="00CC104F" w:rsidRPr="00481D18" w:rsidRDefault="00CC104F" w:rsidP="00CC104F">
      <w:pPr>
        <w:spacing w:after="0" w:line="240" w:lineRule="auto"/>
        <w:rPr>
          <w:rFonts w:ascii="Arial" w:hAnsi="Arial" w:cs="Arial"/>
          <w:lang w:eastAsia="ar-SA"/>
        </w:rPr>
      </w:pPr>
    </w:p>
    <w:p w:rsidR="00CC104F" w:rsidRPr="00481D18" w:rsidRDefault="00CC104F" w:rsidP="00CC104F">
      <w:pPr>
        <w:spacing w:after="0" w:line="240" w:lineRule="auto"/>
        <w:jc w:val="both"/>
        <w:rPr>
          <w:rFonts w:ascii="Arial" w:hAnsi="Arial" w:cs="Arial"/>
        </w:rPr>
      </w:pPr>
      <w:r w:rsidRPr="00481D18">
        <w:rPr>
          <w:rFonts w:ascii="Arial" w:hAnsi="Arial" w:cs="Arial"/>
        </w:rPr>
        <w:t>A legalacsonyabb ajánlati árat a</w:t>
      </w:r>
      <w:r w:rsidR="008957B1" w:rsidRPr="00481D18">
        <w:rPr>
          <w:rFonts w:ascii="Arial" w:hAnsi="Arial" w:cs="Arial"/>
        </w:rPr>
        <w:t>z</w:t>
      </w:r>
      <w:r w:rsidRPr="00481D18">
        <w:rPr>
          <w:rFonts w:ascii="Arial" w:hAnsi="Arial" w:cs="Arial"/>
        </w:rPr>
        <w:t xml:space="preserve"> </w:t>
      </w:r>
      <w:proofErr w:type="spellStart"/>
      <w:r w:rsidR="000E4358" w:rsidRPr="00481D18">
        <w:rPr>
          <w:rFonts w:ascii="Arial" w:hAnsi="Arial" w:cs="Arial"/>
        </w:rPr>
        <w:t>Alisca</w:t>
      </w:r>
      <w:proofErr w:type="spellEnd"/>
      <w:r w:rsidR="000E4358" w:rsidRPr="00481D18">
        <w:rPr>
          <w:rFonts w:ascii="Arial" w:hAnsi="Arial" w:cs="Arial"/>
        </w:rPr>
        <w:t xml:space="preserve"> </w:t>
      </w:r>
      <w:proofErr w:type="spellStart"/>
      <w:r w:rsidR="000E4358" w:rsidRPr="00481D18">
        <w:rPr>
          <w:rFonts w:ascii="Arial" w:hAnsi="Arial" w:cs="Arial"/>
        </w:rPr>
        <w:t>Bau</w:t>
      </w:r>
      <w:proofErr w:type="spellEnd"/>
      <w:r w:rsidR="000E4358" w:rsidRPr="00481D18">
        <w:rPr>
          <w:rFonts w:ascii="Arial" w:hAnsi="Arial" w:cs="Arial"/>
        </w:rPr>
        <w:t xml:space="preserve"> Építőipari </w:t>
      </w:r>
      <w:proofErr w:type="spellStart"/>
      <w:r w:rsidR="000E4358" w:rsidRPr="00481D18">
        <w:rPr>
          <w:rFonts w:ascii="Arial" w:hAnsi="Arial" w:cs="Arial"/>
        </w:rPr>
        <w:t>Zrt</w:t>
      </w:r>
      <w:proofErr w:type="spellEnd"/>
      <w:r w:rsidR="000E4358" w:rsidRPr="00481D18">
        <w:rPr>
          <w:rFonts w:ascii="Arial" w:hAnsi="Arial" w:cs="Arial"/>
        </w:rPr>
        <w:t xml:space="preserve">. </w:t>
      </w:r>
      <w:r w:rsidRPr="00481D18">
        <w:rPr>
          <w:rFonts w:ascii="Arial" w:hAnsi="Arial" w:cs="Arial"/>
        </w:rPr>
        <w:t xml:space="preserve">adta </w:t>
      </w:r>
      <w:r w:rsidR="000E4358" w:rsidRPr="00481D18">
        <w:rPr>
          <w:rFonts w:ascii="Arial" w:hAnsi="Arial" w:cs="Arial"/>
        </w:rPr>
        <w:t>ne</w:t>
      </w:r>
      <w:r w:rsidRPr="00481D18">
        <w:rPr>
          <w:rFonts w:ascii="Arial" w:hAnsi="Arial" w:cs="Arial"/>
        </w:rPr>
        <w:t xml:space="preserve">ttó </w:t>
      </w:r>
      <w:r w:rsidR="000E4358" w:rsidRPr="00481D18">
        <w:rPr>
          <w:rFonts w:ascii="Arial" w:hAnsi="Arial" w:cs="Arial"/>
        </w:rPr>
        <w:t>246.375.667</w:t>
      </w:r>
      <w:r w:rsidRPr="00481D18">
        <w:rPr>
          <w:rFonts w:ascii="Arial" w:hAnsi="Arial" w:cs="Arial"/>
        </w:rPr>
        <w:t>,</w:t>
      </w:r>
      <w:proofErr w:type="spellStart"/>
      <w:r w:rsidRPr="00481D18">
        <w:rPr>
          <w:rFonts w:ascii="Arial" w:hAnsi="Arial" w:cs="Arial"/>
        </w:rPr>
        <w:t>-Ft</w:t>
      </w:r>
      <w:proofErr w:type="spellEnd"/>
      <w:r w:rsidRPr="00481D18">
        <w:rPr>
          <w:rFonts w:ascii="Arial" w:hAnsi="Arial" w:cs="Arial"/>
        </w:rPr>
        <w:t xml:space="preserve"> összeggel.</w:t>
      </w:r>
    </w:p>
    <w:p w:rsidR="00CC104F" w:rsidRPr="00481D18" w:rsidRDefault="00CC104F" w:rsidP="00CC104F">
      <w:pPr>
        <w:spacing w:after="0" w:line="240" w:lineRule="auto"/>
        <w:jc w:val="both"/>
        <w:rPr>
          <w:rFonts w:ascii="Arial" w:hAnsi="Arial" w:cs="Arial"/>
          <w:lang w:eastAsia="ar-SA"/>
        </w:rPr>
      </w:pPr>
      <w:r w:rsidRPr="00481D18">
        <w:rPr>
          <w:rFonts w:ascii="Arial" w:hAnsi="Arial" w:cs="Arial"/>
          <w:lang w:eastAsia="ar-SA"/>
        </w:rPr>
        <w:t>Elszámolható költség</w:t>
      </w:r>
      <w:r w:rsidR="005F6AF5" w:rsidRPr="00481D18">
        <w:rPr>
          <w:rFonts w:ascii="Arial" w:hAnsi="Arial" w:cs="Arial"/>
          <w:lang w:eastAsia="ar-SA"/>
        </w:rPr>
        <w:t xml:space="preserve"> a kivitelezési munka vonatkozásában</w:t>
      </w:r>
      <w:r w:rsidRPr="00481D18">
        <w:rPr>
          <w:rFonts w:ascii="Arial" w:hAnsi="Arial" w:cs="Arial"/>
          <w:lang w:eastAsia="ar-SA"/>
        </w:rPr>
        <w:t xml:space="preserve">: </w:t>
      </w:r>
      <w:r w:rsidR="008957B1" w:rsidRPr="00481D18">
        <w:rPr>
          <w:rFonts w:ascii="Arial" w:hAnsi="Arial" w:cs="Arial"/>
          <w:lang w:eastAsia="ar-SA"/>
        </w:rPr>
        <w:t>ne</w:t>
      </w:r>
      <w:r w:rsidRPr="00481D18">
        <w:rPr>
          <w:rFonts w:ascii="Arial" w:hAnsi="Arial" w:cs="Arial"/>
          <w:lang w:eastAsia="ar-SA"/>
        </w:rPr>
        <w:t xml:space="preserve">ttó </w:t>
      </w:r>
      <w:r w:rsidR="00371C0C" w:rsidRPr="00481D18">
        <w:rPr>
          <w:rFonts w:ascii="Arial" w:hAnsi="Arial" w:cs="Arial"/>
          <w:lang w:eastAsia="ar-SA"/>
        </w:rPr>
        <w:t>235.100.000</w:t>
      </w:r>
      <w:r w:rsidRPr="00481D18">
        <w:rPr>
          <w:rFonts w:ascii="Arial" w:hAnsi="Arial" w:cs="Arial"/>
          <w:lang w:eastAsia="ar-SA"/>
        </w:rPr>
        <w:t>,- Ft</w:t>
      </w:r>
    </w:p>
    <w:p w:rsidR="00CC104F" w:rsidRPr="00481D18" w:rsidRDefault="00CC104F" w:rsidP="00CC104F">
      <w:pPr>
        <w:spacing w:after="0" w:line="240" w:lineRule="auto"/>
        <w:jc w:val="both"/>
        <w:rPr>
          <w:rFonts w:ascii="Arial" w:hAnsi="Arial" w:cs="Arial"/>
          <w:lang w:eastAsia="ar-SA"/>
        </w:rPr>
      </w:pPr>
      <w:r w:rsidRPr="00481D18">
        <w:rPr>
          <w:rFonts w:ascii="Arial" w:hAnsi="Arial" w:cs="Arial"/>
          <w:lang w:eastAsia="ar-SA"/>
        </w:rPr>
        <w:t xml:space="preserve">Tartalékkeret: </w:t>
      </w:r>
      <w:r w:rsidR="00437D5B">
        <w:rPr>
          <w:rFonts w:ascii="Arial" w:hAnsi="Arial" w:cs="Arial"/>
          <w:lang w:eastAsia="ar-SA"/>
        </w:rPr>
        <w:t>ne</w:t>
      </w:r>
      <w:r w:rsidRPr="00481D18">
        <w:rPr>
          <w:rFonts w:ascii="Arial" w:hAnsi="Arial" w:cs="Arial"/>
          <w:lang w:eastAsia="ar-SA"/>
        </w:rPr>
        <w:t>ttó 1</w:t>
      </w:r>
      <w:r w:rsidR="008957B1" w:rsidRPr="00481D18">
        <w:rPr>
          <w:rFonts w:ascii="Arial" w:hAnsi="Arial" w:cs="Arial"/>
          <w:lang w:eastAsia="ar-SA"/>
        </w:rPr>
        <w:t>3</w:t>
      </w:r>
      <w:r w:rsidRPr="00481D18">
        <w:rPr>
          <w:rFonts w:ascii="Arial" w:hAnsi="Arial" w:cs="Arial"/>
          <w:lang w:eastAsia="ar-SA"/>
        </w:rPr>
        <w:t>.</w:t>
      </w:r>
      <w:r w:rsidR="00371C0C" w:rsidRPr="00481D18">
        <w:rPr>
          <w:rFonts w:ascii="Arial" w:hAnsi="Arial" w:cs="Arial"/>
          <w:lang w:eastAsia="ar-SA"/>
        </w:rPr>
        <w:t>0</w:t>
      </w:r>
      <w:r w:rsidRPr="00481D18">
        <w:rPr>
          <w:rFonts w:ascii="Arial" w:hAnsi="Arial" w:cs="Arial"/>
          <w:lang w:eastAsia="ar-SA"/>
        </w:rPr>
        <w:t>00.000,</w:t>
      </w:r>
      <w:proofErr w:type="spellStart"/>
      <w:r w:rsidRPr="00481D18">
        <w:rPr>
          <w:rFonts w:ascii="Arial" w:hAnsi="Arial" w:cs="Arial"/>
          <w:lang w:eastAsia="ar-SA"/>
        </w:rPr>
        <w:t>-Ft</w:t>
      </w:r>
      <w:proofErr w:type="spellEnd"/>
    </w:p>
    <w:p w:rsidR="008957B1" w:rsidRPr="00481D18" w:rsidRDefault="008957B1" w:rsidP="00CC104F">
      <w:pPr>
        <w:spacing w:after="0" w:line="240" w:lineRule="auto"/>
        <w:jc w:val="both"/>
        <w:rPr>
          <w:rFonts w:ascii="Arial" w:hAnsi="Arial" w:cs="Arial"/>
          <w:highlight w:val="yellow"/>
          <w:lang w:eastAsia="ar-SA"/>
        </w:rPr>
      </w:pPr>
    </w:p>
    <w:p w:rsidR="008957B1" w:rsidRPr="00481D18" w:rsidRDefault="008957B1" w:rsidP="008957B1">
      <w:pPr>
        <w:spacing w:after="0" w:line="240" w:lineRule="auto"/>
        <w:jc w:val="both"/>
        <w:rPr>
          <w:rFonts w:ascii="Arial" w:hAnsi="Arial" w:cs="Arial"/>
          <w:lang w:eastAsia="ar-SA"/>
        </w:rPr>
      </w:pPr>
      <w:r w:rsidRPr="00481D18">
        <w:rPr>
          <w:rFonts w:ascii="Arial" w:hAnsi="Arial" w:cs="Arial"/>
          <w:lang w:eastAsia="ar-SA"/>
        </w:rPr>
        <w:t>A költségátcsoportosítás következtében változik egyes költségek összege a szerződés 1. sz. mellékletében rögzített bontáshoz képest.</w:t>
      </w:r>
    </w:p>
    <w:p w:rsidR="008957B1" w:rsidRPr="00481D18" w:rsidRDefault="008957B1" w:rsidP="008957B1">
      <w:pPr>
        <w:spacing w:after="0" w:line="240" w:lineRule="auto"/>
        <w:jc w:val="both"/>
        <w:rPr>
          <w:rFonts w:ascii="Arial" w:hAnsi="Arial" w:cs="Arial"/>
          <w:lang w:eastAsia="ar-SA"/>
        </w:rPr>
      </w:pPr>
    </w:p>
    <w:p w:rsidR="008957B1" w:rsidRPr="00481D18" w:rsidRDefault="008957B1" w:rsidP="008957B1">
      <w:pPr>
        <w:spacing w:after="0" w:line="240" w:lineRule="auto"/>
        <w:jc w:val="both"/>
        <w:rPr>
          <w:rFonts w:ascii="Arial" w:hAnsi="Arial" w:cs="Arial"/>
          <w:lang w:eastAsia="ar-SA"/>
        </w:rPr>
      </w:pPr>
      <w:r w:rsidRPr="00481D18">
        <w:rPr>
          <w:rFonts w:ascii="Arial" w:hAnsi="Arial" w:cs="Arial"/>
          <w:lang w:eastAsia="ar-SA"/>
        </w:rPr>
        <w:t>Az alábbi táblázat szemlélteti az egyes költségek átrendeződését a kivitelezés költségén felül a többi szolgáltatás díjait is figyelembe véve.</w:t>
      </w:r>
    </w:p>
    <w:p w:rsidR="008957B1" w:rsidRDefault="008957B1" w:rsidP="00CC104F">
      <w:pPr>
        <w:spacing w:after="0" w:line="240" w:lineRule="auto"/>
        <w:jc w:val="both"/>
        <w:rPr>
          <w:rFonts w:ascii="Arial" w:hAnsi="Arial" w:cs="Arial"/>
          <w:sz w:val="24"/>
          <w:szCs w:val="24"/>
          <w:lang w:eastAsia="ar-SA"/>
        </w:rPr>
      </w:pPr>
    </w:p>
    <w:p w:rsidR="008957B1" w:rsidRDefault="00437D5B" w:rsidP="00CC104F">
      <w:pPr>
        <w:spacing w:after="0" w:line="240" w:lineRule="auto"/>
        <w:jc w:val="both"/>
        <w:rPr>
          <w:rFonts w:ascii="Arial" w:hAnsi="Arial" w:cs="Arial"/>
          <w:sz w:val="24"/>
          <w:szCs w:val="24"/>
          <w:highlight w:val="yellow"/>
          <w:lang w:eastAsia="ar-SA"/>
        </w:rPr>
      </w:pPr>
      <w:r>
        <w:rPr>
          <w:noProof/>
        </w:rPr>
        <w:drawing>
          <wp:inline distT="0" distB="0" distL="0" distR="0">
            <wp:extent cx="5760720" cy="3388402"/>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88402"/>
                    </a:xfrm>
                    <a:prstGeom prst="rect">
                      <a:avLst/>
                    </a:prstGeom>
                    <a:noFill/>
                    <a:ln>
                      <a:noFill/>
                    </a:ln>
                  </pic:spPr>
                </pic:pic>
              </a:graphicData>
            </a:graphic>
          </wp:inline>
        </w:drawing>
      </w:r>
    </w:p>
    <w:p w:rsidR="008957B1" w:rsidRDefault="008957B1" w:rsidP="00CC104F">
      <w:pPr>
        <w:spacing w:after="0" w:line="240" w:lineRule="auto"/>
        <w:jc w:val="both"/>
        <w:rPr>
          <w:rFonts w:ascii="Arial" w:hAnsi="Arial" w:cs="Arial"/>
          <w:sz w:val="24"/>
          <w:szCs w:val="24"/>
          <w:highlight w:val="yellow"/>
          <w:lang w:eastAsia="ar-SA"/>
        </w:rPr>
      </w:pPr>
    </w:p>
    <w:p w:rsidR="008957B1" w:rsidRDefault="008957B1" w:rsidP="00CC104F">
      <w:pPr>
        <w:spacing w:after="0" w:line="240" w:lineRule="auto"/>
        <w:jc w:val="both"/>
        <w:rPr>
          <w:rFonts w:ascii="Arial" w:hAnsi="Arial" w:cs="Arial"/>
          <w:sz w:val="24"/>
          <w:szCs w:val="24"/>
          <w:highlight w:val="yellow"/>
          <w:lang w:eastAsia="ar-SA"/>
        </w:rPr>
      </w:pPr>
    </w:p>
    <w:p w:rsidR="008957B1" w:rsidRPr="00481D18" w:rsidRDefault="008957B1" w:rsidP="008957B1">
      <w:pPr>
        <w:spacing w:after="0" w:line="240" w:lineRule="auto"/>
        <w:jc w:val="both"/>
        <w:rPr>
          <w:rFonts w:ascii="Arial" w:hAnsi="Arial" w:cs="Arial"/>
          <w:lang w:eastAsia="ar-SA"/>
        </w:rPr>
      </w:pPr>
      <w:r w:rsidRPr="00481D18">
        <w:rPr>
          <w:rFonts w:ascii="Arial" w:hAnsi="Arial" w:cs="Arial"/>
          <w:lang w:eastAsia="ar-SA"/>
        </w:rPr>
        <w:t>Környezeti állapotfelmérés</w:t>
      </w:r>
      <w:r w:rsidRPr="00481D18">
        <w:rPr>
          <w:rFonts w:ascii="Arial" w:hAnsi="Arial" w:cs="Arial"/>
          <w:lang w:eastAsia="ar-SA"/>
        </w:rPr>
        <w:tab/>
        <w:t xml:space="preserve"> 700.000 Ft, rehabilitációs környezettervező szakmérnök szakvéleményének rehabilitációs tervfejezet költsége</w:t>
      </w:r>
      <w:r w:rsidRPr="00481D18">
        <w:rPr>
          <w:rFonts w:ascii="Arial" w:hAnsi="Arial" w:cs="Arial"/>
          <w:lang w:eastAsia="ar-SA"/>
        </w:rPr>
        <w:tab/>
        <w:t xml:space="preserve"> 150.000 Ft, e két tétel új elemként került be a projekt szükséges költségei közé, az IKT-2017-616-I1-00001115 iktatószámú, a Közreműködő Szervezet által küldött levélben foglalt rendelkezésnek eleget téve. </w:t>
      </w:r>
    </w:p>
    <w:p w:rsidR="008957B1" w:rsidRPr="00481D18" w:rsidRDefault="008957B1" w:rsidP="008957B1">
      <w:pPr>
        <w:spacing w:after="0" w:line="240" w:lineRule="auto"/>
        <w:jc w:val="both"/>
        <w:rPr>
          <w:rFonts w:ascii="Arial" w:hAnsi="Arial" w:cs="Arial"/>
          <w:lang w:eastAsia="ar-SA"/>
        </w:rPr>
      </w:pPr>
    </w:p>
    <w:p w:rsidR="00CC104F" w:rsidRPr="00481D18" w:rsidRDefault="00CC104F" w:rsidP="00CC104F">
      <w:pPr>
        <w:spacing w:after="0" w:line="240" w:lineRule="auto"/>
        <w:jc w:val="both"/>
        <w:rPr>
          <w:rFonts w:ascii="Arial" w:hAnsi="Arial" w:cs="Arial"/>
          <w:lang w:eastAsia="ar-SA"/>
        </w:rPr>
      </w:pPr>
      <w:r w:rsidRPr="00437D5B">
        <w:rPr>
          <w:rFonts w:ascii="Arial" w:hAnsi="Arial" w:cs="Arial"/>
          <w:lang w:eastAsia="ar-SA"/>
        </w:rPr>
        <w:t xml:space="preserve">Fennmaradó tartalékkeret: </w:t>
      </w:r>
      <w:r w:rsidR="008957B1" w:rsidRPr="00437D5B">
        <w:rPr>
          <w:rFonts w:ascii="Arial" w:hAnsi="Arial" w:cs="Arial"/>
          <w:lang w:eastAsia="ar-SA"/>
        </w:rPr>
        <w:t>ne</w:t>
      </w:r>
      <w:r w:rsidRPr="00437D5B">
        <w:rPr>
          <w:rFonts w:ascii="Arial" w:hAnsi="Arial" w:cs="Arial"/>
          <w:lang w:eastAsia="ar-SA"/>
        </w:rPr>
        <w:t xml:space="preserve">ttó </w:t>
      </w:r>
      <w:r w:rsidR="00437D5B" w:rsidRPr="00437D5B">
        <w:rPr>
          <w:rFonts w:ascii="Arial" w:hAnsi="Arial" w:cs="Arial"/>
          <w:lang w:eastAsia="ar-SA"/>
        </w:rPr>
        <w:t>7</w:t>
      </w:r>
      <w:r w:rsidR="00371C0C" w:rsidRPr="00437D5B">
        <w:rPr>
          <w:rFonts w:ascii="Arial" w:hAnsi="Arial" w:cs="Arial"/>
          <w:lang w:eastAsia="ar-SA"/>
        </w:rPr>
        <w:t>74 334</w:t>
      </w:r>
      <w:r w:rsidRPr="00437D5B">
        <w:rPr>
          <w:rFonts w:ascii="Arial" w:hAnsi="Arial" w:cs="Arial"/>
          <w:lang w:eastAsia="ar-SA"/>
        </w:rPr>
        <w:t>,</w:t>
      </w:r>
      <w:proofErr w:type="spellStart"/>
      <w:r w:rsidRPr="00437D5B">
        <w:rPr>
          <w:rFonts w:ascii="Arial" w:hAnsi="Arial" w:cs="Arial"/>
          <w:lang w:eastAsia="ar-SA"/>
        </w:rPr>
        <w:t>-Ft</w:t>
      </w:r>
      <w:proofErr w:type="spellEnd"/>
    </w:p>
    <w:p w:rsidR="00CC104F" w:rsidRDefault="00CC104F" w:rsidP="00CC104F">
      <w:pPr>
        <w:spacing w:after="0" w:line="240" w:lineRule="auto"/>
        <w:rPr>
          <w:rFonts w:ascii="Arial" w:hAnsi="Arial" w:cs="Arial"/>
          <w:sz w:val="24"/>
          <w:szCs w:val="24"/>
          <w:lang w:eastAsia="ar-SA"/>
        </w:rPr>
      </w:pPr>
    </w:p>
    <w:p w:rsidR="005F6AF5" w:rsidRDefault="005F6AF5">
      <w:pPr>
        <w:rPr>
          <w:rFonts w:ascii="Arial" w:hAnsi="Arial" w:cs="Arial"/>
          <w:sz w:val="24"/>
          <w:szCs w:val="24"/>
          <w:lang w:eastAsia="ar-SA"/>
        </w:rPr>
      </w:pPr>
      <w:r>
        <w:rPr>
          <w:rFonts w:ascii="Arial" w:hAnsi="Arial" w:cs="Arial"/>
          <w:sz w:val="24"/>
          <w:szCs w:val="24"/>
          <w:lang w:eastAsia="ar-SA"/>
        </w:rPr>
        <w:br w:type="page"/>
      </w:r>
    </w:p>
    <w:p w:rsidR="00CC104F" w:rsidRDefault="00CC104F" w:rsidP="00CC104F">
      <w:pPr>
        <w:spacing w:after="0" w:line="240" w:lineRule="auto"/>
        <w:rPr>
          <w:rFonts w:ascii="Arial" w:hAnsi="Arial" w:cs="Arial"/>
          <w:sz w:val="24"/>
          <w:szCs w:val="24"/>
          <w:lang w:eastAsia="ar-SA"/>
        </w:rPr>
      </w:pPr>
    </w:p>
    <w:p w:rsidR="00CC104F" w:rsidRPr="00481D18" w:rsidRDefault="00CC104F" w:rsidP="00CC104F">
      <w:pPr>
        <w:spacing w:after="0" w:line="240" w:lineRule="auto"/>
        <w:ind w:left="2835"/>
        <w:jc w:val="both"/>
        <w:rPr>
          <w:rFonts w:ascii="Arial" w:hAnsi="Arial" w:cs="Arial"/>
          <w:b/>
          <w:i/>
          <w:iCs/>
          <w:u w:val="single"/>
        </w:rPr>
      </w:pPr>
      <w:r w:rsidRPr="00481D18">
        <w:rPr>
          <w:rFonts w:ascii="Arial" w:hAnsi="Arial" w:cs="Arial"/>
          <w:b/>
          <w:i/>
          <w:iCs/>
          <w:u w:val="single"/>
        </w:rPr>
        <w:t xml:space="preserve">H a t á r o z a t i    j a v a s l a </w:t>
      </w:r>
      <w:proofErr w:type="gramStart"/>
      <w:r w:rsidRPr="00481D18">
        <w:rPr>
          <w:rFonts w:ascii="Arial" w:hAnsi="Arial" w:cs="Arial"/>
          <w:b/>
          <w:i/>
          <w:iCs/>
          <w:u w:val="single"/>
        </w:rPr>
        <w:t>t :</w:t>
      </w:r>
      <w:proofErr w:type="gramEnd"/>
    </w:p>
    <w:p w:rsidR="00CC104F" w:rsidRPr="00481D18" w:rsidRDefault="000E4358" w:rsidP="00CC104F">
      <w:pPr>
        <w:spacing w:after="0" w:line="240" w:lineRule="auto"/>
        <w:ind w:left="2832" w:right="72"/>
        <w:jc w:val="both"/>
        <w:rPr>
          <w:rFonts w:ascii="Arial" w:hAnsi="Arial" w:cs="Arial"/>
          <w:b/>
          <w:snapToGrid w:val="0"/>
          <w:u w:val="single"/>
        </w:rPr>
      </w:pPr>
      <w:r w:rsidRPr="00481D18">
        <w:rPr>
          <w:rFonts w:ascii="Arial" w:hAnsi="Arial" w:cs="Arial"/>
          <w:b/>
          <w:snapToGrid w:val="0"/>
          <w:u w:val="single"/>
        </w:rPr>
        <w:t>„Iparterület fejlesztése Bátaszéken</w:t>
      </w:r>
      <w:r w:rsidR="00CC104F" w:rsidRPr="00481D18">
        <w:rPr>
          <w:rFonts w:ascii="Arial" w:hAnsi="Arial" w:cs="Arial"/>
          <w:b/>
          <w:snapToGrid w:val="0"/>
          <w:u w:val="single"/>
        </w:rPr>
        <w:t>” elnevezésű pályázathoz kapcsolódóan Támogatási Szerződés módosítására</w:t>
      </w:r>
    </w:p>
    <w:p w:rsidR="00CC104F" w:rsidRPr="00481D18" w:rsidRDefault="00CC104F" w:rsidP="00CC104F">
      <w:pPr>
        <w:spacing w:after="0" w:line="240" w:lineRule="auto"/>
        <w:ind w:left="2832" w:right="72"/>
        <w:jc w:val="both"/>
        <w:rPr>
          <w:rFonts w:ascii="Arial" w:hAnsi="Arial" w:cs="Arial"/>
          <w:b/>
        </w:rPr>
      </w:pPr>
    </w:p>
    <w:p w:rsidR="00CC104F" w:rsidRPr="00481D18" w:rsidRDefault="00CC104F" w:rsidP="00CC104F">
      <w:pPr>
        <w:spacing w:after="0" w:line="240" w:lineRule="auto"/>
        <w:ind w:left="2832" w:right="72"/>
        <w:jc w:val="both"/>
        <w:rPr>
          <w:rFonts w:ascii="Arial" w:hAnsi="Arial" w:cs="Arial"/>
        </w:rPr>
      </w:pPr>
      <w:r w:rsidRPr="00481D18">
        <w:rPr>
          <w:rFonts w:ascii="Arial" w:hAnsi="Arial" w:cs="Arial"/>
        </w:rPr>
        <w:t>Bátaszék Város Önkormányzatának Képviselő-testülete;</w:t>
      </w:r>
    </w:p>
    <w:p w:rsidR="00CC104F" w:rsidRPr="00481D18" w:rsidRDefault="00CC104F" w:rsidP="000E4358">
      <w:pPr>
        <w:pStyle w:val="Listaszerbekezds"/>
        <w:numPr>
          <w:ilvl w:val="0"/>
          <w:numId w:val="3"/>
        </w:numPr>
        <w:overflowPunct w:val="0"/>
        <w:autoSpaceDE w:val="0"/>
        <w:ind w:right="74"/>
        <w:contextualSpacing/>
        <w:jc w:val="both"/>
        <w:textAlignment w:val="baseline"/>
        <w:rPr>
          <w:rFonts w:ascii="Arial" w:hAnsi="Arial" w:cs="Arial"/>
          <w:sz w:val="22"/>
          <w:szCs w:val="22"/>
        </w:rPr>
      </w:pPr>
      <w:r w:rsidRPr="00481D18">
        <w:rPr>
          <w:rFonts w:ascii="Arial" w:hAnsi="Arial" w:cs="Arial"/>
          <w:sz w:val="22"/>
          <w:szCs w:val="22"/>
        </w:rPr>
        <w:t xml:space="preserve">kezdeményezi az </w:t>
      </w:r>
      <w:r w:rsidR="000E4358" w:rsidRPr="00481D18">
        <w:rPr>
          <w:rFonts w:ascii="Arial" w:hAnsi="Arial" w:cs="Arial"/>
          <w:sz w:val="22"/>
          <w:szCs w:val="22"/>
        </w:rPr>
        <w:t xml:space="preserve">„Iparterület fejlesztése Bátaszéken” </w:t>
      </w:r>
      <w:r w:rsidRPr="00481D18">
        <w:rPr>
          <w:rFonts w:ascii="Arial" w:hAnsi="Arial" w:cs="Arial"/>
          <w:sz w:val="22"/>
          <w:szCs w:val="22"/>
        </w:rPr>
        <w:t xml:space="preserve">című és </w:t>
      </w:r>
      <w:r w:rsidR="000E4358" w:rsidRPr="00481D18">
        <w:rPr>
          <w:rFonts w:ascii="Arial" w:hAnsi="Arial" w:cs="Arial"/>
          <w:sz w:val="22"/>
          <w:szCs w:val="22"/>
        </w:rPr>
        <w:t xml:space="preserve">TOP-1.1.1-15-TL1-2016-00002 </w:t>
      </w:r>
      <w:r w:rsidRPr="00481D18">
        <w:rPr>
          <w:rFonts w:ascii="Arial" w:hAnsi="Arial" w:cs="Arial"/>
          <w:sz w:val="22"/>
          <w:szCs w:val="22"/>
        </w:rPr>
        <w:t xml:space="preserve">azonosító számú projekthez kapcsolódó Támogatási Szerződés </w:t>
      </w:r>
    </w:p>
    <w:p w:rsidR="00CC104F" w:rsidRPr="00481D18" w:rsidRDefault="00CC104F" w:rsidP="00CC104F">
      <w:pPr>
        <w:pStyle w:val="Listaszerbekezds"/>
        <w:overflowPunct w:val="0"/>
        <w:autoSpaceDE w:val="0"/>
        <w:ind w:left="3192" w:right="74"/>
        <w:contextualSpacing/>
        <w:jc w:val="both"/>
        <w:textAlignment w:val="baseline"/>
        <w:rPr>
          <w:rFonts w:ascii="Arial" w:hAnsi="Arial" w:cs="Arial"/>
          <w:sz w:val="22"/>
          <w:szCs w:val="22"/>
        </w:rPr>
      </w:pPr>
    </w:p>
    <w:p w:rsidR="00CC104F" w:rsidRPr="00481D18" w:rsidRDefault="000E4358" w:rsidP="00CC104F">
      <w:pPr>
        <w:overflowPunct w:val="0"/>
        <w:autoSpaceDE w:val="0"/>
        <w:ind w:left="3261" w:right="74"/>
        <w:contextualSpacing/>
        <w:jc w:val="both"/>
        <w:textAlignment w:val="baseline"/>
        <w:rPr>
          <w:rFonts w:ascii="Arial" w:hAnsi="Arial" w:cs="Arial"/>
        </w:rPr>
      </w:pPr>
      <w:proofErr w:type="spellStart"/>
      <w:r w:rsidRPr="00481D18">
        <w:rPr>
          <w:rFonts w:ascii="Arial" w:hAnsi="Arial" w:cs="Arial"/>
        </w:rPr>
        <w:t>aa</w:t>
      </w:r>
      <w:proofErr w:type="spellEnd"/>
      <w:r w:rsidR="00CC104F" w:rsidRPr="00481D18">
        <w:rPr>
          <w:rFonts w:ascii="Arial" w:hAnsi="Arial" w:cs="Arial"/>
        </w:rPr>
        <w:t>) 1</w:t>
      </w:r>
      <w:proofErr w:type="gramStart"/>
      <w:r w:rsidR="00CC104F" w:rsidRPr="00481D18">
        <w:rPr>
          <w:rFonts w:ascii="Arial" w:hAnsi="Arial" w:cs="Arial"/>
        </w:rPr>
        <w:t>.sz.</w:t>
      </w:r>
      <w:proofErr w:type="gramEnd"/>
      <w:r w:rsidR="00CC104F" w:rsidRPr="00481D18">
        <w:rPr>
          <w:rFonts w:ascii="Arial" w:hAnsi="Arial" w:cs="Arial"/>
        </w:rPr>
        <w:t xml:space="preserve"> mellékletének módosítását - a projekten belüli költségátcsoportosítást – a jelen határozat 1.sz. mellékletének megfelelően,</w:t>
      </w:r>
    </w:p>
    <w:p w:rsidR="00CC104F" w:rsidRPr="00481D18" w:rsidRDefault="00CC104F" w:rsidP="00CC104F">
      <w:pPr>
        <w:overflowPunct w:val="0"/>
        <w:autoSpaceDE w:val="0"/>
        <w:ind w:left="3261" w:right="74"/>
        <w:contextualSpacing/>
        <w:jc w:val="both"/>
        <w:textAlignment w:val="baseline"/>
        <w:rPr>
          <w:rFonts w:ascii="Arial" w:hAnsi="Arial" w:cs="Arial"/>
        </w:rPr>
      </w:pPr>
    </w:p>
    <w:p w:rsidR="00CC104F" w:rsidRPr="0043115C" w:rsidRDefault="00CC104F" w:rsidP="0043115C">
      <w:pPr>
        <w:overflowPunct w:val="0"/>
        <w:autoSpaceDE w:val="0"/>
        <w:ind w:left="3261" w:right="74"/>
        <w:contextualSpacing/>
        <w:jc w:val="both"/>
        <w:textAlignment w:val="baseline"/>
        <w:rPr>
          <w:rFonts w:ascii="Arial" w:hAnsi="Arial" w:cs="Arial"/>
        </w:rPr>
      </w:pPr>
      <w:proofErr w:type="spellStart"/>
      <w:r w:rsidRPr="00481D18">
        <w:rPr>
          <w:rFonts w:ascii="Arial" w:hAnsi="Arial" w:cs="Arial"/>
        </w:rPr>
        <w:t>ac</w:t>
      </w:r>
      <w:proofErr w:type="spellEnd"/>
      <w:r w:rsidRPr="00481D18">
        <w:rPr>
          <w:rFonts w:ascii="Arial" w:hAnsi="Arial" w:cs="Arial"/>
        </w:rPr>
        <w:t>) 3</w:t>
      </w:r>
      <w:proofErr w:type="gramStart"/>
      <w:r w:rsidRPr="00481D18">
        <w:rPr>
          <w:rFonts w:ascii="Arial" w:hAnsi="Arial" w:cs="Arial"/>
        </w:rPr>
        <w:t>.sz.</w:t>
      </w:r>
      <w:proofErr w:type="gramEnd"/>
      <w:r w:rsidRPr="00481D18">
        <w:rPr>
          <w:rFonts w:ascii="Arial" w:hAnsi="Arial" w:cs="Arial"/>
        </w:rPr>
        <w:t xml:space="preserve"> mellékletének módosítását a jelen határozat 2.sz. mellékletének megfelelően,</w:t>
      </w:r>
    </w:p>
    <w:p w:rsidR="00CC104F" w:rsidRPr="00481D18" w:rsidRDefault="00CC104F" w:rsidP="00CC104F">
      <w:pPr>
        <w:pStyle w:val="Listaszerbekezds"/>
        <w:numPr>
          <w:ilvl w:val="0"/>
          <w:numId w:val="5"/>
        </w:numPr>
        <w:ind w:left="3119" w:right="72" w:hanging="284"/>
        <w:jc w:val="both"/>
        <w:rPr>
          <w:rFonts w:ascii="Arial" w:hAnsi="Arial" w:cs="Arial"/>
          <w:sz w:val="22"/>
          <w:szCs w:val="22"/>
        </w:rPr>
      </w:pPr>
      <w:r w:rsidRPr="00481D18">
        <w:rPr>
          <w:rFonts w:ascii="Arial" w:hAnsi="Arial" w:cs="Arial"/>
          <w:sz w:val="22"/>
          <w:szCs w:val="22"/>
        </w:rPr>
        <w:t>felhatalmazza a város polgármesterét a Támogatási Szerződés módosítás aláírására.</w:t>
      </w:r>
    </w:p>
    <w:p w:rsidR="00CC104F" w:rsidRPr="00481D18" w:rsidRDefault="00CC104F" w:rsidP="00CC104F">
      <w:pPr>
        <w:pStyle w:val="Listaszerbekezds"/>
        <w:ind w:left="3192" w:right="72"/>
        <w:jc w:val="both"/>
        <w:rPr>
          <w:rFonts w:ascii="Arial" w:hAnsi="Arial" w:cs="Arial"/>
          <w:sz w:val="22"/>
          <w:szCs w:val="22"/>
        </w:rPr>
      </w:pPr>
    </w:p>
    <w:p w:rsidR="00CC104F" w:rsidRPr="00481D18" w:rsidRDefault="00CC104F" w:rsidP="00CC104F">
      <w:pPr>
        <w:spacing w:after="0" w:line="240" w:lineRule="auto"/>
        <w:ind w:left="2832"/>
        <w:jc w:val="both"/>
        <w:rPr>
          <w:rFonts w:ascii="Arial" w:hAnsi="Arial" w:cs="Arial"/>
        </w:rPr>
      </w:pPr>
      <w:r w:rsidRPr="00481D18">
        <w:rPr>
          <w:rFonts w:ascii="Arial" w:hAnsi="Arial" w:cs="Arial"/>
          <w:i/>
          <w:iCs/>
        </w:rPr>
        <w:t>Határidő:</w:t>
      </w:r>
      <w:r w:rsidRPr="00481D18">
        <w:rPr>
          <w:rFonts w:ascii="Arial" w:hAnsi="Arial" w:cs="Arial"/>
        </w:rPr>
        <w:t xml:space="preserve"> 2017. </w:t>
      </w:r>
      <w:r w:rsidR="00481D18">
        <w:rPr>
          <w:rFonts w:ascii="Arial" w:hAnsi="Arial" w:cs="Arial"/>
        </w:rPr>
        <w:t>dec</w:t>
      </w:r>
      <w:r w:rsidRPr="00481D18">
        <w:rPr>
          <w:rFonts w:ascii="Arial" w:hAnsi="Arial" w:cs="Arial"/>
        </w:rPr>
        <w:t>ember 15.</w:t>
      </w:r>
    </w:p>
    <w:p w:rsidR="00CC104F" w:rsidRPr="00481D18" w:rsidRDefault="00CC104F" w:rsidP="00CC104F">
      <w:pPr>
        <w:tabs>
          <w:tab w:val="left" w:pos="3840"/>
        </w:tabs>
        <w:spacing w:after="0" w:line="240" w:lineRule="auto"/>
        <w:ind w:left="2832"/>
        <w:jc w:val="both"/>
        <w:rPr>
          <w:rFonts w:ascii="Arial" w:hAnsi="Arial" w:cs="Arial"/>
        </w:rPr>
      </w:pPr>
    </w:p>
    <w:p w:rsidR="00CC104F" w:rsidRPr="00481D18" w:rsidRDefault="00CC104F" w:rsidP="00CC104F">
      <w:pPr>
        <w:spacing w:after="0" w:line="240" w:lineRule="auto"/>
        <w:ind w:left="2832"/>
        <w:jc w:val="both"/>
        <w:rPr>
          <w:rFonts w:ascii="Arial" w:hAnsi="Arial" w:cs="Arial"/>
        </w:rPr>
      </w:pPr>
      <w:r w:rsidRPr="00481D18">
        <w:rPr>
          <w:rFonts w:ascii="Arial" w:hAnsi="Arial" w:cs="Arial"/>
          <w:i/>
          <w:iCs/>
        </w:rPr>
        <w:t>Felelős</w:t>
      </w:r>
      <w:proofErr w:type="gramStart"/>
      <w:r w:rsidRPr="00481D18">
        <w:rPr>
          <w:rFonts w:ascii="Arial" w:hAnsi="Arial" w:cs="Arial"/>
        </w:rPr>
        <w:t>:   Dr.</w:t>
      </w:r>
      <w:proofErr w:type="gramEnd"/>
      <w:r w:rsidRPr="00481D18">
        <w:rPr>
          <w:rFonts w:ascii="Arial" w:hAnsi="Arial" w:cs="Arial"/>
        </w:rPr>
        <w:t xml:space="preserve"> Bozsolik Róbert polgármester </w:t>
      </w:r>
    </w:p>
    <w:p w:rsidR="00CC104F" w:rsidRPr="00481D18" w:rsidRDefault="00CC104F" w:rsidP="00CC104F">
      <w:pPr>
        <w:spacing w:after="0" w:line="240" w:lineRule="auto"/>
        <w:ind w:left="3672"/>
        <w:jc w:val="both"/>
        <w:rPr>
          <w:rFonts w:ascii="Arial" w:hAnsi="Arial" w:cs="Arial"/>
        </w:rPr>
      </w:pPr>
      <w:r w:rsidRPr="00481D18">
        <w:rPr>
          <w:rFonts w:ascii="Arial" w:hAnsi="Arial" w:cs="Arial"/>
        </w:rPr>
        <w:t xml:space="preserve">  (szerződés aláírásáért)</w:t>
      </w:r>
    </w:p>
    <w:p w:rsidR="00CC104F" w:rsidRPr="00481D18" w:rsidRDefault="00CC104F" w:rsidP="00CC104F">
      <w:pPr>
        <w:tabs>
          <w:tab w:val="left" w:pos="3840"/>
        </w:tabs>
        <w:spacing w:after="0" w:line="240" w:lineRule="auto"/>
        <w:ind w:left="2832"/>
        <w:jc w:val="both"/>
        <w:rPr>
          <w:rFonts w:ascii="Arial" w:hAnsi="Arial" w:cs="Arial"/>
        </w:rPr>
      </w:pPr>
    </w:p>
    <w:p w:rsidR="00CC104F" w:rsidRPr="00481D18" w:rsidRDefault="00CC104F" w:rsidP="00CC104F">
      <w:pPr>
        <w:tabs>
          <w:tab w:val="left" w:pos="4920"/>
        </w:tabs>
        <w:spacing w:after="0" w:line="240" w:lineRule="auto"/>
        <w:ind w:left="2832"/>
        <w:jc w:val="both"/>
        <w:rPr>
          <w:rFonts w:ascii="Arial" w:hAnsi="Arial" w:cs="Arial"/>
        </w:rPr>
      </w:pPr>
      <w:r w:rsidRPr="00481D18">
        <w:rPr>
          <w:rFonts w:ascii="Arial" w:hAnsi="Arial" w:cs="Arial"/>
          <w:i/>
          <w:iCs/>
        </w:rPr>
        <w:t>Határozatról értesül</w:t>
      </w:r>
      <w:r w:rsidRPr="00481D18">
        <w:rPr>
          <w:rFonts w:ascii="Arial" w:hAnsi="Arial" w:cs="Arial"/>
        </w:rPr>
        <w:t xml:space="preserve">: </w:t>
      </w:r>
    </w:p>
    <w:p w:rsidR="00CC104F" w:rsidRPr="00481D18" w:rsidRDefault="00CC104F" w:rsidP="00CC104F">
      <w:pPr>
        <w:tabs>
          <w:tab w:val="left" w:pos="4920"/>
        </w:tabs>
        <w:spacing w:after="0" w:line="240" w:lineRule="auto"/>
        <w:ind w:left="2832"/>
        <w:jc w:val="both"/>
        <w:rPr>
          <w:rFonts w:ascii="Arial" w:hAnsi="Arial" w:cs="Arial"/>
          <w:iCs/>
        </w:rPr>
      </w:pPr>
      <w:r w:rsidRPr="00481D18">
        <w:rPr>
          <w:rFonts w:ascii="Arial" w:hAnsi="Arial" w:cs="Arial"/>
          <w:i/>
          <w:iCs/>
        </w:rPr>
        <w:t xml:space="preserve">                  </w:t>
      </w:r>
      <w:r w:rsidRPr="00481D18">
        <w:rPr>
          <w:rFonts w:ascii="Arial" w:hAnsi="Arial" w:cs="Arial"/>
          <w:i/>
          <w:iCs/>
        </w:rPr>
        <w:tab/>
      </w:r>
      <w:r w:rsidRPr="00481D18">
        <w:rPr>
          <w:rFonts w:ascii="Arial" w:hAnsi="Arial" w:cs="Arial"/>
          <w:iCs/>
        </w:rPr>
        <w:t>Irányító Hatóság</w:t>
      </w:r>
    </w:p>
    <w:p w:rsidR="00CC104F" w:rsidRPr="00481D18" w:rsidRDefault="00CC104F" w:rsidP="00CC104F">
      <w:pPr>
        <w:tabs>
          <w:tab w:val="left" w:pos="4920"/>
        </w:tabs>
        <w:spacing w:after="0" w:line="240" w:lineRule="auto"/>
        <w:ind w:left="2832"/>
        <w:jc w:val="both"/>
        <w:rPr>
          <w:rFonts w:ascii="Arial" w:hAnsi="Arial" w:cs="Arial"/>
          <w:iCs/>
        </w:rPr>
      </w:pPr>
      <w:r w:rsidRPr="00481D18">
        <w:rPr>
          <w:rFonts w:ascii="Arial" w:hAnsi="Arial" w:cs="Arial"/>
          <w:color w:val="000000"/>
        </w:rPr>
        <w:tab/>
        <w:t>Magyar Államkincstár</w:t>
      </w:r>
      <w:r w:rsidRPr="00481D18">
        <w:rPr>
          <w:rFonts w:ascii="Arial" w:hAnsi="Arial" w:cs="Arial"/>
          <w:iCs/>
        </w:rPr>
        <w:t xml:space="preserve">          </w:t>
      </w:r>
    </w:p>
    <w:p w:rsidR="00CC104F" w:rsidRPr="00481D18" w:rsidRDefault="00CC104F" w:rsidP="00CC104F">
      <w:pPr>
        <w:tabs>
          <w:tab w:val="left" w:pos="4920"/>
        </w:tabs>
        <w:spacing w:after="0" w:line="240" w:lineRule="auto"/>
        <w:ind w:left="4111"/>
        <w:jc w:val="both"/>
        <w:rPr>
          <w:rFonts w:ascii="Arial" w:hAnsi="Arial" w:cs="Arial"/>
        </w:rPr>
      </w:pPr>
      <w:r w:rsidRPr="00481D18">
        <w:rPr>
          <w:rFonts w:ascii="Arial" w:hAnsi="Arial" w:cs="Arial"/>
          <w:iCs/>
        </w:rPr>
        <w:t xml:space="preserve"> </w:t>
      </w:r>
      <w:r w:rsidRPr="00481D18">
        <w:rPr>
          <w:rFonts w:ascii="Arial" w:hAnsi="Arial" w:cs="Arial"/>
          <w:iCs/>
        </w:rPr>
        <w:tab/>
        <w:t xml:space="preserve">Bátaszéki KÖH </w:t>
      </w:r>
      <w:proofErr w:type="spellStart"/>
      <w:r w:rsidRPr="00481D18">
        <w:rPr>
          <w:rFonts w:ascii="Arial" w:hAnsi="Arial" w:cs="Arial"/>
          <w:iCs/>
        </w:rPr>
        <w:t>városüz</w:t>
      </w:r>
      <w:proofErr w:type="spellEnd"/>
      <w:r w:rsidRPr="00481D18">
        <w:rPr>
          <w:rFonts w:ascii="Arial" w:hAnsi="Arial" w:cs="Arial"/>
        </w:rPr>
        <w:t>. iroda</w:t>
      </w:r>
    </w:p>
    <w:p w:rsidR="00CC104F" w:rsidRPr="00481D18" w:rsidRDefault="00CC104F" w:rsidP="00CC104F">
      <w:pPr>
        <w:tabs>
          <w:tab w:val="left" w:pos="4920"/>
        </w:tabs>
        <w:spacing w:after="0" w:line="240" w:lineRule="auto"/>
        <w:ind w:left="2832"/>
        <w:jc w:val="both"/>
        <w:rPr>
          <w:rFonts w:ascii="Arial" w:hAnsi="Arial" w:cs="Arial"/>
          <w:iCs/>
        </w:rPr>
      </w:pPr>
      <w:r w:rsidRPr="00481D18">
        <w:rPr>
          <w:rFonts w:ascii="Arial" w:hAnsi="Arial" w:cs="Arial"/>
          <w:i/>
          <w:iCs/>
        </w:rPr>
        <w:t xml:space="preserve">                    </w:t>
      </w:r>
      <w:r w:rsidRPr="00481D18">
        <w:rPr>
          <w:rFonts w:ascii="Arial" w:hAnsi="Arial" w:cs="Arial"/>
          <w:i/>
          <w:iCs/>
        </w:rPr>
        <w:tab/>
      </w:r>
      <w:r w:rsidRPr="00481D18">
        <w:rPr>
          <w:rFonts w:ascii="Arial" w:hAnsi="Arial" w:cs="Arial"/>
          <w:iCs/>
        </w:rPr>
        <w:t>Bátaszéki KÖH pénzügyi iroda</w:t>
      </w:r>
    </w:p>
    <w:p w:rsidR="00CC104F" w:rsidRPr="00481D18" w:rsidRDefault="00CC104F" w:rsidP="00CC104F">
      <w:pPr>
        <w:tabs>
          <w:tab w:val="left" w:pos="4920"/>
        </w:tabs>
        <w:spacing w:after="0" w:line="240" w:lineRule="auto"/>
        <w:ind w:left="2832"/>
        <w:jc w:val="both"/>
        <w:rPr>
          <w:rFonts w:ascii="Arial" w:hAnsi="Arial" w:cs="Arial"/>
          <w:iCs/>
        </w:rPr>
      </w:pPr>
      <w:r w:rsidRPr="00481D18">
        <w:rPr>
          <w:rFonts w:ascii="Arial" w:hAnsi="Arial" w:cs="Arial"/>
          <w:iCs/>
        </w:rPr>
        <w:t xml:space="preserve">                    </w:t>
      </w:r>
      <w:r w:rsidRPr="00481D18">
        <w:rPr>
          <w:rFonts w:ascii="Arial" w:hAnsi="Arial" w:cs="Arial"/>
          <w:iCs/>
        </w:rPr>
        <w:tab/>
      </w:r>
      <w:proofErr w:type="gramStart"/>
      <w:r w:rsidRPr="00481D18">
        <w:rPr>
          <w:rFonts w:ascii="Arial" w:hAnsi="Arial" w:cs="Arial"/>
          <w:iCs/>
        </w:rPr>
        <w:t>irattár</w:t>
      </w:r>
      <w:proofErr w:type="gramEnd"/>
    </w:p>
    <w:p w:rsidR="00CC104F" w:rsidRPr="00481D18" w:rsidRDefault="00CC104F" w:rsidP="00CC104F">
      <w:pPr>
        <w:spacing w:after="0" w:line="240" w:lineRule="auto"/>
        <w:ind w:firstLine="708"/>
        <w:rPr>
          <w:rFonts w:ascii="Arial" w:hAnsi="Arial" w:cs="Arial"/>
          <w:b/>
        </w:rPr>
      </w:pPr>
    </w:p>
    <w:p w:rsidR="00CC104F" w:rsidRPr="00481D18" w:rsidRDefault="00CC104F" w:rsidP="00CC104F">
      <w:pPr>
        <w:spacing w:line="259" w:lineRule="auto"/>
        <w:rPr>
          <w:rFonts w:ascii="Arial" w:hAnsi="Arial" w:cs="Arial"/>
          <w:b/>
        </w:rPr>
      </w:pPr>
      <w:r w:rsidRPr="00481D18">
        <w:rPr>
          <w:rFonts w:ascii="Arial" w:hAnsi="Arial" w:cs="Arial"/>
          <w:b/>
        </w:rPr>
        <w:br w:type="page"/>
      </w:r>
    </w:p>
    <w:p w:rsidR="007C0030" w:rsidRDefault="008957B1" w:rsidP="008957B1">
      <w:pPr>
        <w:tabs>
          <w:tab w:val="left" w:pos="567"/>
          <w:tab w:val="left" w:pos="3402"/>
          <w:tab w:val="left" w:pos="6237"/>
        </w:tabs>
        <w:spacing w:after="0" w:line="240" w:lineRule="auto"/>
        <w:rPr>
          <w:rFonts w:ascii="Arial" w:hAnsi="Arial" w:cs="Arial"/>
          <w:iCs/>
        </w:rPr>
      </w:pPr>
      <w:r>
        <w:rPr>
          <w:rFonts w:ascii="Arial" w:hAnsi="Arial" w:cs="Arial"/>
          <w:iCs/>
        </w:rPr>
        <w:lastRenderedPageBreak/>
        <w:t>1</w:t>
      </w:r>
      <w:proofErr w:type="gramStart"/>
      <w:r>
        <w:rPr>
          <w:rFonts w:ascii="Arial" w:hAnsi="Arial" w:cs="Arial"/>
          <w:iCs/>
        </w:rPr>
        <w:t>.sz.</w:t>
      </w:r>
      <w:proofErr w:type="gramEnd"/>
      <w:r>
        <w:rPr>
          <w:rFonts w:ascii="Arial" w:hAnsi="Arial" w:cs="Arial"/>
          <w:iCs/>
        </w:rPr>
        <w:t xml:space="preserve"> melléklet</w:t>
      </w:r>
    </w:p>
    <w:p w:rsidR="008957B1" w:rsidRDefault="008957B1" w:rsidP="008957B1">
      <w:pPr>
        <w:tabs>
          <w:tab w:val="left" w:pos="567"/>
          <w:tab w:val="left" w:pos="3402"/>
          <w:tab w:val="left" w:pos="6237"/>
        </w:tabs>
        <w:spacing w:after="0" w:line="240" w:lineRule="auto"/>
        <w:rPr>
          <w:rFonts w:ascii="Arial" w:hAnsi="Arial" w:cs="Arial"/>
          <w:iCs/>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500"/>
        <w:gridCol w:w="1512"/>
        <w:gridCol w:w="2028"/>
        <w:gridCol w:w="850"/>
        <w:gridCol w:w="1276"/>
        <w:gridCol w:w="1276"/>
        <w:gridCol w:w="1337"/>
      </w:tblGrid>
      <w:tr w:rsidR="00437D5B" w:rsidRPr="00437D5B" w:rsidTr="009768CA">
        <w:trPr>
          <w:jc w:val="center"/>
        </w:trPr>
        <w:tc>
          <w:tcPr>
            <w:tcW w:w="1206"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Támogatást igénylő</w:t>
            </w:r>
          </w:p>
        </w:tc>
        <w:tc>
          <w:tcPr>
            <w:tcW w:w="1500"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Költségkategória</w:t>
            </w:r>
          </w:p>
        </w:tc>
        <w:tc>
          <w:tcPr>
            <w:tcW w:w="1512"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Költségtípus</w:t>
            </w:r>
          </w:p>
        </w:tc>
        <w:tc>
          <w:tcPr>
            <w:tcW w:w="2028"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Megnevezés</w:t>
            </w:r>
          </w:p>
        </w:tc>
        <w:tc>
          <w:tcPr>
            <w:tcW w:w="850"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Mennyiség</w:t>
            </w:r>
          </w:p>
        </w:tc>
        <w:tc>
          <w:tcPr>
            <w:tcW w:w="1276"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Nettó egységár (Ft)</w:t>
            </w:r>
          </w:p>
        </w:tc>
        <w:tc>
          <w:tcPr>
            <w:tcW w:w="1276"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Nettó egységárra jutó ÁFA (Ft)</w:t>
            </w:r>
          </w:p>
        </w:tc>
        <w:tc>
          <w:tcPr>
            <w:tcW w:w="1337" w:type="dxa"/>
            <w:shd w:val="clear" w:color="auto" w:fill="BFBFBF" w:themeFill="background1" w:themeFillShade="BF"/>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noProof/>
                <w:sz w:val="20"/>
                <w:szCs w:val="20"/>
                <w:lang w:eastAsia="en-US"/>
              </w:rPr>
              <w:t>Összesen (Ft)</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Beruházáshoz kapcsolódó költségek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Építéshez kapcsolódó költségek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Kivitelezés költségei. A költségek megfelelnek a felhívásnak. Belső korláttal érintett tételek nem relevánsak.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232 675 667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232 675 667</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Beruházáshoz kapcsolódó költségek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Ingatlan vásárlás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Tulajdonviszonyok rendezésének (ingatlanvásárlás)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5 000 000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5 000 000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Beruházáshoz kapcsolódó költségek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Terület-előkészítési költség</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Régészet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5 050 000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5 050 000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Üzleti terv elkészítésének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3 000 000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3 000 000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Koncepcióterv elkészítésének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800 000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800 000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Környezeti állapotfelmérés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700 000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700 000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Rehabilitációs környezettervező szakmérnök szakvéleményének rehabilitációs tervfejezet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150 000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Kiviteli tervek elkészítésének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4 550 000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4 550 000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Műszaki tervek (engedélyes tervek) elkészítésének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2 530 000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2 530 000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Előzetes tanulmányok, engedélyezési dokumentumok költségei</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Hatósági díjak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 xml:space="preserve"> 550 000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550 000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 xml:space="preserve">Bátaszék </w:t>
            </w:r>
            <w:r w:rsidRPr="00437D5B">
              <w:rPr>
                <w:rFonts w:ascii="Arial" w:eastAsiaTheme="minorHAnsi" w:hAnsi="Arial" w:cs="Arial"/>
                <w:noProof/>
                <w:sz w:val="20"/>
                <w:szCs w:val="20"/>
                <w:lang w:eastAsia="en-US"/>
              </w:rPr>
              <w:lastRenderedPageBreak/>
              <w:t>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lastRenderedPageBreak/>
              <w:t xml:space="preserve">Projekt </w:t>
            </w:r>
            <w:r w:rsidRPr="00437D5B">
              <w:rPr>
                <w:rFonts w:ascii="Arial" w:eastAsiaTheme="minorHAnsi" w:hAnsi="Arial" w:cs="Arial"/>
                <w:noProof/>
                <w:sz w:val="20"/>
                <w:szCs w:val="20"/>
                <w:lang w:eastAsia="en-US"/>
              </w:rPr>
              <w:lastRenderedPageBreak/>
              <w:t>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lastRenderedPageBreak/>
              <w:t xml:space="preserve">Közbeszerzési </w:t>
            </w:r>
            <w:r w:rsidRPr="00437D5B">
              <w:rPr>
                <w:rFonts w:ascii="Arial" w:eastAsiaTheme="minorHAnsi" w:hAnsi="Arial" w:cs="Arial"/>
                <w:noProof/>
                <w:sz w:val="20"/>
                <w:szCs w:val="20"/>
                <w:lang w:eastAsia="en-US"/>
              </w:rPr>
              <w:lastRenderedPageBreak/>
              <w:t>költségek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lastRenderedPageBreak/>
              <w:t xml:space="preserve">Közbeszerzési </w:t>
            </w:r>
            <w:r w:rsidRPr="00437D5B">
              <w:rPr>
                <w:rFonts w:ascii="Arial" w:eastAsiaTheme="minorHAnsi" w:hAnsi="Arial" w:cs="Arial"/>
                <w:noProof/>
                <w:sz w:val="20"/>
                <w:szCs w:val="20"/>
                <w:lang w:eastAsia="en-US"/>
              </w:rPr>
              <w:lastRenderedPageBreak/>
              <w:t>szakértő díja, közbeszerzési dokumentáció összeállítása, közbeszerzési tanácsadói tevékenység.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1 850 000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1 850 000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lastRenderedPageBreak/>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előkészítés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Közbeszerzési költségek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Közbeszerzési eljárás díja.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500 000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menedzsment költség</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Projekt menedzsmenthez igénybevett szakértői szolgáltatás díja</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Külső projektmenedzsment cég által nyújtott szolgáltatás költsége, megbízási díj keretében. A tevékenység végigkíséri a megvalósítás időszakát, így összesen 32 hónapon át tart.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6 000 000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6 000 000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Szakmai tevékenységekhez kapcsolódó szolgáltatások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Kötelezően előírt nyilvánosság biztosításának költsége</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Kötelező nyilvánosság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291 338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291 338</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Szakmai tevékenységekhez kapcsolódó szolgáltatások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Egyéb mérnöki, szakértői díjak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Rehabilitációs környezettervező szakmérnök költsége a megvalósítás során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170 000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170 000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Szakmai tevékenységekhez kapcsolódó szolgáltatások költségei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Műszaki ellenőri szolgáltatás költsége</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Műszaki ellenőri szolgáltatás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2 500 000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2 500 000</w:t>
            </w:r>
          </w:p>
        </w:tc>
      </w:tr>
      <w:tr w:rsidR="00437D5B" w:rsidRPr="00437D5B" w:rsidTr="009768CA">
        <w:trPr>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Bátaszék Város Önkormányzata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Tartalék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Tartalék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Tartalék költsége.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774 334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774 334</w:t>
            </w:r>
          </w:p>
        </w:tc>
      </w:tr>
      <w:tr w:rsidR="00437D5B" w:rsidRPr="00437D5B" w:rsidTr="00437D5B">
        <w:trPr>
          <w:trHeight w:val="535"/>
          <w:jc w:val="center"/>
        </w:trPr>
        <w:tc>
          <w:tcPr>
            <w:tcW w:w="9648" w:type="dxa"/>
            <w:gridSpan w:val="7"/>
            <w:vAlign w:val="center"/>
          </w:tcPr>
          <w:p w:rsidR="00437D5B" w:rsidRPr="00437D5B" w:rsidRDefault="00437D5B" w:rsidP="00437D5B">
            <w:pPr>
              <w:spacing w:after="0"/>
              <w:jc w:val="center"/>
              <w:rPr>
                <w:rFonts w:ascii="Arial" w:eastAsiaTheme="minorHAnsi" w:hAnsi="Arial" w:cs="Arial"/>
                <w:b/>
                <w:noProof/>
                <w:sz w:val="20"/>
                <w:szCs w:val="20"/>
                <w:lang w:eastAsia="en-US"/>
              </w:rPr>
            </w:pPr>
            <w:r w:rsidRPr="00437D5B">
              <w:rPr>
                <w:rFonts w:ascii="Arial" w:eastAsiaTheme="minorHAnsi" w:hAnsi="Arial" w:cs="Arial"/>
                <w:b/>
                <w:sz w:val="20"/>
                <w:szCs w:val="20"/>
                <w:lang w:eastAsia="en-US"/>
              </w:rPr>
              <w:t>ELSZÁMOLHATÓ KÖLTSÉGEK:</w:t>
            </w:r>
          </w:p>
        </w:tc>
        <w:tc>
          <w:tcPr>
            <w:tcW w:w="1337" w:type="dxa"/>
            <w:shd w:val="clear" w:color="auto" w:fill="auto"/>
            <w:vAlign w:val="center"/>
          </w:tcPr>
          <w:p w:rsidR="00437D5B" w:rsidRPr="00437D5B" w:rsidRDefault="00437D5B" w:rsidP="00437D5B">
            <w:pPr>
              <w:spacing w:after="0"/>
              <w:jc w:val="center"/>
              <w:rPr>
                <w:rFonts w:ascii="Arial" w:eastAsiaTheme="minorHAnsi" w:hAnsi="Arial" w:cs="Arial"/>
                <w:noProof/>
                <w:sz w:val="20"/>
                <w:szCs w:val="20"/>
                <w:lang w:eastAsia="en-US"/>
              </w:rPr>
            </w:pPr>
            <w:r w:rsidRPr="00437D5B">
              <w:rPr>
                <w:rFonts w:ascii="Arial" w:eastAsiaTheme="minorHAnsi" w:hAnsi="Arial" w:cs="Arial"/>
                <w:noProof/>
                <w:sz w:val="20"/>
                <w:szCs w:val="20"/>
                <w:lang w:eastAsia="en-US"/>
              </w:rPr>
              <w:t>267 091 339</w:t>
            </w:r>
          </w:p>
        </w:tc>
      </w:tr>
    </w:tbl>
    <w:p w:rsidR="008957B1" w:rsidRDefault="008957B1" w:rsidP="008957B1">
      <w:pPr>
        <w:tabs>
          <w:tab w:val="left" w:pos="567"/>
          <w:tab w:val="left" w:pos="3402"/>
          <w:tab w:val="left" w:pos="6237"/>
        </w:tabs>
        <w:spacing w:after="0" w:line="240" w:lineRule="auto"/>
        <w:rPr>
          <w:rFonts w:ascii="Arial" w:hAnsi="Arial" w:cs="Arial"/>
          <w:iCs/>
        </w:rPr>
      </w:pPr>
    </w:p>
    <w:p w:rsidR="005F6AF5" w:rsidRDefault="005F6AF5" w:rsidP="008957B1">
      <w:pPr>
        <w:tabs>
          <w:tab w:val="left" w:pos="567"/>
          <w:tab w:val="left" w:pos="3402"/>
          <w:tab w:val="left" w:pos="6237"/>
        </w:tabs>
        <w:spacing w:after="0" w:line="240" w:lineRule="auto"/>
        <w:rPr>
          <w:rFonts w:ascii="Arial" w:hAnsi="Arial" w:cs="Arial"/>
          <w:iCs/>
        </w:rPr>
      </w:pPr>
    </w:p>
    <w:p w:rsidR="005F6AF5" w:rsidRDefault="005F6AF5" w:rsidP="008957B1">
      <w:pPr>
        <w:tabs>
          <w:tab w:val="left" w:pos="567"/>
          <w:tab w:val="left" w:pos="3402"/>
          <w:tab w:val="left" w:pos="6237"/>
        </w:tabs>
        <w:spacing w:after="0" w:line="240" w:lineRule="auto"/>
        <w:rPr>
          <w:rFonts w:ascii="Arial" w:hAnsi="Arial" w:cs="Arial"/>
          <w:iCs/>
        </w:rPr>
      </w:pPr>
    </w:p>
    <w:p w:rsidR="00F22C24" w:rsidRDefault="00F22C24" w:rsidP="008957B1">
      <w:pPr>
        <w:tabs>
          <w:tab w:val="left" w:pos="567"/>
          <w:tab w:val="left" w:pos="3402"/>
          <w:tab w:val="left" w:pos="6237"/>
        </w:tabs>
        <w:spacing w:after="0" w:line="240" w:lineRule="auto"/>
        <w:rPr>
          <w:rFonts w:ascii="Arial" w:hAnsi="Arial" w:cs="Arial"/>
          <w:iCs/>
        </w:rPr>
      </w:pPr>
    </w:p>
    <w:p w:rsidR="009768CA" w:rsidRDefault="009768CA" w:rsidP="008957B1">
      <w:pPr>
        <w:tabs>
          <w:tab w:val="left" w:pos="567"/>
          <w:tab w:val="left" w:pos="3402"/>
          <w:tab w:val="left" w:pos="6237"/>
        </w:tabs>
        <w:spacing w:after="0" w:line="240" w:lineRule="auto"/>
        <w:rPr>
          <w:rFonts w:ascii="Arial" w:hAnsi="Arial" w:cs="Arial"/>
          <w:iCs/>
        </w:rPr>
      </w:pPr>
    </w:p>
    <w:p w:rsidR="009768CA" w:rsidRDefault="009768CA" w:rsidP="008957B1">
      <w:pPr>
        <w:tabs>
          <w:tab w:val="left" w:pos="567"/>
          <w:tab w:val="left" w:pos="3402"/>
          <w:tab w:val="left" w:pos="6237"/>
        </w:tabs>
        <w:spacing w:after="0" w:line="240" w:lineRule="auto"/>
        <w:rPr>
          <w:rFonts w:ascii="Arial" w:hAnsi="Arial" w:cs="Arial"/>
          <w:iCs/>
        </w:rPr>
      </w:pPr>
    </w:p>
    <w:p w:rsidR="009768CA" w:rsidRDefault="009768CA" w:rsidP="008957B1">
      <w:pPr>
        <w:tabs>
          <w:tab w:val="left" w:pos="567"/>
          <w:tab w:val="left" w:pos="3402"/>
          <w:tab w:val="left" w:pos="6237"/>
        </w:tabs>
        <w:spacing w:after="0" w:line="240" w:lineRule="auto"/>
        <w:rPr>
          <w:rFonts w:ascii="Arial" w:hAnsi="Arial" w:cs="Arial"/>
          <w:iCs/>
        </w:rPr>
      </w:pPr>
    </w:p>
    <w:p w:rsidR="009768CA" w:rsidRDefault="009768CA" w:rsidP="008957B1">
      <w:pPr>
        <w:tabs>
          <w:tab w:val="left" w:pos="567"/>
          <w:tab w:val="left" w:pos="3402"/>
          <w:tab w:val="left" w:pos="6237"/>
        </w:tabs>
        <w:spacing w:after="0" w:line="240" w:lineRule="auto"/>
        <w:rPr>
          <w:rFonts w:ascii="Arial" w:hAnsi="Arial" w:cs="Arial"/>
          <w:iCs/>
        </w:rPr>
      </w:pPr>
    </w:p>
    <w:p w:rsidR="009768CA" w:rsidRDefault="009768CA" w:rsidP="008957B1">
      <w:pPr>
        <w:tabs>
          <w:tab w:val="left" w:pos="567"/>
          <w:tab w:val="left" w:pos="3402"/>
          <w:tab w:val="left" w:pos="6237"/>
        </w:tabs>
        <w:spacing w:after="0" w:line="240" w:lineRule="auto"/>
        <w:rPr>
          <w:rFonts w:ascii="Arial" w:hAnsi="Arial" w:cs="Arial"/>
          <w:iCs/>
        </w:rPr>
      </w:pPr>
    </w:p>
    <w:p w:rsidR="00F22C24" w:rsidRDefault="00F22C24" w:rsidP="008957B1">
      <w:pPr>
        <w:tabs>
          <w:tab w:val="left" w:pos="567"/>
          <w:tab w:val="left" w:pos="3402"/>
          <w:tab w:val="left" w:pos="6237"/>
        </w:tabs>
        <w:spacing w:after="0" w:line="240" w:lineRule="auto"/>
        <w:rPr>
          <w:rFonts w:ascii="Arial" w:hAnsi="Arial" w:cs="Arial"/>
          <w:iCs/>
        </w:rPr>
      </w:pPr>
    </w:p>
    <w:p w:rsidR="00F22C24" w:rsidRDefault="00F22C24" w:rsidP="008957B1">
      <w:pPr>
        <w:tabs>
          <w:tab w:val="left" w:pos="567"/>
          <w:tab w:val="left" w:pos="3402"/>
          <w:tab w:val="left" w:pos="6237"/>
        </w:tabs>
        <w:spacing w:after="0" w:line="240" w:lineRule="auto"/>
        <w:rPr>
          <w:rFonts w:ascii="Arial" w:hAnsi="Arial" w:cs="Arial"/>
          <w:iCs/>
        </w:rPr>
      </w:pPr>
    </w:p>
    <w:p w:rsidR="005F6AF5" w:rsidRDefault="005F6AF5" w:rsidP="008957B1">
      <w:pPr>
        <w:tabs>
          <w:tab w:val="left" w:pos="567"/>
          <w:tab w:val="left" w:pos="3402"/>
          <w:tab w:val="left" w:pos="6237"/>
        </w:tabs>
        <w:spacing w:after="0" w:line="240" w:lineRule="auto"/>
        <w:rPr>
          <w:rFonts w:ascii="Arial" w:hAnsi="Arial" w:cs="Arial"/>
          <w:iCs/>
        </w:rPr>
      </w:pPr>
      <w:r>
        <w:rPr>
          <w:rFonts w:ascii="Arial" w:hAnsi="Arial" w:cs="Arial"/>
          <w:iCs/>
        </w:rPr>
        <w:lastRenderedPageBreak/>
        <w:t>2.sz. melléklet</w:t>
      </w:r>
    </w:p>
    <w:p w:rsidR="005F6AF5" w:rsidRDefault="005F6AF5" w:rsidP="008957B1">
      <w:pPr>
        <w:tabs>
          <w:tab w:val="left" w:pos="567"/>
          <w:tab w:val="left" w:pos="3402"/>
          <w:tab w:val="left" w:pos="6237"/>
        </w:tabs>
        <w:spacing w:after="0" w:line="240" w:lineRule="auto"/>
        <w:rPr>
          <w:rFonts w:ascii="Arial" w:hAnsi="Arial" w:cs="Arial"/>
          <w:iCs/>
        </w:rPr>
      </w:pPr>
    </w:p>
    <w:p w:rsidR="005F6AF5" w:rsidRDefault="005F6AF5" w:rsidP="008957B1">
      <w:pPr>
        <w:tabs>
          <w:tab w:val="left" w:pos="567"/>
          <w:tab w:val="left" w:pos="3402"/>
          <w:tab w:val="left" w:pos="6237"/>
        </w:tabs>
        <w:spacing w:after="0" w:line="240" w:lineRule="auto"/>
        <w:rPr>
          <w:rFonts w:ascii="Arial" w:hAnsi="Arial" w:cs="Arial"/>
          <w:iCs/>
        </w:rPr>
      </w:pPr>
    </w:p>
    <w:tbl>
      <w:tblPr>
        <w:tblStyle w:val="Rcsostblzat1"/>
        <w:tblW w:w="10081" w:type="dxa"/>
        <w:jc w:val="center"/>
        <w:tblLayout w:type="fixed"/>
        <w:tblLook w:val="04A0" w:firstRow="1" w:lastRow="0" w:firstColumn="1" w:lastColumn="0" w:noHBand="0" w:noVBand="1"/>
      </w:tblPr>
      <w:tblGrid>
        <w:gridCol w:w="1419"/>
        <w:gridCol w:w="1954"/>
        <w:gridCol w:w="6708"/>
      </w:tblGrid>
      <w:tr w:rsidR="00437D5B" w:rsidRPr="00437D5B" w:rsidTr="007F2DDC">
        <w:trPr>
          <w:jc w:val="center"/>
        </w:trPr>
        <w:tc>
          <w:tcPr>
            <w:tcW w:w="1419" w:type="dxa"/>
            <w:shd w:val="clear" w:color="auto" w:fill="BFBFBF" w:themeFill="background1" w:themeFillShade="BF"/>
            <w:vAlign w:val="center"/>
          </w:tcPr>
          <w:p w:rsidR="00437D5B" w:rsidRPr="00437D5B" w:rsidRDefault="00437D5B" w:rsidP="00437D5B">
            <w:pPr>
              <w:spacing w:after="200" w:line="276" w:lineRule="auto"/>
              <w:jc w:val="center"/>
              <w:rPr>
                <w:rFonts w:ascii="Arial" w:eastAsiaTheme="minorEastAsia" w:hAnsi="Arial" w:cs="Arial"/>
                <w:b/>
              </w:rPr>
            </w:pPr>
            <w:r w:rsidRPr="00437D5B">
              <w:rPr>
                <w:rFonts w:ascii="Arial" w:eastAsiaTheme="minorEastAsia" w:hAnsi="Arial" w:cs="Arial"/>
                <w:b/>
              </w:rPr>
              <w:t>Mérföldkő sorszáma</w:t>
            </w:r>
          </w:p>
        </w:tc>
        <w:tc>
          <w:tcPr>
            <w:tcW w:w="1954" w:type="dxa"/>
            <w:shd w:val="clear" w:color="auto" w:fill="BFBFBF" w:themeFill="background1" w:themeFillShade="BF"/>
            <w:vAlign w:val="center"/>
          </w:tcPr>
          <w:p w:rsidR="00437D5B" w:rsidRPr="00437D5B" w:rsidRDefault="00437D5B" w:rsidP="00437D5B">
            <w:pPr>
              <w:spacing w:after="200" w:line="276" w:lineRule="auto"/>
              <w:jc w:val="center"/>
              <w:rPr>
                <w:rFonts w:ascii="Arial" w:eastAsiaTheme="minorEastAsia" w:hAnsi="Arial" w:cs="Arial"/>
                <w:b/>
              </w:rPr>
            </w:pPr>
            <w:r w:rsidRPr="00437D5B">
              <w:rPr>
                <w:rFonts w:ascii="Arial" w:eastAsiaTheme="minorEastAsia" w:hAnsi="Arial" w:cs="Arial"/>
                <w:b/>
              </w:rPr>
              <w:t>Mérföldkő elérésének tervezett dátuma</w:t>
            </w:r>
          </w:p>
        </w:tc>
        <w:tc>
          <w:tcPr>
            <w:tcW w:w="6708" w:type="dxa"/>
            <w:shd w:val="clear" w:color="auto" w:fill="BFBFBF" w:themeFill="background1" w:themeFillShade="BF"/>
            <w:vAlign w:val="center"/>
          </w:tcPr>
          <w:p w:rsidR="00437D5B" w:rsidRPr="00437D5B" w:rsidRDefault="00437D5B" w:rsidP="00437D5B">
            <w:pPr>
              <w:spacing w:after="200" w:line="276" w:lineRule="auto"/>
              <w:jc w:val="center"/>
              <w:rPr>
                <w:rFonts w:ascii="Arial" w:eastAsiaTheme="minorEastAsia" w:hAnsi="Arial" w:cs="Arial"/>
                <w:b/>
              </w:rPr>
            </w:pPr>
            <w:r w:rsidRPr="00437D5B">
              <w:rPr>
                <w:rFonts w:ascii="Arial" w:eastAsiaTheme="minorEastAsia" w:hAnsi="Arial" w:cs="Arial"/>
                <w:b/>
              </w:rPr>
              <w:t>Megvalósítani tervezett eredmény leírása</w:t>
            </w:r>
          </w:p>
        </w:tc>
      </w:tr>
      <w:tr w:rsidR="00437D5B" w:rsidRPr="00437D5B" w:rsidTr="007F2DDC">
        <w:trPr>
          <w:jc w:val="center"/>
        </w:trPr>
        <w:tc>
          <w:tcPr>
            <w:tcW w:w="1419" w:type="dxa"/>
          </w:tcPr>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t>1</w:t>
            </w:r>
          </w:p>
        </w:tc>
        <w:tc>
          <w:tcPr>
            <w:tcW w:w="1954" w:type="dxa"/>
          </w:tcPr>
          <w:p w:rsidR="00437D5B" w:rsidRPr="00437D5B" w:rsidRDefault="00437D5B" w:rsidP="00437D5B">
            <w:pPr>
              <w:spacing w:after="200" w:line="276" w:lineRule="auto"/>
              <w:jc w:val="center"/>
              <w:rPr>
                <w:rFonts w:ascii="Arial" w:eastAsiaTheme="minorEastAsia" w:hAnsi="Arial" w:cs="Arial"/>
                <w:highlight w:val="yellow"/>
              </w:rPr>
            </w:pPr>
            <w:r w:rsidRPr="00437D5B">
              <w:rPr>
                <w:rFonts w:ascii="Arial" w:eastAsiaTheme="minorEastAsia" w:hAnsi="Arial" w:cs="Arial"/>
              </w:rPr>
              <w:t>2018.10.31.</w:t>
            </w:r>
          </w:p>
        </w:tc>
        <w:tc>
          <w:tcPr>
            <w:tcW w:w="6708" w:type="dxa"/>
          </w:tcPr>
          <w:p w:rsidR="00437D5B" w:rsidRPr="00437D5B" w:rsidRDefault="00437D5B" w:rsidP="00437D5B">
            <w:pPr>
              <w:autoSpaceDE w:val="0"/>
              <w:autoSpaceDN w:val="0"/>
              <w:adjustRightInd w:val="0"/>
              <w:jc w:val="center"/>
              <w:rPr>
                <w:rFonts w:ascii="ArialMT" w:eastAsiaTheme="minorHAnsi" w:hAnsi="ArialMT" w:cs="ArialMT"/>
                <w:b/>
                <w:lang w:eastAsia="en-US"/>
              </w:rPr>
            </w:pPr>
            <w:r w:rsidRPr="00437D5B">
              <w:rPr>
                <w:rFonts w:ascii="ArialMT" w:eastAsiaTheme="minorHAnsi" w:hAnsi="ArialMT" w:cs="ArialMT"/>
                <w:b/>
                <w:lang w:eastAsia="en-US"/>
              </w:rPr>
              <w:t>Az IKT-2017-616-I1-00001115 iktatószámú döntés értelmében az 1. mérföldkő eléréséig teljesítendő feltételek:</w:t>
            </w:r>
          </w:p>
          <w:p w:rsidR="00437D5B" w:rsidRPr="00437D5B" w:rsidRDefault="00437D5B" w:rsidP="00437D5B">
            <w:pPr>
              <w:autoSpaceDE w:val="0"/>
              <w:autoSpaceDN w:val="0"/>
              <w:adjustRightInd w:val="0"/>
              <w:jc w:val="center"/>
              <w:rPr>
                <w:rFonts w:ascii="ArialMT" w:eastAsiaTheme="minorHAnsi" w:hAnsi="ArialMT" w:cs="ArialMT"/>
                <w:b/>
                <w:lang w:eastAsia="en-US"/>
              </w:rPr>
            </w:pPr>
          </w:p>
          <w:p w:rsidR="00437D5B" w:rsidRPr="00437D5B" w:rsidRDefault="00437D5B" w:rsidP="00437D5B">
            <w:pPr>
              <w:autoSpaceDE w:val="0"/>
              <w:autoSpaceDN w:val="0"/>
              <w:adjustRightInd w:val="0"/>
              <w:jc w:val="center"/>
              <w:rPr>
                <w:rFonts w:ascii="ArialMT" w:eastAsiaTheme="minorHAnsi" w:hAnsi="ArialMT" w:cs="ArialMT"/>
                <w:b/>
                <w:lang w:eastAsia="en-US"/>
              </w:rPr>
            </w:pPr>
            <w:r w:rsidRPr="00437D5B">
              <w:rPr>
                <w:rFonts w:ascii="ArialMT" w:eastAsiaTheme="minorHAnsi" w:hAnsi="ArialMT" w:cs="ArialMT"/>
                <w:b/>
                <w:lang w:eastAsia="en-US"/>
              </w:rPr>
              <w:t>„Kérjük, a rehabilitációs szakmérnök nyilatkozzon a komplex akadálymentesítés biztosításáról.”</w:t>
            </w:r>
          </w:p>
          <w:p w:rsidR="00437D5B" w:rsidRPr="00437D5B" w:rsidRDefault="00437D5B" w:rsidP="00437D5B">
            <w:pPr>
              <w:autoSpaceDE w:val="0"/>
              <w:autoSpaceDN w:val="0"/>
              <w:adjustRightInd w:val="0"/>
              <w:jc w:val="center"/>
              <w:rPr>
                <w:rFonts w:ascii="ArialMT" w:eastAsiaTheme="minorHAnsi" w:hAnsi="ArialMT" w:cs="ArialMT"/>
                <w:b/>
                <w:lang w:eastAsia="en-US"/>
              </w:rPr>
            </w:pPr>
            <w:r w:rsidRPr="00437D5B">
              <w:rPr>
                <w:rFonts w:ascii="ArialMT" w:eastAsiaTheme="minorHAnsi" w:hAnsi="ArialMT" w:cs="ArialMT"/>
                <w:b/>
                <w:lang w:eastAsia="en-US"/>
              </w:rPr>
              <w:t xml:space="preserve">„Felhívás 3.2 pontja: A Támogatást igénylőnek gondoskodnia kell a projekt előkészítése és tervezése, majd megvalósítása során arról, hogy a Felhívás 3.2 „a projekt műszaki-szakmai tartalmával és a megvalósítással kapcsolatos elvárások” pontjában felsorolt, a beruházás tartalma esetében releváns szempontoknak és feltételeknek megfeleljen a projekt. A fenti feltételrendszer teljesülését legkésőbb az előkészítéshez köthető 1. mérföldkő végéig kell igazolnia a Támogatást Igénylőnek, illetve ellenőriznie a Támogatónak. Tulajdonviszonyok: A Felhívás 3.4.2 pontja értelmében a rendezett tulajdoni viszonyokat az első mérföldkő lezárásáig igazolni szükséges. Zöldmező: Amennyiben a fejlesztéssel érintett terület jelenleg zöldmezős, a felhívás 3.2 </w:t>
            </w:r>
            <w:proofErr w:type="spellStart"/>
            <w:r w:rsidRPr="00437D5B">
              <w:rPr>
                <w:rFonts w:ascii="ArialMT" w:eastAsiaTheme="minorHAnsi" w:hAnsi="ArialMT" w:cs="ArialMT"/>
                <w:b/>
                <w:lang w:eastAsia="en-US"/>
              </w:rPr>
              <w:t>bb</w:t>
            </w:r>
            <w:proofErr w:type="spellEnd"/>
            <w:r w:rsidRPr="00437D5B">
              <w:rPr>
                <w:rFonts w:ascii="ArialMT" w:eastAsiaTheme="minorHAnsi" w:hAnsi="ArialMT" w:cs="ArialMT"/>
                <w:b/>
                <w:lang w:eastAsia="en-US"/>
              </w:rPr>
              <w:t>) pontja értelmében, a beruházás megkezdése előtt el kell készíttetni a projekt által érintett terület környezeti állapotfelmérését, a projekt által érintett környezeti elemekre, rendszerekre vonatkozóan, legkésőbb a projektfejlesztés során a projekt tartalmi-műszaki előkészítésére vonatkozó mérföldkő teljesítésekor. Továbbá zöldmezős beruházás esetén az első kifizetési kérelemig a termőföldnek minősülő területnek rendelkeznie kell a termőföld végleges más célú hasznosítására vonatkozó jogerős ingatlanügyi hatósági engedéllyel. A tájékoztatás, nyilvánosság biztosítás költségelem vonatkozásában a „Kommunikációs csomagok keretében elszámolható költségek felső korlátai” című dokumentumban szereplő feltételnek való megfelelést kérjük, a projekt-előkészítési mérföldkő végéig igazolni szíveskedjenek.”</w:t>
            </w:r>
          </w:p>
          <w:p w:rsidR="00437D5B" w:rsidRPr="00437D5B" w:rsidRDefault="00437D5B" w:rsidP="00437D5B">
            <w:pPr>
              <w:autoSpaceDE w:val="0"/>
              <w:autoSpaceDN w:val="0"/>
              <w:adjustRightInd w:val="0"/>
              <w:rPr>
                <w:rFonts w:ascii="ArialMT" w:eastAsiaTheme="minorHAnsi" w:hAnsi="ArialMT" w:cs="ArialMT"/>
                <w:lang w:eastAsia="en-US"/>
              </w:rPr>
            </w:pPr>
          </w:p>
          <w:p w:rsidR="00437D5B" w:rsidRPr="00437D5B" w:rsidRDefault="00437D5B" w:rsidP="00437D5B">
            <w:pPr>
              <w:autoSpaceDE w:val="0"/>
              <w:autoSpaceDN w:val="0"/>
              <w:adjustRightInd w:val="0"/>
              <w:jc w:val="center"/>
              <w:rPr>
                <w:rFonts w:ascii="Arial" w:eastAsiaTheme="minorEastAsia" w:hAnsi="Arial" w:cs="Arial"/>
              </w:rPr>
            </w:pPr>
            <w:r w:rsidRPr="00437D5B">
              <w:rPr>
                <w:rFonts w:ascii="Arial" w:eastAsiaTheme="minorEastAsia" w:hAnsi="Arial" w:cs="Arial"/>
              </w:rPr>
              <w:t>Műszaki tervdokumentációk elkészítése, tulajdonviszonyok rendezése, közbeszerzés lefolytatása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Elkészülnek a szükséges dokumentációk: engedélyes tervdokumentáció, szükséges nyilatkozatok, igazolások, kiviteli tervdokumentáció, tételes tervezői költségvetés.</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tulajdonviszonyok rendezésre kerülnek.</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szükséges közbeszerzés lefolytatásra kerül.</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Projektmenedzsment tevékenység, kötelező tájékoztatás és nyilvánosság feladatok folyamatosak.</w:t>
            </w:r>
          </w:p>
          <w:p w:rsidR="00437D5B" w:rsidRPr="00437D5B" w:rsidRDefault="00437D5B" w:rsidP="00437D5B">
            <w:pPr>
              <w:jc w:val="center"/>
              <w:rPr>
                <w:rFonts w:ascii="Arial" w:eastAsiaTheme="minorEastAsia" w:hAnsi="Arial" w:cs="Arial"/>
              </w:rPr>
            </w:pPr>
          </w:p>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t>A mérföldkő esetében tervezett költség nettó 21.275.669,- Ft.</w:t>
            </w:r>
          </w:p>
        </w:tc>
      </w:tr>
      <w:tr w:rsidR="00437D5B" w:rsidRPr="00437D5B" w:rsidTr="007F2DDC">
        <w:trPr>
          <w:jc w:val="center"/>
        </w:trPr>
        <w:tc>
          <w:tcPr>
            <w:tcW w:w="1419" w:type="dxa"/>
          </w:tcPr>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t>2</w:t>
            </w:r>
          </w:p>
        </w:tc>
        <w:tc>
          <w:tcPr>
            <w:tcW w:w="1954" w:type="dxa"/>
          </w:tcPr>
          <w:p w:rsidR="00437D5B" w:rsidRPr="00437D5B" w:rsidRDefault="00437D5B" w:rsidP="00437D5B">
            <w:pPr>
              <w:spacing w:after="200" w:line="276" w:lineRule="auto"/>
              <w:jc w:val="center"/>
              <w:rPr>
                <w:rFonts w:ascii="Arial" w:eastAsiaTheme="minorEastAsia" w:hAnsi="Arial" w:cs="Arial"/>
                <w:highlight w:val="yellow"/>
              </w:rPr>
            </w:pPr>
            <w:r w:rsidRPr="00437D5B">
              <w:rPr>
                <w:rFonts w:ascii="Arial" w:eastAsiaTheme="minorEastAsia" w:hAnsi="Arial" w:cs="Arial"/>
              </w:rPr>
              <w:t>2019.02.28.</w:t>
            </w:r>
          </w:p>
        </w:tc>
        <w:tc>
          <w:tcPr>
            <w:tcW w:w="6708"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projekt kivitelezésének 25%-os készültségi foka, melynek keretében a következő tevékenységekhez kapcsolódó költségek kerülnek elszámolásra: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épület építése: irtás, föld- és sziklamunka, síkalapozás, helyszíni beton- és vasbeton munka, fém- és könnyűszerkezet szerelése, burkolás, bádogozás, üvegezés, szigetelés, közmű csatornaépítés, villanyszerelés</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elektromos hálózat kialakítása: irtás, föld- és sziklamunka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gázhálózat: közmű csatornaépítés</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elektromos hálózat: villanyszerelés</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Műszaki ellenőrzés, régészet, projektmenedzsment tevékenység, kötelező tájékoztatás és nyilvánosság feladatok folyamatosak.</w:t>
            </w:r>
          </w:p>
          <w:p w:rsidR="00437D5B" w:rsidRPr="00437D5B" w:rsidRDefault="00437D5B" w:rsidP="00437D5B">
            <w:pPr>
              <w:spacing w:after="200" w:line="276" w:lineRule="auto"/>
              <w:jc w:val="center"/>
              <w:rPr>
                <w:rFonts w:ascii="Arial" w:eastAsiaTheme="minorEastAsia" w:hAnsi="Arial" w:cs="Arial"/>
              </w:rPr>
            </w:pPr>
          </w:p>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t>A mérföldkő esetében tervezett költség nettó 62.818.917,- Ft.</w:t>
            </w:r>
          </w:p>
        </w:tc>
      </w:tr>
      <w:tr w:rsidR="00437D5B" w:rsidRPr="00437D5B" w:rsidTr="007F2DDC">
        <w:trPr>
          <w:jc w:val="center"/>
        </w:trPr>
        <w:tc>
          <w:tcPr>
            <w:tcW w:w="1419" w:type="dxa"/>
          </w:tcPr>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lastRenderedPageBreak/>
              <w:t>3</w:t>
            </w:r>
          </w:p>
        </w:tc>
        <w:tc>
          <w:tcPr>
            <w:tcW w:w="1954" w:type="dxa"/>
          </w:tcPr>
          <w:p w:rsidR="00437D5B" w:rsidRPr="00437D5B" w:rsidRDefault="00437D5B" w:rsidP="00437D5B">
            <w:pPr>
              <w:spacing w:after="200" w:line="276" w:lineRule="auto"/>
              <w:jc w:val="center"/>
              <w:rPr>
                <w:rFonts w:ascii="Arial" w:eastAsiaTheme="minorEastAsia" w:hAnsi="Arial" w:cs="Arial"/>
                <w:highlight w:val="yellow"/>
              </w:rPr>
            </w:pPr>
            <w:r w:rsidRPr="00437D5B">
              <w:rPr>
                <w:rFonts w:ascii="Arial" w:eastAsiaTheme="minorEastAsia" w:hAnsi="Arial" w:cs="Arial"/>
              </w:rPr>
              <w:t>2019.06.30.</w:t>
            </w:r>
          </w:p>
        </w:tc>
        <w:tc>
          <w:tcPr>
            <w:tcW w:w="6708"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projekt kivitelezésének 50%-os készültségi foka, melynek keretében a következő tevékenységekhez kapcsolódó költségek kerülnek elszámolásra: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szennyvízelvezetés: irtás, föld- és sziklamunka, közmű csatornaépítés, közmű és rézsűburkolat készítése, egyéb vízépítési munkák</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vízvezeték kiépítése: irtás, föld- és sziklamunka, helyszíni beton- és vasbeton munka, közmű csatornaépítés, közmű és rézsűburkolat készítése, egyéb vízépítési munkák, épületgépészeti csővezetés fektetése</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xml:space="preserve">- </w:t>
            </w:r>
            <w:proofErr w:type="gramStart"/>
            <w:r w:rsidRPr="00437D5B">
              <w:rPr>
                <w:rFonts w:ascii="Arial" w:eastAsiaTheme="minorEastAsia" w:hAnsi="Arial" w:cs="Arial"/>
              </w:rPr>
              <w:t>épület építés</w:t>
            </w:r>
            <w:proofErr w:type="gramEnd"/>
            <w:r w:rsidRPr="00437D5B">
              <w:rPr>
                <w:rFonts w:ascii="Arial" w:eastAsiaTheme="minorEastAsia" w:hAnsi="Arial" w:cs="Arial"/>
              </w:rPr>
              <w:t>: közmű és rézsűburkolat készítése, egyéb vízépítési munkák</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gázhálózat: közmű és rézsűburkolat készítése, egyéb vízépítési munkák</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Régészet tevékenysége megvalósul, műszaki ellenőrzés, projektmenedzsment tevékenység, kötelező tájékoztatás és nyilvánosság feladatok folyamatosak.</w:t>
            </w:r>
          </w:p>
          <w:p w:rsidR="00437D5B" w:rsidRPr="00437D5B" w:rsidRDefault="00437D5B" w:rsidP="00437D5B">
            <w:pPr>
              <w:spacing w:after="200" w:line="276" w:lineRule="auto"/>
              <w:jc w:val="center"/>
              <w:rPr>
                <w:rFonts w:ascii="Arial" w:eastAsiaTheme="minorEastAsia" w:hAnsi="Arial" w:cs="Arial"/>
              </w:rPr>
            </w:pPr>
          </w:p>
          <w:p w:rsidR="00437D5B" w:rsidRPr="00437D5B" w:rsidRDefault="00437D5B" w:rsidP="00437D5B">
            <w:pPr>
              <w:spacing w:after="200" w:line="276" w:lineRule="auto"/>
              <w:jc w:val="center"/>
              <w:rPr>
                <w:rFonts w:ascii="Arial" w:eastAsiaTheme="minorEastAsia" w:hAnsi="Arial" w:cs="Arial"/>
              </w:rPr>
            </w:pPr>
            <w:r w:rsidRPr="00437D5B">
              <w:rPr>
                <w:rFonts w:ascii="Arial" w:eastAsiaTheme="minorEastAsia" w:hAnsi="Arial" w:cs="Arial"/>
              </w:rPr>
              <w:t>A mérföldkő esetében tervezett költség nettó 61.318.917,- Ft.</w:t>
            </w:r>
          </w:p>
        </w:tc>
      </w:tr>
      <w:tr w:rsidR="00437D5B" w:rsidRPr="00437D5B" w:rsidTr="007F2DDC">
        <w:trPr>
          <w:jc w:val="center"/>
        </w:trPr>
        <w:tc>
          <w:tcPr>
            <w:tcW w:w="1419"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4</w:t>
            </w:r>
          </w:p>
        </w:tc>
        <w:tc>
          <w:tcPr>
            <w:tcW w:w="1954" w:type="dxa"/>
          </w:tcPr>
          <w:p w:rsidR="00437D5B" w:rsidRPr="00437D5B" w:rsidRDefault="00437D5B" w:rsidP="00437D5B">
            <w:pPr>
              <w:jc w:val="center"/>
              <w:rPr>
                <w:rFonts w:ascii="Arial" w:eastAsiaTheme="minorEastAsia" w:hAnsi="Arial" w:cs="Arial"/>
                <w:highlight w:val="yellow"/>
              </w:rPr>
            </w:pPr>
            <w:r w:rsidRPr="00437D5B">
              <w:rPr>
                <w:rFonts w:ascii="Arial" w:eastAsiaTheme="minorEastAsia" w:hAnsi="Arial" w:cs="Arial"/>
              </w:rPr>
              <w:t>2019.10.31.</w:t>
            </w:r>
          </w:p>
        </w:tc>
        <w:tc>
          <w:tcPr>
            <w:tcW w:w="6708"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projekt kivitelezésének 75%-os készültségi foka, melynek keretében a következő tevékenységekhez kapcsolódó költségek kerülnek elszámolásra: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xml:space="preserve">- útépítés 2: irtás, föld- és sziklamunka, </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csapadékvíz elvezetés: irtás, föld- és sziklamunka, helyszíni beton- és vasbeton munka, közmű csatornaépítés</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Műszaki ellenőrzés, projektmenedzsment tevékenység, kötelező tájékoztatás és nyilvánosság feladatok folyamatosak.</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mérföldkő esetében tervezett költség nettó 60.293.917,- Ft.</w:t>
            </w:r>
          </w:p>
        </w:tc>
      </w:tr>
      <w:tr w:rsidR="00437D5B" w:rsidRPr="00437D5B" w:rsidTr="007F2DDC">
        <w:trPr>
          <w:jc w:val="center"/>
        </w:trPr>
        <w:tc>
          <w:tcPr>
            <w:tcW w:w="1419"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5</w:t>
            </w:r>
          </w:p>
        </w:tc>
        <w:tc>
          <w:tcPr>
            <w:tcW w:w="1954" w:type="dxa"/>
          </w:tcPr>
          <w:p w:rsidR="00437D5B" w:rsidRPr="00437D5B" w:rsidRDefault="00437D5B" w:rsidP="00437D5B">
            <w:pPr>
              <w:jc w:val="center"/>
              <w:rPr>
                <w:rFonts w:ascii="Arial" w:eastAsiaTheme="minorEastAsia" w:hAnsi="Arial" w:cs="Arial"/>
                <w:highlight w:val="yellow"/>
              </w:rPr>
            </w:pPr>
            <w:r w:rsidRPr="00437D5B">
              <w:rPr>
                <w:rFonts w:ascii="Arial" w:eastAsiaTheme="minorEastAsia" w:hAnsi="Arial" w:cs="Arial"/>
              </w:rPr>
              <w:t>2020.01.31.</w:t>
            </w:r>
          </w:p>
        </w:tc>
        <w:tc>
          <w:tcPr>
            <w:tcW w:w="6708"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projekt kivitelezésének 100%-os készültségi foka, melynek keretében a következő tevékenységekhez kapcsolódó költségek kerülnek elszámolásra:</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útépítés 1: irtás, föld- és sziklamunka, közmű csatornaépítés, útburkolat alap és makadámburkolat készítése, Bitumenes alap és burkolat készítése, Út és vasúti pályatartozékok</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útépítés 2: útburkolat alap és makadámburkolat készítése, Bitumenes alap és burkolat készítése, Út és vasúti pályatartozékok</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Műszaki ellenőrzés tevékenysége megvalósul.</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Projektmenedzsment tevékenység, kötelező tájékoztatás és nyilvánosság feladatok folyamatosak.</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mérföldkő esetében tervezett költség nettó 58.793.916,- Ft.</w:t>
            </w:r>
          </w:p>
        </w:tc>
      </w:tr>
      <w:tr w:rsidR="00437D5B" w:rsidRPr="00437D5B" w:rsidTr="007F2DDC">
        <w:trPr>
          <w:jc w:val="center"/>
        </w:trPr>
        <w:tc>
          <w:tcPr>
            <w:tcW w:w="1419"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6</w:t>
            </w:r>
          </w:p>
        </w:tc>
        <w:tc>
          <w:tcPr>
            <w:tcW w:w="1954" w:type="dxa"/>
          </w:tcPr>
          <w:p w:rsidR="00437D5B" w:rsidRPr="00437D5B" w:rsidRDefault="00437D5B" w:rsidP="00437D5B">
            <w:pPr>
              <w:jc w:val="center"/>
              <w:rPr>
                <w:rFonts w:ascii="Arial" w:eastAsiaTheme="minorEastAsia" w:hAnsi="Arial" w:cs="Arial"/>
                <w:highlight w:val="yellow"/>
              </w:rPr>
            </w:pPr>
            <w:r w:rsidRPr="00437D5B">
              <w:rPr>
                <w:rFonts w:ascii="Arial" w:eastAsiaTheme="minorEastAsia" w:hAnsi="Arial" w:cs="Arial"/>
              </w:rPr>
              <w:t>2020.03.31.</w:t>
            </w:r>
          </w:p>
        </w:tc>
        <w:tc>
          <w:tcPr>
            <w:tcW w:w="6708" w:type="dxa"/>
          </w:tcPr>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teljes projekt fizikai befejezése.</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 xml:space="preserve">A következő dokumentumok kerülnek benyújtásra: műszaki ellenőr beszámolója, fotódokumentáció, </w:t>
            </w:r>
            <w:proofErr w:type="gramStart"/>
            <w:r w:rsidRPr="00437D5B">
              <w:rPr>
                <w:rFonts w:ascii="Arial" w:eastAsiaTheme="minorEastAsia" w:hAnsi="Arial" w:cs="Arial"/>
              </w:rPr>
              <w:t>teljesítés igazolások</w:t>
            </w:r>
            <w:proofErr w:type="gramEnd"/>
            <w:r w:rsidRPr="00437D5B">
              <w:rPr>
                <w:rFonts w:ascii="Arial" w:eastAsiaTheme="minorEastAsia" w:hAnsi="Arial" w:cs="Arial"/>
              </w:rPr>
              <w:t>, egyéb projektzárást igazoló dokumentumok, záró kifizetési igénylés.</w:t>
            </w: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Projektmenedzsment tevékenység, kötelező tájékoztatás és nyilvánosság feladatok lezárulnak.</w:t>
            </w:r>
          </w:p>
          <w:p w:rsidR="00437D5B" w:rsidRPr="00437D5B" w:rsidRDefault="00437D5B" w:rsidP="00437D5B">
            <w:pPr>
              <w:jc w:val="center"/>
              <w:rPr>
                <w:rFonts w:ascii="Arial" w:eastAsiaTheme="minorEastAsia" w:hAnsi="Arial" w:cs="Arial"/>
              </w:rPr>
            </w:pPr>
          </w:p>
          <w:p w:rsidR="00437D5B" w:rsidRPr="00437D5B" w:rsidRDefault="00437D5B" w:rsidP="00437D5B">
            <w:pPr>
              <w:jc w:val="center"/>
              <w:rPr>
                <w:rFonts w:ascii="Arial" w:eastAsiaTheme="minorEastAsia" w:hAnsi="Arial" w:cs="Arial"/>
              </w:rPr>
            </w:pPr>
            <w:r w:rsidRPr="00437D5B">
              <w:rPr>
                <w:rFonts w:ascii="Arial" w:eastAsiaTheme="minorEastAsia" w:hAnsi="Arial" w:cs="Arial"/>
              </w:rPr>
              <w:t>A mérföldkő esetében tervezett költség nettó 2.590.003,- Ft.</w:t>
            </w:r>
          </w:p>
        </w:tc>
      </w:tr>
    </w:tbl>
    <w:p w:rsidR="005F6AF5" w:rsidRPr="00D534C7" w:rsidRDefault="005F6AF5" w:rsidP="008957B1">
      <w:pPr>
        <w:tabs>
          <w:tab w:val="left" w:pos="567"/>
          <w:tab w:val="left" w:pos="3402"/>
          <w:tab w:val="left" w:pos="6237"/>
        </w:tabs>
        <w:spacing w:after="0" w:line="240" w:lineRule="auto"/>
        <w:rPr>
          <w:rFonts w:ascii="Arial" w:hAnsi="Arial" w:cs="Arial"/>
          <w:iCs/>
        </w:rPr>
      </w:pPr>
    </w:p>
    <w:sectPr w:rsidR="005F6AF5" w:rsidRPr="00D534C7" w:rsidSect="00437D5B">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CA5"/>
    <w:multiLevelType w:val="hybridMultilevel"/>
    <w:tmpl w:val="13AAB114"/>
    <w:lvl w:ilvl="0" w:tplc="5456DEE8">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3848550C"/>
    <w:multiLevelType w:val="hybridMultilevel"/>
    <w:tmpl w:val="3F40F536"/>
    <w:lvl w:ilvl="0" w:tplc="027CBA86">
      <w:start w:val="27"/>
      <w:numFmt w:val="lowerLetter"/>
      <w:lvlText w:val="%1)"/>
      <w:lvlJc w:val="left"/>
      <w:pPr>
        <w:ind w:left="3621" w:hanging="360"/>
      </w:pPr>
      <w:rPr>
        <w:rFonts w:hint="default"/>
      </w:rPr>
    </w:lvl>
    <w:lvl w:ilvl="1" w:tplc="040E0019" w:tentative="1">
      <w:start w:val="1"/>
      <w:numFmt w:val="lowerLetter"/>
      <w:lvlText w:val="%2."/>
      <w:lvlJc w:val="left"/>
      <w:pPr>
        <w:ind w:left="4341" w:hanging="360"/>
      </w:pPr>
    </w:lvl>
    <w:lvl w:ilvl="2" w:tplc="040E001B" w:tentative="1">
      <w:start w:val="1"/>
      <w:numFmt w:val="lowerRoman"/>
      <w:lvlText w:val="%3."/>
      <w:lvlJc w:val="right"/>
      <w:pPr>
        <w:ind w:left="5061" w:hanging="180"/>
      </w:pPr>
    </w:lvl>
    <w:lvl w:ilvl="3" w:tplc="040E000F" w:tentative="1">
      <w:start w:val="1"/>
      <w:numFmt w:val="decimal"/>
      <w:lvlText w:val="%4."/>
      <w:lvlJc w:val="left"/>
      <w:pPr>
        <w:ind w:left="5781" w:hanging="360"/>
      </w:pPr>
    </w:lvl>
    <w:lvl w:ilvl="4" w:tplc="040E0019" w:tentative="1">
      <w:start w:val="1"/>
      <w:numFmt w:val="lowerLetter"/>
      <w:lvlText w:val="%5."/>
      <w:lvlJc w:val="left"/>
      <w:pPr>
        <w:ind w:left="6501" w:hanging="360"/>
      </w:pPr>
    </w:lvl>
    <w:lvl w:ilvl="5" w:tplc="040E001B" w:tentative="1">
      <w:start w:val="1"/>
      <w:numFmt w:val="lowerRoman"/>
      <w:lvlText w:val="%6."/>
      <w:lvlJc w:val="right"/>
      <w:pPr>
        <w:ind w:left="7221" w:hanging="180"/>
      </w:pPr>
    </w:lvl>
    <w:lvl w:ilvl="6" w:tplc="040E000F" w:tentative="1">
      <w:start w:val="1"/>
      <w:numFmt w:val="decimal"/>
      <w:lvlText w:val="%7."/>
      <w:lvlJc w:val="left"/>
      <w:pPr>
        <w:ind w:left="7941" w:hanging="360"/>
      </w:pPr>
    </w:lvl>
    <w:lvl w:ilvl="7" w:tplc="040E0019" w:tentative="1">
      <w:start w:val="1"/>
      <w:numFmt w:val="lowerLetter"/>
      <w:lvlText w:val="%8."/>
      <w:lvlJc w:val="left"/>
      <w:pPr>
        <w:ind w:left="8661" w:hanging="360"/>
      </w:pPr>
    </w:lvl>
    <w:lvl w:ilvl="8" w:tplc="040E001B" w:tentative="1">
      <w:start w:val="1"/>
      <w:numFmt w:val="lowerRoman"/>
      <w:lvlText w:val="%9."/>
      <w:lvlJc w:val="right"/>
      <w:pPr>
        <w:ind w:left="9381" w:hanging="180"/>
      </w:pPr>
    </w:lvl>
  </w:abstractNum>
  <w:abstractNum w:abstractNumId="2">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3">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nsid w:val="47F01124"/>
    <w:multiLevelType w:val="hybridMultilevel"/>
    <w:tmpl w:val="643844C0"/>
    <w:lvl w:ilvl="0" w:tplc="7746156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5">
    <w:nsid w:val="63A33F85"/>
    <w:multiLevelType w:val="hybridMultilevel"/>
    <w:tmpl w:val="643844C0"/>
    <w:lvl w:ilvl="0" w:tplc="7746156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FB"/>
    <w:rsid w:val="000D72AA"/>
    <w:rsid w:val="000E4358"/>
    <w:rsid w:val="00371C0C"/>
    <w:rsid w:val="00395CE6"/>
    <w:rsid w:val="003C7384"/>
    <w:rsid w:val="0041520E"/>
    <w:rsid w:val="0043115C"/>
    <w:rsid w:val="00437D5B"/>
    <w:rsid w:val="00481D18"/>
    <w:rsid w:val="005F6AF5"/>
    <w:rsid w:val="00690FA7"/>
    <w:rsid w:val="007463FB"/>
    <w:rsid w:val="007C0030"/>
    <w:rsid w:val="008227F4"/>
    <w:rsid w:val="008957B1"/>
    <w:rsid w:val="009768CA"/>
    <w:rsid w:val="00B3376B"/>
    <w:rsid w:val="00CC104F"/>
    <w:rsid w:val="00D534C7"/>
    <w:rsid w:val="00E61A5F"/>
    <w:rsid w:val="00F22C24"/>
    <w:rsid w:val="00F80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6AF5"/>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CC104F"/>
    <w:pPr>
      <w:suppressAutoHyphens/>
      <w:spacing w:after="0" w:line="240" w:lineRule="auto"/>
      <w:ind w:left="720"/>
    </w:pPr>
    <w:rPr>
      <w:rFonts w:ascii="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CC104F"/>
    <w:rPr>
      <w:rFonts w:ascii="Times New Roman" w:eastAsia="Times New Roman" w:hAnsi="Times New Roman" w:cs="Times New Roman"/>
      <w:sz w:val="24"/>
      <w:szCs w:val="20"/>
      <w:lang w:eastAsia="ar-SA"/>
    </w:rPr>
  </w:style>
  <w:style w:type="paragraph" w:styleId="Buborkszveg">
    <w:name w:val="Balloon Text"/>
    <w:basedOn w:val="Norml"/>
    <w:link w:val="BuborkszvegChar"/>
    <w:uiPriority w:val="99"/>
    <w:semiHidden/>
    <w:unhideWhenUsed/>
    <w:rsid w:val="00CC104F"/>
    <w:pPr>
      <w:spacing w:after="0" w:line="240" w:lineRule="auto"/>
    </w:pPr>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CC104F"/>
    <w:rPr>
      <w:rFonts w:ascii="Tahoma" w:eastAsia="Calibri" w:hAnsi="Tahoma" w:cs="Tahoma"/>
      <w:sz w:val="16"/>
      <w:szCs w:val="16"/>
    </w:rPr>
  </w:style>
  <w:style w:type="table" w:customStyle="1" w:styleId="Rcsostblzat1">
    <w:name w:val="Rácsos táblázat1"/>
    <w:basedOn w:val="Normltblzat"/>
    <w:next w:val="Rcsostblzat"/>
    <w:uiPriority w:val="59"/>
    <w:rsid w:val="005F6AF5"/>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5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6AF5"/>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CC104F"/>
    <w:pPr>
      <w:suppressAutoHyphens/>
      <w:spacing w:after="0" w:line="240" w:lineRule="auto"/>
      <w:ind w:left="720"/>
    </w:pPr>
    <w:rPr>
      <w:rFonts w:ascii="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CC104F"/>
    <w:rPr>
      <w:rFonts w:ascii="Times New Roman" w:eastAsia="Times New Roman" w:hAnsi="Times New Roman" w:cs="Times New Roman"/>
      <w:sz w:val="24"/>
      <w:szCs w:val="20"/>
      <w:lang w:eastAsia="ar-SA"/>
    </w:rPr>
  </w:style>
  <w:style w:type="paragraph" w:styleId="Buborkszveg">
    <w:name w:val="Balloon Text"/>
    <w:basedOn w:val="Norml"/>
    <w:link w:val="BuborkszvegChar"/>
    <w:uiPriority w:val="99"/>
    <w:semiHidden/>
    <w:unhideWhenUsed/>
    <w:rsid w:val="00CC104F"/>
    <w:pPr>
      <w:spacing w:after="0" w:line="240" w:lineRule="auto"/>
    </w:pPr>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CC104F"/>
    <w:rPr>
      <w:rFonts w:ascii="Tahoma" w:eastAsia="Calibri" w:hAnsi="Tahoma" w:cs="Tahoma"/>
      <w:sz w:val="16"/>
      <w:szCs w:val="16"/>
    </w:rPr>
  </w:style>
  <w:style w:type="table" w:customStyle="1" w:styleId="Rcsostblzat1">
    <w:name w:val="Rácsos táblázat1"/>
    <w:basedOn w:val="Normltblzat"/>
    <w:next w:val="Rcsostblzat"/>
    <w:uiPriority w:val="59"/>
    <w:rsid w:val="005F6AF5"/>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5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4E4B-3983-4862-A15A-7BE7EE82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1601</Words>
  <Characters>11049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Windows-felhasználó</cp:lastModifiedBy>
  <cp:revision>17</cp:revision>
  <dcterms:created xsi:type="dcterms:W3CDTF">2017-10-20T08:49:00Z</dcterms:created>
  <dcterms:modified xsi:type="dcterms:W3CDTF">2017-11-20T10:25:00Z</dcterms:modified>
</cp:coreProperties>
</file>