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5C6045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5C604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5C6045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5C6045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5C604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5C604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5C604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5C604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5C604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C623A2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75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91375D">
        <w:rPr>
          <w:rFonts w:ascii="Arial" w:eastAsia="Times New Roman" w:hAnsi="Arial" w:cs="Arial"/>
          <w:color w:val="3366FF"/>
          <w:lang w:eastAsia="hu-HU"/>
        </w:rPr>
        <w:t>lő-testületének 2018. március</w:t>
      </w:r>
      <w:r w:rsidR="004B66FF">
        <w:rPr>
          <w:rFonts w:ascii="Arial" w:eastAsia="Times New Roman" w:hAnsi="Arial" w:cs="Arial"/>
          <w:color w:val="3366FF"/>
          <w:lang w:eastAsia="hu-HU"/>
        </w:rPr>
        <w:t xml:space="preserve"> 28.-á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EF3465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 w:rsidR="00B665AB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Bátaszéki Polgárőr Egyesület tulajdonában álló t</w:t>
      </w:r>
      <w:r w:rsidR="00DF0B61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érfigyelő kamerarendszer átadás-átvétele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5"/>
      </w:tblGrid>
      <w:tr w:rsidR="005347DA" w:rsidRPr="005347DA" w:rsidTr="00C4710B">
        <w:trPr>
          <w:trHeight w:val="2369"/>
          <w:jc w:val="center"/>
        </w:trPr>
        <w:tc>
          <w:tcPr>
            <w:tcW w:w="7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EF3465" w:rsidRDefault="00B665AB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EF3465">
              <w:rPr>
                <w:rFonts w:ascii="Arial" w:eastAsia="Times New Roman" w:hAnsi="Arial" w:cs="Arial"/>
                <w:bCs/>
                <w:color w:val="3366FF"/>
              </w:rPr>
              <w:t>d</w:t>
            </w:r>
            <w:r w:rsidRPr="00EF3465">
              <w:rPr>
                <w:rFonts w:ascii="Arial" w:eastAsia="Times New Roman" w:hAnsi="Arial" w:cs="Arial"/>
                <w:bCs/>
                <w:color w:val="3366FF"/>
              </w:rPr>
              <w:t>r. Bozsolik Róbert polgármester</w:t>
            </w:r>
          </w:p>
          <w:p w:rsidR="005347DA" w:rsidRPr="00EF3465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</w:p>
          <w:p w:rsidR="005347DA" w:rsidRPr="00EF3465" w:rsidRDefault="00B665AB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EF3465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r w:rsidRPr="00EF3465">
              <w:rPr>
                <w:rFonts w:ascii="Arial" w:eastAsia="Times New Roman" w:hAnsi="Arial" w:cs="Arial"/>
                <w:bCs/>
                <w:color w:val="3366FF"/>
              </w:rPr>
              <w:t>dr. Tóth Korinna igazgatási ügyintéző</w:t>
            </w:r>
          </w:p>
          <w:p w:rsidR="005347DA" w:rsidRPr="00EF3465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EF3465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</w:p>
          <w:p w:rsidR="005347DA" w:rsidRPr="00EF3465" w:rsidRDefault="005347DA" w:rsidP="00EF3465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EF3465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B665AB" w:rsidRPr="00EF3465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EF3465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r w:rsidR="00355173" w:rsidRPr="00EF3465">
              <w:rPr>
                <w:rFonts w:ascii="Arial" w:eastAsia="Times New Roman" w:hAnsi="Arial" w:cs="Arial"/>
                <w:bCs/>
                <w:color w:val="3366FF"/>
              </w:rPr>
              <w:t xml:space="preserve">Takácsné </w:t>
            </w:r>
            <w:r w:rsidR="00B665AB" w:rsidRPr="00EF3465">
              <w:rPr>
                <w:rFonts w:ascii="Arial" w:eastAsia="Times New Roman" w:hAnsi="Arial" w:cs="Arial"/>
                <w:bCs/>
                <w:color w:val="3366FF"/>
              </w:rPr>
              <w:t>Gehring Mária aljegyző</w:t>
            </w:r>
          </w:p>
          <w:p w:rsidR="005347DA" w:rsidRPr="00355173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4472C4" w:themeColor="accent5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347DA" w:rsidRPr="0008684D" w:rsidRDefault="0020030C" w:rsidP="00EF3465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PG Bizottság: 2018. 03. 26</w:t>
            </w:r>
            <w:r w:rsidR="0008684D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</w:tc>
      </w:tr>
    </w:tbl>
    <w:p w:rsid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10B" w:rsidRPr="005347DA" w:rsidRDefault="00C4710B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 w:rsidP="00B665AB">
      <w:pPr>
        <w:tabs>
          <w:tab w:val="left" w:pos="0"/>
        </w:tabs>
        <w:spacing w:after="0"/>
        <w:jc w:val="both"/>
      </w:pPr>
    </w:p>
    <w:p w:rsidR="00B665AB" w:rsidRPr="00394AA7" w:rsidRDefault="00B665AB" w:rsidP="00B665AB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394AA7">
        <w:rPr>
          <w:rFonts w:ascii="Arial" w:hAnsi="Arial" w:cs="Arial"/>
        </w:rPr>
        <w:tab/>
      </w:r>
      <w:r w:rsidR="0045187B" w:rsidRPr="00394AA7">
        <w:rPr>
          <w:rFonts w:ascii="Arial" w:hAnsi="Arial" w:cs="Arial"/>
        </w:rPr>
        <w:t>Bátaszé</w:t>
      </w:r>
      <w:r w:rsidRPr="00394AA7">
        <w:rPr>
          <w:rFonts w:ascii="Arial" w:hAnsi="Arial" w:cs="Arial"/>
        </w:rPr>
        <w:t>k Város Polgárőr Egyesülete (továbbiakban: Polgárőr Egyesület) a 122/2009.(IX. 17.) FVM rendelet alapján a Helyi Vidékfejlesztési Stratégiák LEADER fejezetének végrehajtásához nyújtandó támogatás pályázati felhívásának keretében Térfigyelő kamerarendszerek kiépítése, meglévő bővítése célterületre 2009. 11. 16. napján pályázatot nyújtott be, mely alapján, Alsónyéken 1</w:t>
      </w:r>
      <w:r w:rsidR="00EF3465">
        <w:rPr>
          <w:rFonts w:ascii="Arial" w:hAnsi="Arial" w:cs="Arial"/>
        </w:rPr>
        <w:t xml:space="preserve">, </w:t>
      </w:r>
      <w:r w:rsidRPr="00394AA7">
        <w:rPr>
          <w:rFonts w:ascii="Arial" w:hAnsi="Arial" w:cs="Arial"/>
        </w:rPr>
        <w:t xml:space="preserve">Pörbölyön 1, </w:t>
      </w:r>
      <w:r w:rsidR="00EF3465" w:rsidRPr="00394AA7">
        <w:rPr>
          <w:rFonts w:ascii="Arial" w:hAnsi="Arial" w:cs="Arial"/>
        </w:rPr>
        <w:t>Bátaszéken 8</w:t>
      </w:r>
      <w:r w:rsidR="00EF3465">
        <w:rPr>
          <w:rFonts w:ascii="Arial" w:hAnsi="Arial" w:cs="Arial"/>
        </w:rPr>
        <w:t xml:space="preserve"> </w:t>
      </w:r>
      <w:r w:rsidR="00EF3465" w:rsidRPr="00394AA7">
        <w:rPr>
          <w:rFonts w:ascii="Arial" w:hAnsi="Arial" w:cs="Arial"/>
        </w:rPr>
        <w:t>kamerapont</w:t>
      </w:r>
      <w:r w:rsidR="00EF3465">
        <w:rPr>
          <w:rFonts w:ascii="Arial" w:hAnsi="Arial" w:cs="Arial"/>
        </w:rPr>
        <w:t xml:space="preserve"> és 4 </w:t>
      </w:r>
      <w:r w:rsidRPr="00394AA7">
        <w:rPr>
          <w:rFonts w:ascii="Arial" w:hAnsi="Arial" w:cs="Arial"/>
        </w:rPr>
        <w:t>átjátszó állomás</w:t>
      </w:r>
      <w:r w:rsidR="00EF3465">
        <w:rPr>
          <w:rFonts w:ascii="Arial" w:hAnsi="Arial" w:cs="Arial"/>
        </w:rPr>
        <w:t xml:space="preserve"> valamint</w:t>
      </w:r>
      <w:r w:rsidRPr="00394AA7">
        <w:rPr>
          <w:rFonts w:ascii="Arial" w:hAnsi="Arial" w:cs="Arial"/>
        </w:rPr>
        <w:t xml:space="preserve"> 1 képrögzítő központ került kiépítésre. A Polgárőr Egyesület tulajdonában lévő </w:t>
      </w:r>
      <w:r w:rsidR="00394AA7" w:rsidRPr="00394AA7">
        <w:rPr>
          <w:rFonts w:ascii="Arial" w:hAnsi="Arial" w:cs="Arial"/>
        </w:rPr>
        <w:t xml:space="preserve">– </w:t>
      </w:r>
      <w:r w:rsidR="00394AA7" w:rsidRPr="00394AA7">
        <w:rPr>
          <w:rFonts w:ascii="Arial" w:hAnsi="Arial" w:cs="Arial"/>
          <w:i/>
        </w:rPr>
        <w:t xml:space="preserve">7.217.289,- Ft </w:t>
      </w:r>
      <w:r w:rsidR="00394AA7" w:rsidRPr="00394AA7">
        <w:rPr>
          <w:rFonts w:ascii="Arial" w:hAnsi="Arial" w:cs="Arial"/>
        </w:rPr>
        <w:t xml:space="preserve">értékű – </w:t>
      </w:r>
      <w:r w:rsidRPr="00781BA8">
        <w:rPr>
          <w:rFonts w:ascii="Arial" w:hAnsi="Arial" w:cs="Arial"/>
          <w:i/>
        </w:rPr>
        <w:t>Térfigyelő kamerarendszer és tartozékai tételes felsorolása</w:t>
      </w:r>
      <w:r w:rsidRPr="00781BA8">
        <w:rPr>
          <w:rFonts w:ascii="Arial" w:hAnsi="Arial" w:cs="Arial"/>
        </w:rPr>
        <w:t xml:space="preserve"> az </w:t>
      </w:r>
      <w:r w:rsidRPr="00781BA8">
        <w:rPr>
          <w:rFonts w:ascii="Arial" w:hAnsi="Arial" w:cs="Arial"/>
          <w:i/>
        </w:rPr>
        <w:t xml:space="preserve">előterjesztés </w:t>
      </w:r>
      <w:r w:rsidR="00C4710B">
        <w:rPr>
          <w:rFonts w:ascii="Arial" w:hAnsi="Arial" w:cs="Arial"/>
          <w:i/>
        </w:rPr>
        <w:t xml:space="preserve">1. sz. </w:t>
      </w:r>
      <w:r w:rsidRPr="00781BA8">
        <w:rPr>
          <w:rFonts w:ascii="Arial" w:hAnsi="Arial" w:cs="Arial"/>
          <w:i/>
        </w:rPr>
        <w:t>mellékleteként csat</w:t>
      </w:r>
      <w:r w:rsidR="00BA75FD" w:rsidRPr="00781BA8">
        <w:rPr>
          <w:rFonts w:ascii="Arial" w:hAnsi="Arial" w:cs="Arial"/>
          <w:i/>
        </w:rPr>
        <w:t>olva</w:t>
      </w:r>
      <w:r w:rsidRPr="00781BA8">
        <w:rPr>
          <w:rFonts w:ascii="Arial" w:hAnsi="Arial" w:cs="Arial"/>
        </w:rPr>
        <w:t>.</w:t>
      </w:r>
    </w:p>
    <w:p w:rsidR="00B665AB" w:rsidRPr="00394AA7" w:rsidRDefault="00B665AB" w:rsidP="00B665AB">
      <w:pPr>
        <w:tabs>
          <w:tab w:val="left" w:pos="0"/>
        </w:tabs>
        <w:spacing w:after="0"/>
        <w:ind w:left="708"/>
        <w:jc w:val="both"/>
        <w:rPr>
          <w:rFonts w:ascii="Arial" w:hAnsi="Arial" w:cs="Arial"/>
        </w:rPr>
      </w:pPr>
    </w:p>
    <w:p w:rsidR="00B665AB" w:rsidRPr="00394AA7" w:rsidRDefault="00B665AB" w:rsidP="00B665AB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394AA7">
        <w:rPr>
          <w:rFonts w:ascii="Arial" w:hAnsi="Arial" w:cs="Arial"/>
        </w:rPr>
        <w:tab/>
      </w:r>
      <w:r w:rsidR="00BA75FD" w:rsidRPr="00394AA7">
        <w:rPr>
          <w:rFonts w:ascii="Arial" w:hAnsi="Arial" w:cs="Arial"/>
        </w:rPr>
        <w:t>A Polgárőr Egyesület</w:t>
      </w:r>
      <w:r w:rsidRPr="00394AA7">
        <w:rPr>
          <w:rFonts w:ascii="Arial" w:hAnsi="Arial" w:cs="Arial"/>
        </w:rPr>
        <w:t xml:space="preserve"> rendszer-üzemeltetési kötelezettsége – figyelemmel </w:t>
      </w:r>
      <w:r w:rsidRPr="00394AA7">
        <w:rPr>
          <w:rFonts w:ascii="Arial" w:hAnsi="Arial" w:cs="Arial"/>
          <w:i/>
        </w:rPr>
        <w:t>az Európai Mezőgazdasági Vidékfejlesztési Alap társfinanszírozásában megvalósuló támogatások igénybevételének általános szabályairól szóló 23/2007. (IV. 17.) FVM rendelet</w:t>
      </w:r>
      <w:r w:rsidRPr="00394AA7">
        <w:rPr>
          <w:rFonts w:ascii="Arial" w:hAnsi="Arial" w:cs="Arial"/>
        </w:rPr>
        <w:t xml:space="preserve"> 23. § (1) bekezdésében foglaltakra – 20</w:t>
      </w:r>
      <w:r w:rsidR="00BA75FD" w:rsidRPr="00394AA7">
        <w:rPr>
          <w:rFonts w:ascii="Arial" w:hAnsi="Arial" w:cs="Arial"/>
        </w:rPr>
        <w:t xml:space="preserve">17. december 14. napján lejárt, így nincs akadálya annak, hogy a teljes rendszert </w:t>
      </w:r>
      <w:r w:rsidR="00BA75FD" w:rsidRPr="00E7713E">
        <w:rPr>
          <w:rFonts w:ascii="Arial" w:hAnsi="Arial" w:cs="Arial"/>
        </w:rPr>
        <w:t>Bátaszék Város Önkormányzatának – térítésmentesen –</w:t>
      </w:r>
      <w:r w:rsidR="00EF3465" w:rsidRPr="00E7713E">
        <w:rPr>
          <w:rFonts w:ascii="Arial" w:hAnsi="Arial" w:cs="Arial"/>
        </w:rPr>
        <w:t xml:space="preserve"> a </w:t>
      </w:r>
      <w:r w:rsidR="00394AA7" w:rsidRPr="00E7713E">
        <w:rPr>
          <w:rFonts w:ascii="Arial" w:hAnsi="Arial" w:cs="Arial"/>
        </w:rPr>
        <w:t>tulajdonába adja</w:t>
      </w:r>
      <w:r w:rsidR="00781BA8">
        <w:rPr>
          <w:rFonts w:ascii="Arial" w:hAnsi="Arial" w:cs="Arial"/>
        </w:rPr>
        <w:t xml:space="preserve">, a </w:t>
      </w:r>
      <w:r w:rsidR="00C4710B">
        <w:rPr>
          <w:rFonts w:ascii="Arial" w:hAnsi="Arial" w:cs="Arial"/>
        </w:rPr>
        <w:t xml:space="preserve">2. </w:t>
      </w:r>
      <w:r w:rsidR="00EF3465">
        <w:rPr>
          <w:rFonts w:ascii="Arial" w:hAnsi="Arial" w:cs="Arial"/>
        </w:rPr>
        <w:t>sz. alatt</w:t>
      </w:r>
      <w:r w:rsidR="00C4710B">
        <w:rPr>
          <w:rFonts w:ascii="Arial" w:hAnsi="Arial" w:cs="Arial"/>
        </w:rPr>
        <w:t xml:space="preserve"> </w:t>
      </w:r>
      <w:r w:rsidR="00781BA8" w:rsidRPr="00EF3465">
        <w:rPr>
          <w:rFonts w:ascii="Arial" w:hAnsi="Arial" w:cs="Arial"/>
        </w:rPr>
        <w:t>mellékelt átadás-átvételi megállapodásban foglalt</w:t>
      </w:r>
      <w:r w:rsidR="00781BA8">
        <w:rPr>
          <w:rFonts w:ascii="Arial" w:hAnsi="Arial" w:cs="Arial"/>
        </w:rPr>
        <w:t xml:space="preserve"> feltételekkel. </w:t>
      </w:r>
      <w:r w:rsidR="00C4710B">
        <w:rPr>
          <w:rFonts w:ascii="Arial" w:hAnsi="Arial" w:cs="Arial"/>
        </w:rPr>
        <w:t>A Polgárőr Egyesület a 6/2018. (II. 24.) PK. sz. határozatával döntött a térfigyelő kamerarendszer ingyenes átadásáról (a határozat az előterjesztés 3. sz. melléklete).</w:t>
      </w:r>
      <w:r w:rsidR="00BA75FD" w:rsidRPr="00394AA7">
        <w:rPr>
          <w:rFonts w:ascii="Arial" w:hAnsi="Arial" w:cs="Arial"/>
        </w:rPr>
        <w:t xml:space="preserve"> </w:t>
      </w:r>
    </w:p>
    <w:p w:rsidR="00BA75FD" w:rsidRPr="00394AA7" w:rsidRDefault="00BA75FD" w:rsidP="00B665AB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BA75FD" w:rsidRPr="00394AA7" w:rsidRDefault="00BA75FD" w:rsidP="00B665AB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394AA7">
        <w:rPr>
          <w:rFonts w:ascii="Arial" w:hAnsi="Arial" w:cs="Arial"/>
        </w:rPr>
        <w:lastRenderedPageBreak/>
        <w:tab/>
      </w:r>
      <w:r w:rsidR="00394AA7" w:rsidRPr="00394AA7">
        <w:rPr>
          <w:rFonts w:ascii="Arial" w:hAnsi="Arial" w:cs="Arial"/>
        </w:rPr>
        <w:t xml:space="preserve">A térfigyelő kamerarendszert – az átadást követően – Bátaszék Város Önkormányzata üzemelteti, illetve ezen időponttól ő jogosult annak üzemeltetésére, felügyeletére, fejlesztésére, bővítésére, stb. harmadik személyekkel szerződést kötni. </w:t>
      </w:r>
    </w:p>
    <w:p w:rsidR="00394AA7" w:rsidRPr="00394AA7" w:rsidRDefault="00394AA7" w:rsidP="00B665AB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394AA7" w:rsidRPr="00394AA7" w:rsidRDefault="00394AA7" w:rsidP="00394AA7">
      <w:pPr>
        <w:ind w:firstLine="567"/>
        <w:jc w:val="both"/>
        <w:rPr>
          <w:rFonts w:ascii="Arial" w:hAnsi="Arial" w:cs="Arial"/>
        </w:rPr>
      </w:pPr>
      <w:r w:rsidRPr="00394AA7">
        <w:rPr>
          <w:rFonts w:ascii="Arial" w:hAnsi="Arial" w:cs="Arial"/>
        </w:rPr>
        <w:tab/>
        <w:t xml:space="preserve">A fentiek alapján </w:t>
      </w:r>
      <w:r>
        <w:rPr>
          <w:rFonts w:ascii="Arial" w:hAnsi="Arial" w:cs="Arial"/>
        </w:rPr>
        <w:t>az alábbi</w:t>
      </w:r>
      <w:r w:rsidRPr="00394AA7">
        <w:rPr>
          <w:rFonts w:ascii="Arial" w:hAnsi="Arial" w:cs="Arial"/>
        </w:rPr>
        <w:t xml:space="preserve"> határozati javaslat elfogadását javasoljuk:</w:t>
      </w:r>
    </w:p>
    <w:p w:rsidR="00394AA7" w:rsidRPr="00405DAF" w:rsidRDefault="00394AA7" w:rsidP="00EF3465">
      <w:pPr>
        <w:spacing w:after="0" w:line="240" w:lineRule="auto"/>
        <w:jc w:val="both"/>
        <w:rPr>
          <w:rFonts w:ascii="Arial" w:hAnsi="Arial" w:cs="Arial"/>
        </w:rPr>
      </w:pPr>
    </w:p>
    <w:p w:rsidR="00394AA7" w:rsidRPr="00405DAF" w:rsidRDefault="00394AA7" w:rsidP="00EF3465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á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</w:t>
      </w:r>
      <w:r w:rsidRPr="00405DAF">
        <w:rPr>
          <w:rFonts w:ascii="Arial" w:hAnsi="Arial" w:cs="Arial"/>
          <w:b/>
          <w:u w:val="single"/>
        </w:rPr>
        <w:t>j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 w:rsidRPr="00405DA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:</w:t>
      </w:r>
      <w:proofErr w:type="gramEnd"/>
    </w:p>
    <w:p w:rsidR="00394AA7" w:rsidRDefault="00394AA7" w:rsidP="00EF3465">
      <w:pPr>
        <w:spacing w:after="0" w:line="240" w:lineRule="auto"/>
        <w:ind w:left="2835"/>
        <w:jc w:val="both"/>
        <w:rPr>
          <w:b/>
          <w:u w:val="single"/>
        </w:rPr>
      </w:pPr>
    </w:p>
    <w:p w:rsidR="00394AA7" w:rsidRPr="00405DAF" w:rsidRDefault="00781BA8" w:rsidP="00EF3465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Bátaszék Város Polgárőr Egyesülete tulajdonában álló tér</w:t>
      </w:r>
      <w:r w:rsidR="00E7713E">
        <w:rPr>
          <w:rFonts w:ascii="Arial" w:hAnsi="Arial" w:cs="Arial"/>
          <w:b/>
          <w:u w:val="single"/>
        </w:rPr>
        <w:t>figyelő kamerarendszer átvételére</w:t>
      </w:r>
    </w:p>
    <w:p w:rsidR="00394AA7" w:rsidRPr="00405DAF" w:rsidRDefault="00394AA7" w:rsidP="00EF3465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394AA7" w:rsidRDefault="00394AA7" w:rsidP="00EF3465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05DAF">
        <w:rPr>
          <w:rFonts w:ascii="Arial" w:hAnsi="Arial" w:cs="Arial"/>
        </w:rPr>
        <w:t xml:space="preserve">Bátaszék </w:t>
      </w:r>
      <w:r>
        <w:rPr>
          <w:rFonts w:ascii="Arial" w:hAnsi="Arial" w:cs="Arial"/>
        </w:rPr>
        <w:t>V</w:t>
      </w:r>
      <w:r w:rsidRPr="00405DAF">
        <w:rPr>
          <w:rFonts w:ascii="Arial" w:hAnsi="Arial" w:cs="Arial"/>
        </w:rPr>
        <w:t>áros Önkormányzat</w:t>
      </w:r>
      <w:r>
        <w:rPr>
          <w:rFonts w:ascii="Arial" w:hAnsi="Arial" w:cs="Arial"/>
        </w:rPr>
        <w:t>ának</w:t>
      </w:r>
      <w:r w:rsidRPr="00405DAF">
        <w:rPr>
          <w:rFonts w:ascii="Arial" w:hAnsi="Arial" w:cs="Arial"/>
        </w:rPr>
        <w:t xml:space="preserve"> Képviselő-testülete </w:t>
      </w:r>
    </w:p>
    <w:p w:rsidR="00394AA7" w:rsidRDefault="00781BA8" w:rsidP="00EF34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Bátaszék Város Polgárőr Egyesületével kötendő, 7.217.289,- Ft értéket képviselő</w:t>
      </w:r>
      <w:r w:rsidR="00EF34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térfigyelő kamerarendszer térítésmentes önkormányzati tulajdonba adásáról szóló Átadás-átvételi megállapodást – a határozat melléklete szerint tartalommal – jóváhagyja;</w:t>
      </w:r>
    </w:p>
    <w:p w:rsidR="00781BA8" w:rsidRDefault="00781BA8" w:rsidP="00EF3465">
      <w:pPr>
        <w:spacing w:after="0" w:line="240" w:lineRule="auto"/>
        <w:ind w:left="3195"/>
        <w:jc w:val="both"/>
        <w:rPr>
          <w:rFonts w:ascii="Arial" w:hAnsi="Arial" w:cs="Arial"/>
        </w:rPr>
      </w:pPr>
    </w:p>
    <w:p w:rsidR="00394AA7" w:rsidRPr="00405DAF" w:rsidRDefault="00394AA7" w:rsidP="00EF34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</w:t>
      </w:r>
      <w:r w:rsidR="00781BA8">
        <w:rPr>
          <w:rFonts w:ascii="Arial" w:hAnsi="Arial" w:cs="Arial"/>
        </w:rPr>
        <w:t xml:space="preserve">lmazza a város polgármesterét az átadás-átvételi megállapodás </w:t>
      </w:r>
      <w:r>
        <w:rPr>
          <w:rFonts w:ascii="Arial" w:hAnsi="Arial" w:cs="Arial"/>
        </w:rPr>
        <w:t>aláírására.</w:t>
      </w:r>
    </w:p>
    <w:p w:rsidR="00394AA7" w:rsidRPr="00405DAF" w:rsidRDefault="00394AA7" w:rsidP="00EF3465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394AA7" w:rsidRDefault="00394AA7" w:rsidP="00EF3465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05DAF">
        <w:rPr>
          <w:rFonts w:ascii="Arial" w:hAnsi="Arial" w:cs="Arial"/>
          <w:i/>
        </w:rPr>
        <w:t>Határidő</w:t>
      </w:r>
      <w:r w:rsidRPr="00A168BB">
        <w:rPr>
          <w:rFonts w:ascii="Arial" w:hAnsi="Arial" w:cs="Arial"/>
          <w:i/>
        </w:rPr>
        <w:t>:</w:t>
      </w:r>
      <w:r w:rsidRPr="00A168BB">
        <w:rPr>
          <w:rFonts w:ascii="Arial" w:hAnsi="Arial" w:cs="Arial"/>
        </w:rPr>
        <w:t xml:space="preserve"> </w:t>
      </w:r>
      <w:r w:rsidR="00781BA8">
        <w:rPr>
          <w:rFonts w:ascii="Arial" w:hAnsi="Arial" w:cs="Arial"/>
        </w:rPr>
        <w:t>azonnal</w:t>
      </w:r>
    </w:p>
    <w:p w:rsidR="00394AA7" w:rsidRDefault="00394AA7" w:rsidP="00EF34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73399A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73399A">
        <w:rPr>
          <w:rFonts w:ascii="Arial" w:hAnsi="Arial" w:cs="Arial"/>
          <w:i/>
          <w:color w:val="auto"/>
          <w:sz w:val="22"/>
          <w:szCs w:val="22"/>
        </w:rPr>
        <w:t>:</w:t>
      </w:r>
      <w:r w:rsidRPr="0073399A"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>dr.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Bozsolik Róbert polgármester</w:t>
      </w:r>
    </w:p>
    <w:p w:rsidR="00394AA7" w:rsidRDefault="00394AA7" w:rsidP="00EF34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(a </w:t>
      </w:r>
      <w:r w:rsidR="00EF3465">
        <w:rPr>
          <w:rFonts w:ascii="Arial" w:hAnsi="Arial" w:cs="Arial"/>
          <w:color w:val="auto"/>
          <w:sz w:val="22"/>
          <w:szCs w:val="22"/>
        </w:rPr>
        <w:t>megállapodás</w:t>
      </w:r>
      <w:r>
        <w:rPr>
          <w:rFonts w:ascii="Arial" w:hAnsi="Arial" w:cs="Arial"/>
          <w:color w:val="auto"/>
          <w:sz w:val="22"/>
          <w:szCs w:val="22"/>
        </w:rPr>
        <w:t xml:space="preserve"> aláírásáért)</w:t>
      </w:r>
    </w:p>
    <w:p w:rsidR="00394AA7" w:rsidRPr="0073399A" w:rsidRDefault="00394AA7" w:rsidP="00EF34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394AA7" w:rsidRPr="00405DAF" w:rsidRDefault="00394AA7" w:rsidP="00EF3465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05DAF">
        <w:rPr>
          <w:rFonts w:ascii="Arial" w:hAnsi="Arial" w:cs="Arial"/>
          <w:i/>
        </w:rPr>
        <w:t>Határozatról értesül:</w:t>
      </w:r>
      <w:r w:rsidRPr="00405DAF">
        <w:rPr>
          <w:rFonts w:ascii="Arial" w:hAnsi="Arial" w:cs="Arial"/>
        </w:rPr>
        <w:t xml:space="preserve"> </w:t>
      </w:r>
      <w:r w:rsidR="00EF3465">
        <w:rPr>
          <w:rFonts w:ascii="Arial" w:hAnsi="Arial" w:cs="Arial"/>
        </w:rPr>
        <w:t xml:space="preserve">Bátaszék Város </w:t>
      </w:r>
      <w:r w:rsidR="00781BA8">
        <w:rPr>
          <w:rFonts w:ascii="Arial" w:hAnsi="Arial" w:cs="Arial"/>
        </w:rPr>
        <w:t>Polgárőr Egyesület</w:t>
      </w:r>
      <w:r w:rsidR="00EF3465">
        <w:rPr>
          <w:rFonts w:ascii="Arial" w:hAnsi="Arial" w:cs="Arial"/>
        </w:rPr>
        <w:t>e</w:t>
      </w:r>
    </w:p>
    <w:p w:rsidR="00394AA7" w:rsidRDefault="00394AA7" w:rsidP="00EF3465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73399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Bátaszéki KÖH </w:t>
      </w:r>
      <w:r w:rsidRPr="0073399A">
        <w:rPr>
          <w:rFonts w:ascii="Arial" w:hAnsi="Arial" w:cs="Arial"/>
        </w:rPr>
        <w:t>pénzügyi iroda</w:t>
      </w:r>
    </w:p>
    <w:p w:rsidR="00EF3465" w:rsidRDefault="00EF3465" w:rsidP="00EF3465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73399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Bátaszéki KÖH városüzemeltetési</w:t>
      </w:r>
      <w:r w:rsidRPr="0073399A">
        <w:rPr>
          <w:rFonts w:ascii="Arial" w:hAnsi="Arial" w:cs="Arial"/>
        </w:rPr>
        <w:t xml:space="preserve"> iroda</w:t>
      </w:r>
    </w:p>
    <w:p w:rsidR="00394AA7" w:rsidRPr="0073399A" w:rsidRDefault="00394AA7" w:rsidP="00EF3465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394AA7" w:rsidRPr="0073399A" w:rsidRDefault="00394AA7" w:rsidP="00EF3465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73399A">
        <w:rPr>
          <w:rFonts w:ascii="Arial" w:hAnsi="Arial" w:cs="Arial"/>
        </w:rPr>
        <w:tab/>
        <w:t xml:space="preserve">                     </w:t>
      </w:r>
    </w:p>
    <w:p w:rsidR="00394AA7" w:rsidRPr="00405DAF" w:rsidRDefault="00394AA7" w:rsidP="00394AA7">
      <w:pPr>
        <w:tabs>
          <w:tab w:val="left" w:pos="567"/>
          <w:tab w:val="num" w:pos="1843"/>
        </w:tabs>
        <w:ind w:left="2835"/>
        <w:jc w:val="both"/>
        <w:rPr>
          <w:rFonts w:ascii="Arial" w:hAnsi="Arial" w:cs="Arial"/>
        </w:rPr>
      </w:pPr>
    </w:p>
    <w:p w:rsidR="00394AA7" w:rsidRDefault="00394AA7" w:rsidP="00394AA7"/>
    <w:p w:rsidR="00394AA7" w:rsidRPr="00161B2D" w:rsidRDefault="00394AA7" w:rsidP="00394AA7"/>
    <w:p w:rsidR="00394AA7" w:rsidRPr="00736A59" w:rsidRDefault="00394AA7" w:rsidP="00394AA7"/>
    <w:p w:rsidR="00394AA7" w:rsidRPr="00394AA7" w:rsidRDefault="00394AA7" w:rsidP="00394AA7">
      <w:pPr>
        <w:ind w:firstLine="567"/>
        <w:jc w:val="both"/>
        <w:rPr>
          <w:rFonts w:asciiTheme="majorHAnsi" w:hAnsiTheme="majorHAnsi" w:cs="Arial"/>
        </w:rPr>
      </w:pPr>
    </w:p>
    <w:p w:rsidR="00394AA7" w:rsidRDefault="00394AA7" w:rsidP="00B665AB">
      <w:pPr>
        <w:tabs>
          <w:tab w:val="left" w:pos="0"/>
        </w:tabs>
        <w:spacing w:after="0"/>
        <w:jc w:val="both"/>
      </w:pPr>
    </w:p>
    <w:p w:rsidR="00B665AB" w:rsidRDefault="00B665AB" w:rsidP="00B665AB">
      <w:pPr>
        <w:tabs>
          <w:tab w:val="left" w:pos="0"/>
        </w:tabs>
        <w:spacing w:after="0"/>
        <w:ind w:left="708"/>
        <w:jc w:val="both"/>
      </w:pPr>
    </w:p>
    <w:p w:rsidR="00B665AB" w:rsidRDefault="00B665AB" w:rsidP="00B665AB">
      <w:pPr>
        <w:tabs>
          <w:tab w:val="left" w:pos="0"/>
        </w:tabs>
        <w:spacing w:after="0"/>
        <w:jc w:val="both"/>
      </w:pPr>
      <w:r>
        <w:tab/>
        <w:t xml:space="preserve"> </w:t>
      </w:r>
    </w:p>
    <w:p w:rsidR="00B665AB" w:rsidRDefault="00B665AB" w:rsidP="00B665AB">
      <w:pPr>
        <w:tabs>
          <w:tab w:val="left" w:pos="0"/>
        </w:tabs>
        <w:spacing w:after="0"/>
        <w:jc w:val="both"/>
      </w:pPr>
    </w:p>
    <w:sectPr w:rsidR="00B6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0DC"/>
    <w:multiLevelType w:val="hybridMultilevel"/>
    <w:tmpl w:val="E5ACB7D6"/>
    <w:lvl w:ilvl="0" w:tplc="8CDC52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8684D"/>
    <w:rsid w:val="00140C42"/>
    <w:rsid w:val="0020030C"/>
    <w:rsid w:val="00354803"/>
    <w:rsid w:val="00355173"/>
    <w:rsid w:val="00394AA7"/>
    <w:rsid w:val="0045187B"/>
    <w:rsid w:val="004B66FF"/>
    <w:rsid w:val="005347DA"/>
    <w:rsid w:val="005C6045"/>
    <w:rsid w:val="00781BA8"/>
    <w:rsid w:val="0091375D"/>
    <w:rsid w:val="00B12321"/>
    <w:rsid w:val="00B665AB"/>
    <w:rsid w:val="00BA75FD"/>
    <w:rsid w:val="00BD75A9"/>
    <w:rsid w:val="00C4710B"/>
    <w:rsid w:val="00C623A2"/>
    <w:rsid w:val="00CD1476"/>
    <w:rsid w:val="00DF0B61"/>
    <w:rsid w:val="00E7713E"/>
    <w:rsid w:val="00EF3465"/>
    <w:rsid w:val="00EF6F18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394AA7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394AA7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18</cp:revision>
  <dcterms:created xsi:type="dcterms:W3CDTF">2018-02-02T09:45:00Z</dcterms:created>
  <dcterms:modified xsi:type="dcterms:W3CDTF">2018-03-20T10:43:00Z</dcterms:modified>
</cp:coreProperties>
</file>