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4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mely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létrejött </w:t>
      </w:r>
      <w:r w:rsidR="00641CFD">
        <w:rPr>
          <w:rFonts w:ascii="Arial" w:hAnsi="Arial" w:cs="Arial"/>
          <w:sz w:val="22"/>
          <w:szCs w:val="22"/>
        </w:rPr>
        <w:t xml:space="preserve">egyrészről </w:t>
      </w:r>
    </w:p>
    <w:p w:rsidR="00641CFD" w:rsidRDefault="00E21B5D" w:rsidP="00142B34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731EC3">
        <w:rPr>
          <w:rFonts w:ascii="Arial" w:hAnsi="Arial" w:cs="Arial"/>
          <w:sz w:val="22"/>
          <w:szCs w:val="22"/>
        </w:rPr>
        <w:t>Nyrt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731EC3">
        <w:rPr>
          <w:rFonts w:ascii="Arial" w:hAnsi="Arial" w:cs="Arial"/>
          <w:sz w:val="22"/>
          <w:szCs w:val="22"/>
        </w:rPr>
        <w:t>.: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731EC3">
        <w:rPr>
          <w:rFonts w:ascii="Arial" w:hAnsi="Arial" w:cs="Arial"/>
          <w:sz w:val="22"/>
          <w:szCs w:val="22"/>
        </w:rPr>
        <w:t>Bozsolik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 Róbert polgármester) mint</w:t>
      </w:r>
      <w:r w:rsidR="00641CFD">
        <w:rPr>
          <w:rFonts w:ascii="Arial" w:hAnsi="Arial" w:cs="Arial"/>
          <w:sz w:val="22"/>
          <w:szCs w:val="22"/>
        </w:rPr>
        <w:t xml:space="preserve"> megrendelő (a továbbiakban:</w:t>
      </w:r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>Megrendelő</w:t>
      </w:r>
      <w:r w:rsidR="00641CFD">
        <w:rPr>
          <w:rFonts w:ascii="Arial" w:hAnsi="Arial" w:cs="Arial"/>
          <w:b/>
          <w:bCs/>
          <w:sz w:val="22"/>
          <w:szCs w:val="22"/>
        </w:rPr>
        <w:t>)</w:t>
      </w:r>
      <w:r w:rsidRPr="00731EC3">
        <w:rPr>
          <w:rFonts w:ascii="Arial" w:hAnsi="Arial" w:cs="Arial"/>
          <w:b/>
          <w:bCs/>
          <w:sz w:val="22"/>
          <w:szCs w:val="22"/>
        </w:rPr>
        <w:t>,</w:t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másrészről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</w:p>
    <w:p w:rsidR="00210C0D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b/>
          <w:bCs/>
          <w:sz w:val="22"/>
          <w:szCs w:val="22"/>
        </w:rPr>
        <w:t>Kft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 xml:space="preserve">Szent István tér 7., </w:t>
      </w:r>
      <w:r w:rsidR="00210C0D" w:rsidRPr="00731EC3">
        <w:rPr>
          <w:rFonts w:ascii="Arial" w:hAnsi="Arial" w:cs="Arial"/>
          <w:sz w:val="22"/>
          <w:szCs w:val="22"/>
        </w:rPr>
        <w:t xml:space="preserve">adószám: </w:t>
      </w:r>
      <w:r w:rsidR="00210C0D" w:rsidRPr="00B13A21">
        <w:rPr>
          <w:rFonts w:ascii="Arial" w:hAnsi="Arial" w:cs="Arial"/>
          <w:sz w:val="22"/>
          <w:szCs w:val="22"/>
        </w:rPr>
        <w:t>18851681-2-17</w:t>
      </w:r>
      <w:r w:rsidR="00210C0D">
        <w:t>.</w:t>
      </w:r>
      <w:r w:rsidR="00210C0D" w:rsidRPr="00731EC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731EC3">
        <w:rPr>
          <w:rFonts w:ascii="Arial" w:hAnsi="Arial" w:cs="Arial"/>
          <w:sz w:val="22"/>
          <w:szCs w:val="22"/>
        </w:rPr>
        <w:t xml:space="preserve">.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10C0D">
        <w:rPr>
          <w:rFonts w:ascii="Arial" w:hAnsi="Arial" w:cs="Arial"/>
          <w:sz w:val="22"/>
          <w:szCs w:val="22"/>
        </w:rPr>
        <w:t>,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="00210C0D" w:rsidRPr="00731EC3">
        <w:rPr>
          <w:rFonts w:ascii="Arial" w:hAnsi="Arial" w:cs="Arial"/>
          <w:sz w:val="22"/>
          <w:szCs w:val="22"/>
        </w:rPr>
        <w:t>.:</w:t>
      </w:r>
      <w:proofErr w:type="gramEnd"/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>
        <w:rPr>
          <w:rFonts w:ascii="Arial" w:hAnsi="Arial" w:cs="Arial"/>
          <w:sz w:val="22"/>
          <w:szCs w:val="22"/>
        </w:rPr>
        <w:t>Izsák Mónika</w:t>
      </w:r>
      <w:r w:rsidR="00210C0D" w:rsidRPr="00731EC3">
        <w:rPr>
          <w:rFonts w:ascii="Arial" w:hAnsi="Arial" w:cs="Arial"/>
          <w:sz w:val="22"/>
          <w:szCs w:val="22"/>
        </w:rPr>
        <w:t xml:space="preserve"> ügyvezető) mint</w:t>
      </w:r>
      <w:r w:rsidR="00210C0D">
        <w:rPr>
          <w:rFonts w:ascii="Arial" w:hAnsi="Arial" w:cs="Arial"/>
          <w:sz w:val="22"/>
          <w:szCs w:val="22"/>
        </w:rPr>
        <w:t xml:space="preserve"> vállalkozó (a továbbiakban: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 w:rsidRPr="00731EC3">
        <w:rPr>
          <w:rFonts w:ascii="Arial" w:hAnsi="Arial" w:cs="Arial"/>
          <w:b/>
          <w:bCs/>
          <w:sz w:val="22"/>
          <w:szCs w:val="22"/>
        </w:rPr>
        <w:t>Vállalkozó</w:t>
      </w:r>
      <w:r w:rsidR="00210C0D">
        <w:rPr>
          <w:rFonts w:ascii="Arial" w:hAnsi="Arial" w:cs="Arial"/>
          <w:b/>
          <w:bCs/>
          <w:sz w:val="22"/>
          <w:szCs w:val="22"/>
        </w:rPr>
        <w:t>)</w:t>
      </w:r>
    </w:p>
    <w:p w:rsidR="00210C0D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21B5D" w:rsidRDefault="00641CFD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641CFD">
        <w:rPr>
          <w:rFonts w:ascii="Arial" w:hAnsi="Arial" w:cs="Arial"/>
          <w:bCs/>
          <w:sz w:val="22"/>
          <w:szCs w:val="22"/>
        </w:rPr>
        <w:t>a</w:t>
      </w:r>
      <w:proofErr w:type="gramEnd"/>
      <w:r w:rsidRPr="00641CFD">
        <w:rPr>
          <w:rFonts w:ascii="Arial" w:hAnsi="Arial" w:cs="Arial"/>
          <w:bCs/>
          <w:sz w:val="22"/>
          <w:szCs w:val="22"/>
        </w:rPr>
        <w:t xml:space="preserve">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alulírott napon és helyen az</w:t>
      </w:r>
      <w:r w:rsidR="00E21B5D" w:rsidRPr="00731EC3">
        <w:rPr>
          <w:rFonts w:ascii="Arial" w:hAnsi="Arial" w:cs="Arial"/>
          <w:sz w:val="22"/>
          <w:szCs w:val="22"/>
        </w:rPr>
        <w:t xml:space="preserve"> alábbi feltételekkel:</w:t>
      </w:r>
    </w:p>
    <w:p w:rsidR="001F2E86" w:rsidRPr="00731EC3" w:rsidRDefault="001F2E86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641CFD" w:rsidRDefault="00641CFD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szerződés tárgya: </w:t>
      </w:r>
    </w:p>
    <w:p w:rsidR="004E3837" w:rsidRPr="004E3837" w:rsidRDefault="00E21B5D" w:rsidP="004E3837">
      <w:pPr>
        <w:pStyle w:val="Style2"/>
        <w:numPr>
          <w:ilvl w:val="1"/>
          <w:numId w:val="1"/>
        </w:numPr>
        <w:spacing w:before="0" w:after="240"/>
        <w:rPr>
          <w:rStyle w:val="CharacterStyle1"/>
          <w:rFonts w:ascii="Arial" w:hAnsi="Arial" w:cs="Arial"/>
          <w:sz w:val="22"/>
          <w:szCs w:val="22"/>
        </w:rPr>
      </w:pPr>
      <w:r w:rsidRPr="004E3837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2018. január 1. napja és 2018</w:t>
      </w:r>
      <w:r w:rsidR="00BD1CC8" w:rsidRPr="00BD4115">
        <w:rPr>
          <w:rStyle w:val="CharacterStyle1"/>
          <w:rFonts w:ascii="Arial" w:hAnsi="Arial" w:cs="Arial"/>
          <w:sz w:val="22"/>
          <w:szCs w:val="22"/>
        </w:rPr>
        <w:t xml:space="preserve">. december 31. napja között 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jelen szer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ződés 1. mellékletét képező 2018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. évi városi rendezvények</w:t>
      </w:r>
      <w:r w:rsidR="004E3837" w:rsidRPr="004E3837">
        <w:rPr>
          <w:rStyle w:val="CharacterStyle1"/>
          <w:rFonts w:ascii="Arial" w:hAnsi="Arial" w:cs="Arial"/>
          <w:sz w:val="22"/>
          <w:szCs w:val="22"/>
        </w:rPr>
        <w:t xml:space="preserve"> Megrendelő igényei szerinti lebonyolítását, megszervezését és a rendezvényekkel kapcsolatos feladatok ellátását.</w:t>
      </w:r>
    </w:p>
    <w:p w:rsidR="00E21B5D" w:rsidRDefault="00641CFD" w:rsidP="00142B34">
      <w:pPr>
        <w:pStyle w:val="Style2"/>
        <w:spacing w:before="240" w:after="240"/>
        <w:ind w:left="1560" w:hanging="709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1.2. </w:t>
      </w:r>
      <w:r>
        <w:rPr>
          <w:rStyle w:val="CharacterStyle1"/>
          <w:rFonts w:ascii="Arial" w:hAnsi="Arial" w:cs="Arial"/>
          <w:sz w:val="22"/>
          <w:szCs w:val="22"/>
        </w:rPr>
        <w:tab/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Vállalkozó kijelenti, hogy a munka elvégzéséhez </w:t>
      </w:r>
      <w:r w:rsidR="009D44B9">
        <w:rPr>
          <w:rStyle w:val="CharacterStyle1"/>
          <w:rFonts w:ascii="Arial" w:hAnsi="Arial" w:cs="Arial"/>
          <w:sz w:val="22"/>
          <w:szCs w:val="22"/>
        </w:rPr>
        <w:t>szükséges szakértelemmel rendelkezik, a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munkavégzés törvényes feltételeinek biztosításáról gondoskodik</w:t>
      </w:r>
      <w:r w:rsidR="001529F1">
        <w:rPr>
          <w:rStyle w:val="CharacterStyle1"/>
          <w:rFonts w:ascii="Arial" w:hAnsi="Arial" w:cs="Arial"/>
          <w:sz w:val="22"/>
          <w:szCs w:val="22"/>
        </w:rPr>
        <w:t>.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1529F1">
        <w:rPr>
          <w:rStyle w:val="CharacterStyle1"/>
          <w:rFonts w:ascii="Arial" w:hAnsi="Arial" w:cs="Arial"/>
          <w:sz w:val="22"/>
          <w:szCs w:val="22"/>
        </w:rPr>
        <w:t>Vállalkozó</w:t>
      </w:r>
      <w:r w:rsidR="00064DB9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>vállalja a minőségi, szakszerű munkavégzést.</w:t>
      </w:r>
    </w:p>
    <w:p w:rsidR="0029734E" w:rsidRPr="0029734E" w:rsidRDefault="0029734E" w:rsidP="00142B34">
      <w:pPr>
        <w:pStyle w:val="Style1"/>
        <w:numPr>
          <w:ilvl w:val="0"/>
          <w:numId w:val="1"/>
        </w:numPr>
        <w:adjustRightInd/>
        <w:spacing w:before="240" w:after="24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E21B5D" w:rsidRDefault="00BD1CC8" w:rsidP="00142B34">
      <w:pPr>
        <w:pStyle w:val="Style2"/>
        <w:numPr>
          <w:ilvl w:val="0"/>
          <w:numId w:val="1"/>
        </w:numPr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Vállalkozói díj:</w:t>
      </w:r>
    </w:p>
    <w:p w:rsidR="00BD1CC8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3.1. </w:t>
      </w:r>
      <w:r w:rsidR="005F078E" w:rsidRPr="005F078E">
        <w:rPr>
          <w:rFonts w:ascii="Arial" w:eastAsia="Calibri" w:hAnsi="Arial" w:cs="Arial"/>
          <w:b/>
          <w:color w:val="000000"/>
          <w:sz w:val="22"/>
          <w:szCs w:val="22"/>
          <w:highlight w:val="green"/>
        </w:rPr>
        <w:t>Jelen szerződés 1. pontjában körülírtak megvalósításáért a Vállalkozót bruttó 12 656 </w:t>
      </w:r>
      <w:proofErr w:type="gramStart"/>
      <w:r w:rsidR="005F078E" w:rsidRPr="005F078E">
        <w:rPr>
          <w:rFonts w:ascii="Arial" w:eastAsia="Calibri" w:hAnsi="Arial" w:cs="Arial"/>
          <w:b/>
          <w:color w:val="000000"/>
          <w:sz w:val="22"/>
          <w:szCs w:val="22"/>
          <w:highlight w:val="green"/>
        </w:rPr>
        <w:t>448  Ft</w:t>
      </w:r>
      <w:proofErr w:type="gramEnd"/>
      <w:r w:rsidR="005F078E" w:rsidRPr="005F078E">
        <w:rPr>
          <w:rFonts w:ascii="Arial" w:eastAsia="Calibri" w:hAnsi="Arial" w:cs="Arial"/>
          <w:b/>
          <w:color w:val="000000"/>
          <w:sz w:val="22"/>
          <w:szCs w:val="22"/>
          <w:highlight w:val="green"/>
        </w:rPr>
        <w:t>/év összegű vállalkozói díj – mely tartalmazza az Áfa összegét – illeti meg, mely vállalkozói díj Vállalkozó valamennyi költségét magába foglalja</w:t>
      </w:r>
      <w:r w:rsidR="00764764" w:rsidRPr="005F078E">
        <w:rPr>
          <w:rStyle w:val="CharacterStyle1"/>
          <w:rFonts w:ascii="Arial" w:hAnsi="Arial" w:cs="Arial"/>
          <w:sz w:val="22"/>
          <w:szCs w:val="22"/>
          <w:highlight w:val="green"/>
        </w:rPr>
        <w:t>.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223188"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3.2. A 3.1. pontban szereplő vállalkozói díj keretösszeg, mely lehetőséget ad Szerződő feleknek az egyes rendezvények közötti belső átcsoportosításra.</w:t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3.3. Amennyiben az egyes rendezvények finanszírozására tervezett keretösszeg tekintetében maradvány keletkezik, úgy Megrendelőnek lehetősége van </w:t>
      </w:r>
      <w:r w:rsidR="00CF2C8D">
        <w:rPr>
          <w:rStyle w:val="CharacterStyle1"/>
          <w:rFonts w:ascii="Arial" w:hAnsi="Arial" w:cs="Arial"/>
          <w:sz w:val="22"/>
          <w:szCs w:val="22"/>
        </w:rPr>
        <w:t>a maradvány terhére új rendezvények lebonyolítását igényelni.</w:t>
      </w:r>
    </w:p>
    <w:p w:rsidR="00CF2C8D" w:rsidRPr="00731EC3" w:rsidRDefault="00CF2C8D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</w:p>
    <w:p w:rsidR="00E21B5D" w:rsidRDefault="00764764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lastRenderedPageBreak/>
        <w:t>Fizetési feltételek:</w:t>
      </w:r>
    </w:p>
    <w:p w:rsidR="006603F7" w:rsidRPr="00BF412D" w:rsidRDefault="00764764" w:rsidP="001529F1">
      <w:pPr>
        <w:spacing w:before="100" w:after="100"/>
        <w:ind w:left="862"/>
        <w:jc w:val="both"/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6603F7">
        <w:rPr>
          <w:rStyle w:val="CharacterStyle1"/>
          <w:rFonts w:ascii="Arial" w:hAnsi="Arial" w:cs="Arial"/>
          <w:sz w:val="22"/>
          <w:szCs w:val="22"/>
        </w:rPr>
        <w:t xml:space="preserve">a 3. pontban szereplő vállalkozói díjra rendezvényekhez kapcsolódó </w:t>
      </w:r>
      <w:proofErr w:type="spellStart"/>
      <w:r w:rsidR="006603F7">
        <w:rPr>
          <w:rStyle w:val="CharacterStyle1"/>
          <w:rFonts w:ascii="Arial" w:hAnsi="Arial" w:cs="Arial"/>
          <w:sz w:val="22"/>
          <w:szCs w:val="22"/>
        </w:rPr>
        <w:t>lehívólevél</w:t>
      </w:r>
      <w:proofErr w:type="spellEnd"/>
      <w:r w:rsidR="006603F7">
        <w:rPr>
          <w:rStyle w:val="CharacterStyle1"/>
          <w:rFonts w:ascii="Arial" w:hAnsi="Arial" w:cs="Arial"/>
          <w:sz w:val="22"/>
          <w:szCs w:val="22"/>
        </w:rPr>
        <w:t xml:space="preserve"> </w:t>
      </w:r>
      <w:proofErr w:type="gramStart"/>
      <w:r w:rsidR="006603F7">
        <w:rPr>
          <w:rStyle w:val="CharacterStyle1"/>
          <w:rFonts w:ascii="Arial" w:hAnsi="Arial" w:cs="Arial"/>
          <w:sz w:val="22"/>
          <w:szCs w:val="22"/>
        </w:rPr>
        <w:t xml:space="preserve">alapján </w:t>
      </w:r>
      <w:r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FA2FCE">
        <w:rPr>
          <w:rStyle w:val="CharacterStyle1"/>
          <w:rFonts w:ascii="Arial" w:hAnsi="Arial" w:cs="Arial"/>
          <w:b/>
          <w:sz w:val="22"/>
          <w:szCs w:val="22"/>
        </w:rPr>
        <w:t>jogosult</w:t>
      </w:r>
      <w:proofErr w:type="gramEnd"/>
      <w:r w:rsidR="00CF2C8D">
        <w:rPr>
          <w:rStyle w:val="CharacterStyle1"/>
          <w:rFonts w:ascii="Arial" w:hAnsi="Arial" w:cs="Arial"/>
          <w:sz w:val="22"/>
          <w:szCs w:val="22"/>
        </w:rPr>
        <w:t>.</w:t>
      </w:r>
    </w:p>
    <w:p w:rsidR="00764764" w:rsidRPr="00731EC3" w:rsidRDefault="00764764" w:rsidP="00142B34">
      <w:pPr>
        <w:pStyle w:val="Style2"/>
        <w:spacing w:before="240" w:after="240"/>
        <w:ind w:left="862" w:firstLine="0"/>
        <w:rPr>
          <w:rStyle w:val="CharacterStyle1"/>
          <w:rFonts w:ascii="Arial" w:hAnsi="Arial" w:cs="Arial"/>
          <w:sz w:val="22"/>
          <w:szCs w:val="22"/>
        </w:rPr>
      </w:pPr>
      <w:r w:rsidRPr="00FA2FCE">
        <w:rPr>
          <w:rStyle w:val="CharacterStyle1"/>
          <w:rFonts w:ascii="Arial" w:hAnsi="Arial" w:cs="Arial"/>
          <w:sz w:val="22"/>
          <w:szCs w:val="22"/>
        </w:rPr>
        <w:t xml:space="preserve">Megrendelő a vállalkozási díjat </w:t>
      </w:r>
      <w:r w:rsidR="0029734E" w:rsidRPr="00FA2FCE">
        <w:rPr>
          <w:rStyle w:val="CharacterStyle1"/>
          <w:rFonts w:ascii="Arial" w:hAnsi="Arial" w:cs="Arial"/>
          <w:sz w:val="22"/>
          <w:szCs w:val="22"/>
        </w:rPr>
        <w:t>számla ellenében, 15 banki napon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belül fizeti meg átutalással Vállalkozó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számú számlájára.</w:t>
      </w:r>
    </w:p>
    <w:p w:rsidR="00BE526B" w:rsidRDefault="00BE526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Titokvédelem</w:t>
      </w:r>
    </w:p>
    <w:p w:rsidR="00BE526B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kötelezettségről van szó. </w:t>
      </w:r>
    </w:p>
    <w:p w:rsidR="00A024F9" w:rsidRPr="00A024F9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A titoktartási kötelezettség nem terjed ki az információs önrendelkezési jogról és az információszabadságról szóló 2011. évi CXI</w:t>
      </w:r>
      <w:r w:rsidR="00A024F9">
        <w:rPr>
          <w:rStyle w:val="CharacterStyle1"/>
          <w:rFonts w:ascii="Arial" w:hAnsi="Arial" w:cs="Arial"/>
          <w:sz w:val="22"/>
          <w:szCs w:val="22"/>
        </w:rPr>
        <w:t xml:space="preserve">I. törvény 1. melléklete III. Gazdálkodási adatok című táblázatának 4. sorában rögzített kötelezettségre. </w:t>
      </w:r>
    </w:p>
    <w:p w:rsidR="00E21B5D" w:rsidRDefault="00A024F9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Kapcsolattartás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jelen szerződéssel kapcsolatos valamennyi kérdésben kötelesek kapcsolattartót kijelölni. </w:t>
      </w:r>
    </w:p>
    <w:p w:rsidR="00210C0D" w:rsidRDefault="00210C0D" w:rsidP="00210C0D">
      <w:pPr>
        <w:pStyle w:val="Style7"/>
        <w:spacing w:before="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Megrendelő kapcsolattartója: Dr. </w:t>
      </w:r>
      <w:proofErr w:type="spellStart"/>
      <w:r>
        <w:rPr>
          <w:rStyle w:val="CharacterStyle1"/>
          <w:rFonts w:ascii="Arial" w:hAnsi="Arial" w:cs="Arial"/>
          <w:sz w:val="22"/>
          <w:szCs w:val="22"/>
        </w:rPr>
        <w:t>Bozsolik</w:t>
      </w:r>
      <w:proofErr w:type="spellEnd"/>
      <w:r>
        <w:rPr>
          <w:rStyle w:val="CharacterStyle1"/>
          <w:rFonts w:ascii="Arial" w:hAnsi="Arial" w:cs="Arial"/>
          <w:sz w:val="22"/>
          <w:szCs w:val="22"/>
        </w:rPr>
        <w:t xml:space="preserve"> Róbert polgármester</w:t>
      </w:r>
    </w:p>
    <w:p w:rsidR="00210C0D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74/591-507</w:t>
      </w:r>
    </w:p>
    <w:p w:rsidR="00210C0D" w:rsidRDefault="00210C0D" w:rsidP="00210C0D">
      <w:pPr>
        <w:pStyle w:val="Style7"/>
        <w:spacing w:before="24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Vállalkozó kapcsolattartója: </w:t>
      </w:r>
      <w:proofErr w:type="spellStart"/>
      <w:r w:rsidR="00223188" w:rsidRPr="005B03E9">
        <w:rPr>
          <w:rStyle w:val="CharacterStyle1"/>
          <w:rFonts w:ascii="Arial" w:hAnsi="Arial" w:cs="Arial"/>
          <w:sz w:val="22"/>
          <w:szCs w:val="22"/>
        </w:rPr>
        <w:t>Csötönyi</w:t>
      </w:r>
      <w:proofErr w:type="spellEnd"/>
      <w:r w:rsidR="00223188" w:rsidRPr="005B03E9">
        <w:rPr>
          <w:rStyle w:val="CharacterStyle1"/>
          <w:rFonts w:ascii="Arial" w:hAnsi="Arial" w:cs="Arial"/>
          <w:sz w:val="22"/>
          <w:szCs w:val="22"/>
        </w:rPr>
        <w:t xml:space="preserve"> László</w:t>
      </w:r>
      <w:r w:rsidR="00223188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>ügyvezető</w:t>
      </w:r>
      <w:r w:rsidR="00223188"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:rsidR="00210C0D" w:rsidRPr="001529F1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30/</w:t>
      </w:r>
      <w:r w:rsidR="00E53F7F" w:rsidRPr="001529F1">
        <w:rPr>
          <w:rStyle w:val="CharacterStyle1"/>
          <w:rFonts w:ascii="Arial" w:hAnsi="Arial" w:cs="Arial"/>
          <w:sz w:val="22"/>
          <w:szCs w:val="22"/>
        </w:rPr>
        <w:t>308-4344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jogosult alvállalkozót igénybe venni. Vállalkozó a jogosan igénybe vett alvállalkozóért úgy felel, mintha a munkát maga végezte volna el. </w:t>
      </w:r>
    </w:p>
    <w:p w:rsidR="00A0759B" w:rsidRDefault="00A0759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Együttműködésre vonatkozó elvek</w:t>
      </w:r>
    </w:p>
    <w:p w:rsidR="00A0759B" w:rsidRDefault="00A024F9" w:rsidP="00142B34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kijelentik, hogy </w:t>
      </w:r>
    </w:p>
    <w:p w:rsidR="00A024F9" w:rsidRDefault="00A024F9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jelen szerződés aláírására és teljesítésére teljes jogkörrel rendelkeznek. </w:t>
      </w:r>
    </w:p>
    <w:p w:rsidR="00A0759B" w:rsidRDefault="00A0759B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3E2D9C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rendelkezésükre áll minden olyan adat, információ, amely a szerződés teljesítéséhez szükséges.</w:t>
      </w:r>
    </w:p>
    <w:p w:rsidR="00454A87" w:rsidRDefault="00454A87" w:rsidP="003E2D9C">
      <w:pPr>
        <w:rPr>
          <w:rStyle w:val="CharacterStyle1"/>
          <w:rFonts w:ascii="Arial" w:hAnsi="Arial" w:cs="Arial"/>
          <w:sz w:val="22"/>
          <w:szCs w:val="22"/>
          <w:lang w:eastAsia="hu-HU"/>
        </w:rPr>
      </w:pP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433098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szerződést</w:t>
      </w:r>
      <w:r w:rsidRPr="00454A87">
        <w:rPr>
          <w:rFonts w:ascii="Arial" w:hAnsi="Arial" w:cs="Arial"/>
          <w:sz w:val="22"/>
          <w:szCs w:val="22"/>
        </w:rPr>
        <w:t xml:space="preserve"> Szerződő felek kizárólag írásban, közös megegyezéssel módosíthatják. </w:t>
      </w:r>
    </w:p>
    <w:p w:rsidR="00454A87" w:rsidRPr="00454A87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454A87">
        <w:rPr>
          <w:rFonts w:ascii="Arial" w:hAnsi="Arial" w:cs="Arial"/>
          <w:sz w:val="22"/>
          <w:szCs w:val="22"/>
        </w:rPr>
        <w:t xml:space="preserve">Jelen szerződést bármelyik fél írásban 30 napos felmondási idővel mondhatja fel. </w:t>
      </w:r>
    </w:p>
    <w:p w:rsidR="00E21B5D" w:rsidRPr="00731EC3" w:rsidRDefault="00E21B5D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</w:t>
      </w:r>
      <w:r w:rsidRPr="00731EC3">
        <w:rPr>
          <w:rStyle w:val="CharacterStyle1"/>
          <w:rFonts w:ascii="Arial" w:hAnsi="Arial" w:cs="Arial"/>
          <w:sz w:val="22"/>
          <w:szCs w:val="22"/>
        </w:rPr>
        <w:t xml:space="preserve">elek </w:t>
      </w:r>
      <w:r>
        <w:rPr>
          <w:rStyle w:val="CharacterStyle1"/>
          <w:rFonts w:ascii="Arial" w:hAnsi="Arial" w:cs="Arial"/>
          <w:sz w:val="22"/>
          <w:szCs w:val="22"/>
        </w:rPr>
        <w:t xml:space="preserve">a </w:t>
      </w:r>
      <w:r w:rsidRPr="00731EC3">
        <w:rPr>
          <w:rStyle w:val="CharacterStyle1"/>
          <w:rFonts w:ascii="Arial" w:hAnsi="Arial" w:cs="Arial"/>
          <w:sz w:val="22"/>
          <w:szCs w:val="22"/>
        </w:rPr>
        <w:t>szerződést elolvasás után, mint akaratukkal mindenben egyezőt, magukr</w:t>
      </w:r>
      <w:r w:rsidR="00433098">
        <w:rPr>
          <w:rStyle w:val="CharacterStyle1"/>
          <w:rFonts w:ascii="Arial" w:hAnsi="Arial" w:cs="Arial"/>
          <w:sz w:val="22"/>
          <w:szCs w:val="22"/>
        </w:rPr>
        <w:t xml:space="preserve">a nézve kötelezőnek ismerték el, kölcsönös értelmezés után </w:t>
      </w:r>
      <w:proofErr w:type="spellStart"/>
      <w:r w:rsidR="00433098">
        <w:rPr>
          <w:rStyle w:val="CharacterStyle1"/>
          <w:rFonts w:ascii="Arial" w:hAnsi="Arial" w:cs="Arial"/>
          <w:sz w:val="22"/>
          <w:szCs w:val="22"/>
        </w:rPr>
        <w:t>helybenhagyólag</w:t>
      </w:r>
      <w:proofErr w:type="spellEnd"/>
      <w:r w:rsidR="00433098">
        <w:rPr>
          <w:rStyle w:val="CharacterStyle1"/>
          <w:rFonts w:ascii="Arial" w:hAnsi="Arial" w:cs="Arial"/>
          <w:sz w:val="22"/>
          <w:szCs w:val="22"/>
        </w:rPr>
        <w:t xml:space="preserve"> írják alá azzal, hogy az itt nem szabályozott kérdésekben a Polgári Törvénykönyvről szóló 2013. évi V. </w:t>
      </w:r>
      <w:proofErr w:type="gramStart"/>
      <w:r w:rsidR="00433098">
        <w:rPr>
          <w:rStyle w:val="CharacterStyle1"/>
          <w:rFonts w:ascii="Arial" w:hAnsi="Arial" w:cs="Arial"/>
          <w:sz w:val="22"/>
          <w:szCs w:val="22"/>
        </w:rPr>
        <w:t>törvény vonatkozó</w:t>
      </w:r>
      <w:proofErr w:type="gramEnd"/>
      <w:r w:rsidR="00433098">
        <w:rPr>
          <w:rStyle w:val="CharacterStyle1"/>
          <w:rFonts w:ascii="Arial" w:hAnsi="Arial" w:cs="Arial"/>
          <w:sz w:val="22"/>
          <w:szCs w:val="22"/>
        </w:rPr>
        <w:t xml:space="preserve"> rendelkezései az irányadók.</w:t>
      </w: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>201</w:t>
      </w:r>
      <w:r w:rsidR="00993B12">
        <w:rPr>
          <w:rFonts w:ascii="Arial" w:hAnsi="Arial" w:cs="Arial"/>
          <w:sz w:val="22"/>
          <w:szCs w:val="22"/>
        </w:rPr>
        <w:t>7</w:t>
      </w:r>
      <w:r w:rsidR="00BD4115">
        <w:rPr>
          <w:rFonts w:ascii="Arial" w:hAnsi="Arial" w:cs="Arial"/>
          <w:sz w:val="22"/>
          <w:szCs w:val="22"/>
        </w:rPr>
        <w:t xml:space="preserve">. </w:t>
      </w:r>
      <w:r w:rsidR="00993B12">
        <w:rPr>
          <w:rFonts w:ascii="Arial" w:hAnsi="Arial" w:cs="Arial"/>
          <w:sz w:val="22"/>
          <w:szCs w:val="22"/>
        </w:rPr>
        <w:t xml:space="preserve">december </w:t>
      </w:r>
      <w:r w:rsidR="00563568">
        <w:rPr>
          <w:rFonts w:ascii="Arial" w:hAnsi="Arial" w:cs="Arial"/>
          <w:sz w:val="22"/>
          <w:szCs w:val="22"/>
        </w:rPr>
        <w:t>18.</w:t>
      </w:r>
    </w:p>
    <w:p w:rsidR="00E21B5D" w:rsidRPr="00731EC3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Megrendelő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Vállalkozó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Bátaszék Város Önkormányzata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</w:p>
    <w:p w:rsidR="00E21B5D" w:rsidRPr="001F2E86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1F2E86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1F2E86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1F2E86">
        <w:rPr>
          <w:rFonts w:ascii="Arial" w:hAnsi="Arial" w:cs="Arial"/>
          <w:b/>
          <w:sz w:val="22"/>
          <w:szCs w:val="22"/>
        </w:rPr>
        <w:t xml:space="preserve"> Róbert</w:t>
      </w:r>
      <w:r w:rsidR="002231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3188">
        <w:rPr>
          <w:rFonts w:ascii="Arial" w:hAnsi="Arial" w:cs="Arial"/>
          <w:b/>
          <w:sz w:val="22"/>
          <w:szCs w:val="22"/>
        </w:rPr>
        <w:t>sk</w:t>
      </w:r>
      <w:proofErr w:type="spellEnd"/>
      <w:r w:rsidR="00223188">
        <w:rPr>
          <w:rFonts w:ascii="Arial" w:hAnsi="Arial" w:cs="Arial"/>
          <w:b/>
          <w:sz w:val="22"/>
          <w:szCs w:val="22"/>
        </w:rPr>
        <w:t xml:space="preserve">. </w:t>
      </w:r>
      <w:r w:rsidRPr="001F2E86">
        <w:rPr>
          <w:rFonts w:ascii="Arial" w:hAnsi="Arial" w:cs="Arial"/>
          <w:b/>
          <w:sz w:val="22"/>
          <w:szCs w:val="22"/>
        </w:rPr>
        <w:tab/>
        <w:t xml:space="preserve">Izsák Mónika </w:t>
      </w:r>
      <w:proofErr w:type="spellStart"/>
      <w:r w:rsidR="00223188">
        <w:rPr>
          <w:rFonts w:ascii="Arial" w:hAnsi="Arial" w:cs="Arial"/>
          <w:b/>
          <w:sz w:val="22"/>
          <w:szCs w:val="22"/>
        </w:rPr>
        <w:t>sk</w:t>
      </w:r>
      <w:proofErr w:type="spellEnd"/>
      <w:r w:rsidR="00223188">
        <w:rPr>
          <w:rFonts w:ascii="Arial" w:hAnsi="Arial" w:cs="Arial"/>
          <w:b/>
          <w:sz w:val="22"/>
          <w:szCs w:val="22"/>
        </w:rPr>
        <w:t xml:space="preserve">. 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ügyvezető</w:t>
      </w:r>
    </w:p>
    <w:p w:rsidR="00E21B5D" w:rsidRPr="00731EC3" w:rsidRDefault="00E21B5D" w:rsidP="00E21B5D">
      <w:pPr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Záradék: </w:t>
      </w: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vállalkozási szerződés</w:t>
      </w:r>
      <w:r w:rsidRPr="004A3794">
        <w:rPr>
          <w:rFonts w:ascii="Arial" w:hAnsi="Arial" w:cs="Arial"/>
          <w:sz w:val="22"/>
          <w:szCs w:val="22"/>
        </w:rPr>
        <w:t xml:space="preserve"> </w:t>
      </w:r>
      <w:r w:rsidR="005B03E9">
        <w:rPr>
          <w:rFonts w:ascii="Arial" w:hAnsi="Arial" w:cs="Arial"/>
          <w:sz w:val="22"/>
          <w:szCs w:val="22"/>
        </w:rPr>
        <w:t xml:space="preserve">2018. </w:t>
      </w:r>
      <w:r w:rsidR="005F078E">
        <w:rPr>
          <w:rFonts w:ascii="Arial" w:hAnsi="Arial" w:cs="Arial"/>
          <w:sz w:val="22"/>
          <w:szCs w:val="22"/>
        </w:rPr>
        <w:t>június 14.</w:t>
      </w:r>
      <w:r w:rsidRPr="004A3794">
        <w:rPr>
          <w:rFonts w:ascii="Arial" w:hAnsi="Arial" w:cs="Arial"/>
          <w:sz w:val="22"/>
          <w:szCs w:val="22"/>
        </w:rPr>
        <w:t xml:space="preserve"> napján lett egységes szerkezetbe foglalva. </w:t>
      </w: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223188" w:rsidRPr="004A3794" w:rsidRDefault="00223188" w:rsidP="00223188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  <w:t>Kondriczné dr. Varga Erzsébet</w:t>
      </w:r>
    </w:p>
    <w:p w:rsidR="00223188" w:rsidRDefault="00223188" w:rsidP="00223188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</w:p>
    <w:p w:rsidR="00223188" w:rsidRDefault="00223188" w:rsidP="00BD4115">
      <w:pPr>
        <w:rPr>
          <w:rFonts w:ascii="Arial" w:hAnsi="Arial" w:cs="Arial"/>
          <w:sz w:val="22"/>
          <w:szCs w:val="22"/>
        </w:rPr>
      </w:pPr>
    </w:p>
    <w:p w:rsidR="00C25919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Sect="00210C0D">
          <w:footerReference w:type="default" r:id="rId9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7320C0" w:rsidRPr="00F35C88" w:rsidRDefault="00223188" w:rsidP="00223188">
      <w:pPr>
        <w:jc w:val="right"/>
        <w:rPr>
          <w:b/>
        </w:rPr>
      </w:pPr>
      <w:r w:rsidRPr="00F35C88">
        <w:rPr>
          <w:b/>
        </w:rPr>
        <w:lastRenderedPageBreak/>
        <w:t>1. melléklet</w:t>
      </w:r>
      <w:r w:rsidR="005B03E9">
        <w:rPr>
          <w:rStyle w:val="Lbjegyzet-hivatkozs"/>
          <w:b/>
        </w:rPr>
        <w:footnoteReference w:id="4"/>
      </w:r>
    </w:p>
    <w:p w:rsidR="007320C0" w:rsidRPr="00756115" w:rsidRDefault="007320C0" w:rsidP="007320C0">
      <w:pPr>
        <w:jc w:val="center"/>
        <w:rPr>
          <w:b/>
          <w:sz w:val="32"/>
          <w:szCs w:val="32"/>
        </w:rPr>
      </w:pPr>
      <w:r w:rsidRPr="00756115">
        <w:rPr>
          <w:b/>
          <w:sz w:val="32"/>
          <w:szCs w:val="32"/>
        </w:rPr>
        <w:t>2018. ÉVI VÁROSI PROGRAMOK</w:t>
      </w:r>
    </w:p>
    <w:p w:rsidR="007320C0" w:rsidRDefault="007320C0" w:rsidP="007320C0"/>
    <w:tbl>
      <w:tblPr>
        <w:tblW w:w="14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220"/>
        <w:gridCol w:w="3301"/>
        <w:gridCol w:w="2283"/>
      </w:tblGrid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IDŐPONT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RENDEZVÉNY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7320C0" w:rsidRPr="00756115" w:rsidRDefault="007320C0" w:rsidP="000711AF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HELYSZÍN</w:t>
            </w:r>
          </w:p>
        </w:tc>
        <w:tc>
          <w:tcPr>
            <w:tcW w:w="2283" w:type="dxa"/>
            <w:vAlign w:val="bottom"/>
          </w:tcPr>
          <w:p w:rsidR="007320C0" w:rsidRPr="00756115" w:rsidRDefault="007320C0" w:rsidP="000711A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56115">
              <w:rPr>
                <w:rFonts w:ascii="Calibri" w:hAnsi="Calibri"/>
                <w:b/>
                <w:color w:val="000000"/>
              </w:rPr>
              <w:t>TERVEZETT KÖLTSÉG</w:t>
            </w:r>
          </w:p>
        </w:tc>
      </w:tr>
      <w:tr w:rsidR="00DA3AFA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DA3AFA" w:rsidRPr="00756115" w:rsidRDefault="00DA3AFA" w:rsidP="000711AF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DA3AFA" w:rsidRPr="00756115" w:rsidRDefault="00DA3AFA" w:rsidP="000711AF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2017. évről áthúzódó kifizetetlen számlák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DA3AFA" w:rsidRPr="00756115" w:rsidRDefault="00DA3AFA" w:rsidP="000711AF">
            <w:pPr>
              <w:rPr>
                <w:color w:val="000000"/>
                <w:lang w:eastAsia="hu-HU"/>
              </w:rPr>
            </w:pPr>
          </w:p>
        </w:tc>
        <w:tc>
          <w:tcPr>
            <w:tcW w:w="2283" w:type="dxa"/>
            <w:vAlign w:val="bottom"/>
          </w:tcPr>
          <w:p w:rsidR="00DA3AFA" w:rsidRDefault="00DA3AFA" w:rsidP="00DA3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559 448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Lány- és asszonybál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15.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Pilvax Kávéház- 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E7353B" w:rsidRPr="008D2D77" w:rsidRDefault="00E7353B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50 000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Virágvasárnapi Passió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Roma Világnap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Vers Város – költészet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Romkert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7320C0" w:rsidRPr="00756115" w:rsidTr="000711AF">
        <w:trPr>
          <w:trHeight w:val="570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Holocaust Emléknap, Zádor Jenő Emléknap, Zsidó temető avatása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Zsidó temető</w:t>
            </w:r>
          </w:p>
        </w:tc>
        <w:tc>
          <w:tcPr>
            <w:tcW w:w="2283" w:type="dxa"/>
            <w:vAlign w:val="bottom"/>
          </w:tcPr>
          <w:p w:rsidR="00E7353B" w:rsidRPr="008D2D77" w:rsidRDefault="00E7353B" w:rsidP="00017D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70 000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vMerge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Tücsök Színpad előadása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28.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6115">
              <w:rPr>
                <w:b/>
                <w:bCs/>
                <w:color w:val="000000"/>
                <w:lang w:eastAsia="hu-HU"/>
              </w:rPr>
              <w:t>TeSzedd</w:t>
            </w:r>
            <w:proofErr w:type="spellEnd"/>
            <w:r w:rsidRPr="00756115">
              <w:rPr>
                <w:b/>
                <w:bCs/>
                <w:color w:val="000000"/>
                <w:lang w:eastAsia="hu-HU"/>
              </w:rPr>
              <w:t>!- Várostakarítás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Bátaszék közterülete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15 000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Mónika találkozó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25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Orbán 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Orbán kápolna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5F078E" w:rsidRDefault="007320C0" w:rsidP="000711AF">
            <w:pPr>
              <w:rPr>
                <w:color w:val="000000"/>
                <w:highlight w:val="green"/>
                <w:lang w:eastAsia="hu-HU"/>
              </w:rPr>
            </w:pPr>
            <w:r w:rsidRPr="005F078E">
              <w:rPr>
                <w:color w:val="000000"/>
                <w:highlight w:val="green"/>
                <w:lang w:eastAsia="hu-HU"/>
              </w:rPr>
              <w:t>2018. május 26.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5F078E" w:rsidRDefault="007320C0" w:rsidP="000711AF">
            <w:pPr>
              <w:rPr>
                <w:b/>
                <w:bCs/>
                <w:color w:val="000000"/>
                <w:highlight w:val="green"/>
                <w:lang w:eastAsia="hu-HU"/>
              </w:rPr>
            </w:pPr>
            <w:r w:rsidRPr="005F078E">
              <w:rPr>
                <w:b/>
                <w:bCs/>
                <w:color w:val="000000"/>
                <w:highlight w:val="green"/>
                <w:lang w:eastAsia="hu-HU"/>
              </w:rPr>
              <w:t>Triatlon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5F078E" w:rsidRDefault="007320C0" w:rsidP="000711AF">
            <w:pPr>
              <w:rPr>
                <w:color w:val="000000"/>
                <w:highlight w:val="green"/>
                <w:lang w:eastAsia="hu-HU"/>
              </w:rPr>
            </w:pPr>
            <w:r w:rsidRPr="005F078E">
              <w:rPr>
                <w:color w:val="000000"/>
                <w:highlight w:val="green"/>
                <w:lang w:eastAsia="hu-HU"/>
              </w:rPr>
              <w:t>Uszoda</w:t>
            </w:r>
          </w:p>
        </w:tc>
        <w:tc>
          <w:tcPr>
            <w:tcW w:w="2283" w:type="dxa"/>
            <w:vAlign w:val="bottom"/>
          </w:tcPr>
          <w:p w:rsidR="007320C0" w:rsidRPr="008D2D77" w:rsidRDefault="005F078E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457</w:t>
            </w:r>
            <w:r w:rsidR="007320C0" w:rsidRPr="005F078E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 000</w:t>
            </w: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24.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Múzeumok éjszakája, Szent Iván éji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Tájház, romkert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7320C0" w:rsidRPr="00756115" w:rsidTr="00747E3E">
        <w:trPr>
          <w:trHeight w:val="332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30.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3 440 000</w:t>
            </w:r>
          </w:p>
        </w:tc>
      </w:tr>
      <w:tr w:rsidR="001A0EE1" w:rsidRPr="00756115" w:rsidTr="001A0EE1">
        <w:trPr>
          <w:trHeight w:val="437"/>
        </w:trPr>
        <w:tc>
          <w:tcPr>
            <w:tcW w:w="2425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augusztus 20.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István ünnep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1A0EE1" w:rsidRPr="00756115" w:rsidRDefault="001A0EE1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1A0EE1" w:rsidRPr="008D2D77" w:rsidRDefault="001A0EE1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szeptember 7-9.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III. Bátaszéki Bornapok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E7353B" w:rsidRPr="008D2D77" w:rsidRDefault="004D652A" w:rsidP="000711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8 000 </w:t>
            </w:r>
            <w:proofErr w:type="spellStart"/>
            <w:r w:rsidRPr="008D2D77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október 23.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Fiatalok a városért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Városháza</w:t>
            </w:r>
          </w:p>
        </w:tc>
        <w:tc>
          <w:tcPr>
            <w:tcW w:w="2283" w:type="dxa"/>
            <w:vAlign w:val="bottom"/>
          </w:tcPr>
          <w:p w:rsidR="007320C0" w:rsidRPr="008D2D77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22.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Karácsonyi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20C0" w:rsidRPr="00756115" w:rsidRDefault="007320C0" w:rsidP="000711AF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7320C0" w:rsidRDefault="007320C0" w:rsidP="00071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0C0" w:rsidRPr="00756115" w:rsidTr="000711AF">
        <w:trPr>
          <w:trHeight w:val="300"/>
        </w:trPr>
        <w:tc>
          <w:tcPr>
            <w:tcW w:w="11946" w:type="dxa"/>
            <w:gridSpan w:val="3"/>
            <w:shd w:val="clear" w:color="auto" w:fill="D9D9D9" w:themeFill="background1" w:themeFillShade="D9"/>
            <w:vAlign w:val="center"/>
          </w:tcPr>
          <w:p w:rsidR="007320C0" w:rsidRPr="005F078E" w:rsidRDefault="007320C0" w:rsidP="000711AF">
            <w:pPr>
              <w:jc w:val="right"/>
              <w:rPr>
                <w:b/>
                <w:color w:val="000000"/>
                <w:highlight w:val="green"/>
                <w:lang w:eastAsia="hu-HU"/>
              </w:rPr>
            </w:pPr>
            <w:r w:rsidRPr="005F078E">
              <w:rPr>
                <w:b/>
                <w:color w:val="000000"/>
                <w:highlight w:val="green"/>
                <w:lang w:eastAsia="hu-HU"/>
              </w:rPr>
              <w:t>Mindösszesen: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bottom"/>
          </w:tcPr>
          <w:p w:rsidR="00E7353B" w:rsidRDefault="008D2D77" w:rsidP="005F07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078E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12</w:t>
            </w:r>
            <w:r w:rsidR="005F078E" w:rsidRPr="005F078E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 656</w:t>
            </w:r>
            <w:r w:rsidRPr="005F078E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 448</w:t>
            </w:r>
          </w:p>
        </w:tc>
      </w:tr>
    </w:tbl>
    <w:p w:rsidR="00E21B5D" w:rsidRDefault="00E21B5D" w:rsidP="004D652A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Sect="0075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6" w:rsidRDefault="008812F6" w:rsidP="00E21B5D">
      <w:r>
        <w:separator/>
      </w:r>
    </w:p>
  </w:endnote>
  <w:endnote w:type="continuationSeparator" w:id="0">
    <w:p w:rsidR="008812F6" w:rsidRDefault="008812F6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954"/>
      <w:docPartObj>
        <w:docPartGallery w:val="Page Numbers (Bottom of Page)"/>
        <w:docPartUnique/>
      </w:docPartObj>
    </w:sdtPr>
    <w:sdtEndPr/>
    <w:sdtContent>
      <w:p w:rsidR="008812F6" w:rsidRDefault="00993B12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2F6" w:rsidRDefault="00AF31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812F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F078E" w:rsidRPr="005F078E">
                                <w:rPr>
                                  <w:noProof/>
                                  <w:color w:val="7F7F7F" w:themeColor="background1" w:themeShade="7F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8812F6" w:rsidRDefault="00AF311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8812F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F078E" w:rsidRPr="005F078E">
                          <w:rPr>
                            <w:noProof/>
                            <w:color w:val="7F7F7F" w:themeColor="background1" w:themeShade="7F"/>
                          </w:rPr>
                          <w:t>4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6" w:rsidRDefault="008812F6" w:rsidP="00E21B5D">
      <w:r>
        <w:separator/>
      </w:r>
    </w:p>
  </w:footnote>
  <w:footnote w:type="continuationSeparator" w:id="0">
    <w:p w:rsidR="008812F6" w:rsidRDefault="008812F6" w:rsidP="00E21B5D">
      <w:r>
        <w:continuationSeparator/>
      </w:r>
    </w:p>
  </w:footnote>
  <w:footnote w:id="1">
    <w:p w:rsidR="008812F6" w:rsidRDefault="008812F6" w:rsidP="00E7353B">
      <w:pPr>
        <w:pStyle w:val="Lbjegyzetszveg"/>
        <w:jc w:val="both"/>
      </w:pPr>
      <w:r>
        <w:rPr>
          <w:rStyle w:val="Lbjegyzet-hivatkozs"/>
        </w:rPr>
        <w:footnoteRef/>
      </w:r>
      <w:r w:rsidR="00DA3AFA">
        <w:t xml:space="preserve">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 w:rsidR="00563568">
        <w:t>331</w:t>
      </w:r>
      <w:r w:rsidR="00BD4115">
        <w:t>/2017</w:t>
      </w:r>
      <w:r w:rsidRPr="00881867">
        <w:t>.</w:t>
      </w:r>
      <w:r w:rsidR="00BD4115">
        <w:t xml:space="preserve"> </w:t>
      </w:r>
      <w:r w:rsidRPr="00881867">
        <w:t>(</w:t>
      </w:r>
      <w:r w:rsidR="00BD4115">
        <w:t>XII.13</w:t>
      </w:r>
      <w:r w:rsidRPr="00881867">
        <w:t xml:space="preserve">.) 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563568">
        <w:t xml:space="preserve"> a) pontjával</w:t>
      </w:r>
      <w:r>
        <w:t xml:space="preserve"> hagyta jóvá.</w:t>
      </w:r>
    </w:p>
  </w:footnote>
  <w:footnote w:id="2">
    <w:p w:rsidR="00223188" w:rsidRDefault="00223188" w:rsidP="00E735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5B03E9">
        <w:t>a</w:t>
      </w:r>
      <w:proofErr w:type="gramEnd"/>
      <w:r w:rsidR="005B03E9">
        <w:t xml:space="preserve"> szerződés 3.1. pontja a</w:t>
      </w:r>
      <w:r w:rsidR="00DA3AFA">
        <w:t>z</w:t>
      </w:r>
      <w:r w:rsidR="005B03E9">
        <w:t xml:space="preserve"> </w:t>
      </w:r>
      <w:r w:rsidR="005F078E">
        <w:t>…………………….</w:t>
      </w:r>
      <w:r w:rsidR="005B03E9">
        <w:t xml:space="preserve"> </w:t>
      </w:r>
      <w:proofErr w:type="spellStart"/>
      <w:r w:rsidR="005B03E9">
        <w:t>önk-i</w:t>
      </w:r>
      <w:proofErr w:type="spellEnd"/>
      <w:r w:rsidR="005B03E9">
        <w:t xml:space="preserve"> határozattal jóváhagyott  módosítás 1. pontjával megállapított szöveg. Hatályos: </w:t>
      </w:r>
      <w:r w:rsidR="005B03E9" w:rsidRPr="005F078E">
        <w:rPr>
          <w:highlight w:val="green"/>
        </w:rPr>
        <w:t xml:space="preserve">2018. </w:t>
      </w:r>
      <w:r w:rsidR="005F078E" w:rsidRPr="005F078E">
        <w:rPr>
          <w:highlight w:val="green"/>
        </w:rPr>
        <w:t>június 14-étől</w:t>
      </w:r>
      <w:r w:rsidR="00DA3AFA">
        <w:t>.</w:t>
      </w:r>
      <w:r w:rsidR="005B03E9">
        <w:t xml:space="preserve"> </w:t>
      </w:r>
    </w:p>
  </w:footnote>
  <w:footnote w:id="3">
    <w:p w:rsidR="00223188" w:rsidRDefault="002231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5B03E9">
        <w:t>a</w:t>
      </w:r>
      <w:proofErr w:type="gramEnd"/>
      <w:r w:rsidR="005B03E9">
        <w:t xml:space="preserve"> szerződés 6.1. pontja „</w:t>
      </w:r>
      <w:proofErr w:type="spellStart"/>
      <w:r w:rsidR="005B03E9">
        <w:t>Csötönyi</w:t>
      </w:r>
      <w:proofErr w:type="spellEnd"/>
      <w:r w:rsidR="005B03E9">
        <w:t xml:space="preserve"> László” szövegrész a 33/2018.(II.14.) </w:t>
      </w:r>
      <w:proofErr w:type="spellStart"/>
      <w:r w:rsidR="005B03E9">
        <w:t>önk-i</w:t>
      </w:r>
      <w:proofErr w:type="spellEnd"/>
      <w:r w:rsidR="005B03E9">
        <w:t xml:space="preserve"> határozattal jóváhagyott módosítás 2. pontjával megállapított szöveg. Hatályos: 2018. február 15-étől. </w:t>
      </w:r>
    </w:p>
  </w:footnote>
  <w:footnote w:id="4">
    <w:p w:rsidR="005B03E9" w:rsidRDefault="005B03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szerződés 1. melléklete a</w:t>
      </w:r>
      <w:r w:rsidR="008D2D77">
        <w:t>z</w:t>
      </w:r>
      <w:r>
        <w:t xml:space="preserve"> </w:t>
      </w:r>
      <w:r w:rsidR="005F078E">
        <w:t>……………..</w:t>
      </w:r>
      <w:r>
        <w:t xml:space="preserve"> </w:t>
      </w:r>
      <w:proofErr w:type="spellStart"/>
      <w:r>
        <w:t>önk-i</w:t>
      </w:r>
      <w:proofErr w:type="spellEnd"/>
      <w:r>
        <w:t xml:space="preserve"> határozattal jóváhagyott módosítás </w:t>
      </w:r>
      <w:r w:rsidR="00E7353B">
        <w:t xml:space="preserve"> </w:t>
      </w:r>
      <w:r w:rsidR="008D2D77">
        <w:t>2.</w:t>
      </w:r>
      <w:r>
        <w:t xml:space="preserve"> pontjával megállapított szöveg. Hatályos: </w:t>
      </w:r>
      <w:r w:rsidR="008D2D77" w:rsidRPr="005F078E">
        <w:rPr>
          <w:highlight w:val="green"/>
        </w:rPr>
        <w:t xml:space="preserve">2018. </w:t>
      </w:r>
      <w:r w:rsidR="005F078E" w:rsidRPr="005F078E">
        <w:rPr>
          <w:highlight w:val="green"/>
        </w:rPr>
        <w:t>június 14.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D"/>
    <w:rsid w:val="00017D87"/>
    <w:rsid w:val="00064DB9"/>
    <w:rsid w:val="0009006B"/>
    <w:rsid w:val="000E2383"/>
    <w:rsid w:val="000F155D"/>
    <w:rsid w:val="00142B34"/>
    <w:rsid w:val="001474B9"/>
    <w:rsid w:val="001529F1"/>
    <w:rsid w:val="00154157"/>
    <w:rsid w:val="001A0EE1"/>
    <w:rsid w:val="001D2291"/>
    <w:rsid w:val="001E2F2C"/>
    <w:rsid w:val="001F2E86"/>
    <w:rsid w:val="0020334F"/>
    <w:rsid w:val="00210C0D"/>
    <w:rsid w:val="00223188"/>
    <w:rsid w:val="00241AB5"/>
    <w:rsid w:val="002772D5"/>
    <w:rsid w:val="0027741F"/>
    <w:rsid w:val="0029734E"/>
    <w:rsid w:val="002A716F"/>
    <w:rsid w:val="00345C12"/>
    <w:rsid w:val="003B0616"/>
    <w:rsid w:val="003E2D9C"/>
    <w:rsid w:val="003E7EFE"/>
    <w:rsid w:val="00433098"/>
    <w:rsid w:val="00454A87"/>
    <w:rsid w:val="004A33FF"/>
    <w:rsid w:val="004D652A"/>
    <w:rsid w:val="004E3837"/>
    <w:rsid w:val="00525269"/>
    <w:rsid w:val="00563568"/>
    <w:rsid w:val="0056614E"/>
    <w:rsid w:val="005874AE"/>
    <w:rsid w:val="00597C7F"/>
    <w:rsid w:val="005B03E9"/>
    <w:rsid w:val="005F078E"/>
    <w:rsid w:val="00641CFD"/>
    <w:rsid w:val="0064516C"/>
    <w:rsid w:val="006603F7"/>
    <w:rsid w:val="006B6068"/>
    <w:rsid w:val="006F16ED"/>
    <w:rsid w:val="007320C0"/>
    <w:rsid w:val="00747E3E"/>
    <w:rsid w:val="00764764"/>
    <w:rsid w:val="00830528"/>
    <w:rsid w:val="00831C6E"/>
    <w:rsid w:val="00843D89"/>
    <w:rsid w:val="008812F6"/>
    <w:rsid w:val="008824D4"/>
    <w:rsid w:val="00897017"/>
    <w:rsid w:val="008D0826"/>
    <w:rsid w:val="008D0CB7"/>
    <w:rsid w:val="008D2D77"/>
    <w:rsid w:val="00913E06"/>
    <w:rsid w:val="00951817"/>
    <w:rsid w:val="00973CC3"/>
    <w:rsid w:val="00993B12"/>
    <w:rsid w:val="009A21DE"/>
    <w:rsid w:val="009C11F7"/>
    <w:rsid w:val="009C5CA9"/>
    <w:rsid w:val="009D44B9"/>
    <w:rsid w:val="009E0697"/>
    <w:rsid w:val="00A024F9"/>
    <w:rsid w:val="00A0759B"/>
    <w:rsid w:val="00A93719"/>
    <w:rsid w:val="00A968A8"/>
    <w:rsid w:val="00AA4BA8"/>
    <w:rsid w:val="00AB1206"/>
    <w:rsid w:val="00AF3110"/>
    <w:rsid w:val="00B01EB7"/>
    <w:rsid w:val="00B92437"/>
    <w:rsid w:val="00BC7C62"/>
    <w:rsid w:val="00BD1CC8"/>
    <w:rsid w:val="00BD4115"/>
    <w:rsid w:val="00BE526B"/>
    <w:rsid w:val="00C04DA6"/>
    <w:rsid w:val="00C13C7D"/>
    <w:rsid w:val="00C25919"/>
    <w:rsid w:val="00C651F3"/>
    <w:rsid w:val="00C85C6E"/>
    <w:rsid w:val="00CB4E67"/>
    <w:rsid w:val="00CC2D7E"/>
    <w:rsid w:val="00CF2932"/>
    <w:rsid w:val="00CF2C8D"/>
    <w:rsid w:val="00D904A3"/>
    <w:rsid w:val="00DA3AFA"/>
    <w:rsid w:val="00DE4EA9"/>
    <w:rsid w:val="00DE5D69"/>
    <w:rsid w:val="00E21B5D"/>
    <w:rsid w:val="00E25F22"/>
    <w:rsid w:val="00E27518"/>
    <w:rsid w:val="00E53F7F"/>
    <w:rsid w:val="00E7353B"/>
    <w:rsid w:val="00EB2BB7"/>
    <w:rsid w:val="00EB7F0A"/>
    <w:rsid w:val="00EC0164"/>
    <w:rsid w:val="00F35C88"/>
    <w:rsid w:val="00F51D92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E5B7-BDD4-4F41-98A0-E6166313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2018-03-02T06:55:00Z</cp:lastPrinted>
  <dcterms:created xsi:type="dcterms:W3CDTF">2018-06-07T14:20:00Z</dcterms:created>
  <dcterms:modified xsi:type="dcterms:W3CDTF">2018-06-11T07:57:00Z</dcterms:modified>
</cp:coreProperties>
</file>