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CC" w:rsidRDefault="00974BCC" w:rsidP="00974BCC">
      <w:pPr>
        <w:spacing w:before="240" w:after="240"/>
        <w:jc w:val="center"/>
      </w:pPr>
      <w:r>
        <w:rPr>
          <w:b/>
          <w:bCs/>
          <w:sz w:val="28"/>
          <w:szCs w:val="28"/>
        </w:rPr>
        <w:t>2011. évi CXCIV. törvény</w:t>
      </w:r>
    </w:p>
    <w:p w:rsidR="00974BCC" w:rsidRDefault="00974BCC" w:rsidP="00974BCC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Magyarország gazdasági </w:t>
      </w:r>
      <w:proofErr w:type="gramStart"/>
      <w:r>
        <w:rPr>
          <w:b/>
          <w:bCs/>
          <w:sz w:val="28"/>
          <w:szCs w:val="28"/>
        </w:rPr>
        <w:t>stabilitásáról</w:t>
      </w:r>
      <w:proofErr w:type="gramEnd"/>
      <w:r>
        <w:rPr>
          <w:b/>
          <w:bCs/>
          <w:sz w:val="28"/>
          <w:szCs w:val="28"/>
          <w:vertAlign w:val="superscript"/>
        </w:rPr>
        <w:footnoteReference w:id="1"/>
      </w:r>
    </w:p>
    <w:p w:rsidR="00974BCC" w:rsidRDefault="00974BCC" w:rsidP="00974BCC">
      <w:pPr>
        <w:ind w:firstLine="204"/>
        <w:jc w:val="both"/>
        <w:rPr>
          <w:b/>
          <w:bCs/>
        </w:rPr>
      </w:pPr>
      <w:bookmarkStart w:id="0" w:name="_GoBack"/>
      <w:bookmarkEnd w:id="0"/>
    </w:p>
    <w:p w:rsidR="00974BCC" w:rsidRDefault="00974BCC" w:rsidP="00974BCC">
      <w:pPr>
        <w:ind w:firstLine="204"/>
        <w:jc w:val="both"/>
      </w:pPr>
      <w:r>
        <w:rPr>
          <w:b/>
          <w:bCs/>
        </w:rPr>
        <w:t>10. §</w:t>
      </w:r>
      <w:r>
        <w:rPr>
          <w:b/>
          <w:bCs/>
          <w:vertAlign w:val="superscript"/>
        </w:rPr>
        <w:footnoteReference w:id="2"/>
      </w:r>
      <w:r>
        <w:rPr>
          <w:b/>
          <w:bCs/>
        </w:rPr>
        <w:t xml:space="preserve"> </w:t>
      </w:r>
      <w:r>
        <w:t xml:space="preserve">(1) Az önkormányzat érvényesen kizárólag a Kormány előzetes hozzájárulásával vállalhat a Polgári Törvénykönyv szerinti kezességet és </w:t>
      </w:r>
      <w:proofErr w:type="gramStart"/>
      <w:r>
        <w:t>garanciát</w:t>
      </w:r>
      <w:proofErr w:type="gramEnd"/>
      <w:r>
        <w:t>, valamint köthet adósságot keletkeztető ügyletet.</w:t>
      </w:r>
      <w:r>
        <w:rPr>
          <w:vertAlign w:val="superscript"/>
        </w:rPr>
        <w:footnoteReference w:id="3"/>
      </w:r>
    </w:p>
    <w:p w:rsidR="00BF55B0" w:rsidRDefault="00974BCC" w:rsidP="00974BCC">
      <w:r>
        <w:t>(2)</w:t>
      </w:r>
      <w:r>
        <w:rPr>
          <w:vertAlign w:val="superscript"/>
        </w:rPr>
        <w:footnoteReference w:id="4"/>
      </w:r>
      <w:r>
        <w:t xml:space="preserve"> Települési önkormányzat adósságot keletkeztető ügyletet csak abban az esetben köthet,</w:t>
      </w:r>
    </w:p>
    <w:p w:rsidR="00974BCC" w:rsidRDefault="00974BCC" w:rsidP="00974BCC">
      <w:pPr>
        <w:ind w:firstLine="204"/>
        <w:jc w:val="both"/>
      </w:pPr>
      <w:r>
        <w:t xml:space="preserve">ha a hatályos helyi adó rendelete alapján a helyi iparűzési adót vagy a helyi adókról szóló törvény szerinti vagyoni típusú adók közül legalább az egyiket vagy a magánszemélyek </w:t>
      </w:r>
      <w:proofErr w:type="gramStart"/>
      <w:r>
        <w:t>kommunális</w:t>
      </w:r>
      <w:proofErr w:type="gramEnd"/>
      <w:r>
        <w:t xml:space="preserve"> adóját bevezette. E rendelkezést nem kell alkalmazni a települési önkormányzat olyan adósságot keletkeztető ügyletére, amelyhez nincs szükség a Kormány hozzájárulására, illetve amelynek célja </w:t>
      </w:r>
      <w:proofErr w:type="gramStart"/>
      <w:r>
        <w:t>meglévő</w:t>
      </w:r>
      <w:proofErr w:type="gramEnd"/>
      <w:r>
        <w:t xml:space="preserve"> adósság visszafizetése, ha annak összege nem haladja meg az adósság összegét.</w:t>
      </w:r>
    </w:p>
    <w:p w:rsidR="00974BCC" w:rsidRPr="00974BCC" w:rsidRDefault="00974BCC" w:rsidP="00974BCC">
      <w:pPr>
        <w:ind w:firstLine="204"/>
        <w:jc w:val="both"/>
        <w:rPr>
          <w:b/>
        </w:rPr>
      </w:pPr>
      <w:r w:rsidRPr="00974BCC">
        <w:rPr>
          <w:b/>
          <w:color w:val="FF0000"/>
        </w:rPr>
        <w:t>(3) Nincs szükség a Kormány hozzájárulására az önkormányzat</w:t>
      </w:r>
    </w:p>
    <w:p w:rsidR="00974BCC" w:rsidRDefault="00974BCC" w:rsidP="00974BCC">
      <w:pPr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jogszabályon alapuló, kötelező kezesség-, illetve garanciavállalásához,</w:t>
      </w:r>
    </w:p>
    <w:p w:rsidR="00974BCC" w:rsidRDefault="00974BCC" w:rsidP="00974BCC">
      <w:pPr>
        <w:ind w:firstLine="204"/>
        <w:jc w:val="both"/>
      </w:pPr>
      <w:r>
        <w:rPr>
          <w:i/>
          <w:iCs/>
        </w:rPr>
        <w:t xml:space="preserve">b) </w:t>
      </w:r>
      <w:r>
        <w:t>naptári éven belül lejáró adósságot keletkeztető ügyletéhez,</w:t>
      </w:r>
    </w:p>
    <w:p w:rsidR="00974BCC" w:rsidRDefault="00974BCC" w:rsidP="00974BCC">
      <w:pPr>
        <w:ind w:firstLine="204"/>
        <w:jc w:val="both"/>
      </w:pPr>
      <w:r>
        <w:rPr>
          <w:i/>
          <w:iCs/>
        </w:rPr>
        <w:t xml:space="preserve">c) </w:t>
      </w:r>
      <w:r>
        <w:t>olyan adósságot keletkeztető ügylete megkötéséhez, amely</w:t>
      </w:r>
    </w:p>
    <w:p w:rsidR="00974BCC" w:rsidRDefault="00974BCC" w:rsidP="00974BCC">
      <w:pPr>
        <w:ind w:firstLine="204"/>
        <w:jc w:val="both"/>
      </w:pPr>
      <w:proofErr w:type="spellStart"/>
      <w:r>
        <w:rPr>
          <w:i/>
          <w:iCs/>
        </w:rPr>
        <w:t>ca</w:t>
      </w:r>
      <w:proofErr w:type="spellEnd"/>
      <w:r>
        <w:rPr>
          <w:i/>
          <w:iCs/>
        </w:rPr>
        <w:t>)</w:t>
      </w:r>
      <w:r>
        <w:rPr>
          <w:i/>
          <w:iCs/>
          <w:vertAlign w:val="superscript"/>
        </w:rPr>
        <w:footnoteReference w:id="5"/>
      </w:r>
      <w:r>
        <w:rPr>
          <w:i/>
          <w:iCs/>
        </w:rPr>
        <w:t xml:space="preserve"> </w:t>
      </w:r>
      <w:r>
        <w:t>- ha a 10/C. § (1) bekezdése szerinti tájékoztatásban a megkötni tervezettel megegyező vagy annál nagyobb összeggel szerepel - a központi költségvetésből nyújtott európai uniós vagy más nemzetközi szervezettől az önkormányzat által elnyert, fejlesztési célú támogatás előfinanszírozásának biztosítására szolgál,</w:t>
      </w:r>
    </w:p>
    <w:p w:rsidR="00974BCC" w:rsidRDefault="00974BCC" w:rsidP="00974BCC">
      <w:pPr>
        <w:ind w:firstLine="204"/>
        <w:jc w:val="both"/>
      </w:pPr>
      <w:proofErr w:type="spellStart"/>
      <w:r>
        <w:rPr>
          <w:i/>
          <w:iCs/>
        </w:rPr>
        <w:t>cb</w:t>
      </w:r>
      <w:proofErr w:type="spellEnd"/>
      <w:r>
        <w:rPr>
          <w:i/>
          <w:iCs/>
        </w:rPr>
        <w:t xml:space="preserve">) </w:t>
      </w:r>
      <w:r>
        <w:t>az adósságrendezési eljárás során a hitelezői egyezség megkötéséhez igénybe vett reorganizációs hitelre vonatkozik,</w:t>
      </w:r>
    </w:p>
    <w:p w:rsidR="00974BCC" w:rsidRPr="00974BCC" w:rsidRDefault="00974BCC" w:rsidP="00974BCC">
      <w:pPr>
        <w:ind w:firstLine="204"/>
        <w:jc w:val="both"/>
        <w:rPr>
          <w:b/>
          <w:color w:val="FF0000"/>
        </w:rPr>
      </w:pPr>
      <w:r>
        <w:rPr>
          <w:i/>
          <w:iCs/>
        </w:rPr>
        <w:t xml:space="preserve">cc) </w:t>
      </w:r>
      <w:r>
        <w:t xml:space="preserve">- ha a 10/C. § (1) bekezdése szerinti tájékoztatásban a megkötni tervezettel megegyező vagy annál nagyobb összeggel szerepel - fejlesztési célt </w:t>
      </w:r>
      <w:proofErr w:type="gramStart"/>
      <w:r>
        <w:t>szolgál</w:t>
      </w:r>
      <w:proofErr w:type="gramEnd"/>
      <w:r>
        <w:t xml:space="preserve"> és nem haladja meg a fővárosi önkormányzat és megyei jogú város önkormányzata esetében a 100 millió forintot, országos nemzetiségi önkormányzat esetében a 20 millió forintot, </w:t>
      </w:r>
      <w:r w:rsidRPr="00974BCC">
        <w:rPr>
          <w:b/>
          <w:color w:val="FF0000"/>
        </w:rPr>
        <w:t>egyéb önkormányzat esetében az adott évi saját bevételeinek 20%-át, de legfeljebb a 10 millió forintot,</w:t>
      </w:r>
    </w:p>
    <w:p w:rsidR="00974BCC" w:rsidRDefault="00974BCC" w:rsidP="00974BCC">
      <w:pPr>
        <w:ind w:firstLine="204"/>
        <w:jc w:val="both"/>
      </w:pPr>
      <w:proofErr w:type="gramStart"/>
      <w:r>
        <w:rPr>
          <w:i/>
          <w:iCs/>
        </w:rPr>
        <w:t>cd</w:t>
      </w:r>
      <w:proofErr w:type="gramEnd"/>
      <w:r>
        <w:rPr>
          <w:i/>
          <w:iCs/>
        </w:rPr>
        <w:t>)</w:t>
      </w:r>
      <w:r>
        <w:rPr>
          <w:i/>
          <w:iCs/>
          <w:vertAlign w:val="superscript"/>
        </w:rPr>
        <w:footnoteReference w:id="6"/>
      </w:r>
      <w:r>
        <w:rPr>
          <w:i/>
          <w:iCs/>
        </w:rPr>
        <w:t xml:space="preserve"> </w:t>
      </w:r>
      <w:r>
        <w:t xml:space="preserve">a központi költségvetésből nyújtott európai uniós vagy más nemzetközi szervezettől az önkormányzat által elnyert, nem fejlesztési célú támogatás előfinanszírozásának biztosítására </w:t>
      </w:r>
      <w:r>
        <w:lastRenderedPageBreak/>
        <w:t>szolgál, valamint</w:t>
      </w:r>
    </w:p>
    <w:p w:rsidR="00974BCC" w:rsidRDefault="00974BCC" w:rsidP="00974BCC">
      <w:pPr>
        <w:ind w:firstLine="204"/>
        <w:jc w:val="both"/>
      </w:pPr>
      <w:r>
        <w:rPr>
          <w:i/>
          <w:iCs/>
        </w:rPr>
        <w:t>d)</w:t>
      </w:r>
      <w:r>
        <w:rPr>
          <w:i/>
          <w:iCs/>
          <w:vertAlign w:val="superscript"/>
        </w:rPr>
        <w:footnoteReference w:id="7"/>
      </w:r>
      <w:r>
        <w:rPr>
          <w:i/>
          <w:iCs/>
        </w:rPr>
        <w:t xml:space="preserve"> </w:t>
      </w:r>
      <w:r>
        <w:t xml:space="preserve">olyan kezesség- és garanciavállalásához, amely a </w:t>
      </w:r>
      <w:r>
        <w:rPr>
          <w:i/>
          <w:iCs/>
        </w:rPr>
        <w:t xml:space="preserve">b) </w:t>
      </w:r>
      <w:r>
        <w:t xml:space="preserve">és a </w:t>
      </w:r>
      <w:r>
        <w:rPr>
          <w:i/>
          <w:iCs/>
        </w:rPr>
        <w:t xml:space="preserve">c) </w:t>
      </w:r>
      <w:r>
        <w:t>pont szerinti, önkormányzat által megkötött, valamint az önkormányzati többségi tulajdonban álló gazdasági társaság által a naptári éven belül keletkeztetett és lejáró futamidejű adósságot keletkeztető ügylethez kapcsolódik.</w:t>
      </w:r>
    </w:p>
    <w:p w:rsidR="00974BCC" w:rsidRDefault="00974BCC" w:rsidP="00974BCC"/>
    <w:sectPr w:rsidR="0097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CC" w:rsidRDefault="00974BCC" w:rsidP="00974BCC">
      <w:r>
        <w:separator/>
      </w:r>
    </w:p>
  </w:endnote>
  <w:endnote w:type="continuationSeparator" w:id="0">
    <w:p w:rsidR="00974BCC" w:rsidRDefault="00974BCC" w:rsidP="0097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CC" w:rsidRDefault="00974BCC" w:rsidP="00974BCC">
      <w:r>
        <w:separator/>
      </w:r>
    </w:p>
  </w:footnote>
  <w:footnote w:type="continuationSeparator" w:id="0">
    <w:p w:rsidR="00974BCC" w:rsidRDefault="00974BCC" w:rsidP="00974BCC">
      <w:r>
        <w:continuationSeparator/>
      </w:r>
    </w:p>
  </w:footnote>
  <w:footnote w:id="1">
    <w:p w:rsidR="00974BCC" w:rsidRDefault="00974BCC" w:rsidP="00974BCC">
      <w:r>
        <w:rPr>
          <w:vertAlign w:val="superscript"/>
        </w:rPr>
        <w:footnoteRef/>
      </w:r>
      <w:r>
        <w:t xml:space="preserve"> Kihirdetve: 2011. XII. 30.</w:t>
      </w:r>
    </w:p>
  </w:footnote>
  <w:footnote w:id="2">
    <w:p w:rsidR="00974BCC" w:rsidRDefault="00974BCC" w:rsidP="00974BCC">
      <w:r>
        <w:rPr>
          <w:vertAlign w:val="superscript"/>
        </w:rPr>
        <w:footnoteRef/>
      </w:r>
      <w:r>
        <w:t xml:space="preserve"> Megállapította: 2014. évi XCIX. törvény 1. §. Hatályos: 2015. I. 1-től.</w:t>
      </w:r>
    </w:p>
  </w:footnote>
  <w:footnote w:id="3">
    <w:p w:rsidR="00974BCC" w:rsidRDefault="00974BCC" w:rsidP="00974BCC">
      <w:r>
        <w:rPr>
          <w:vertAlign w:val="superscript"/>
        </w:rPr>
        <w:footnoteRef/>
      </w:r>
      <w:r>
        <w:t xml:space="preserve"> Lásd: 1832/2015. (XI. 24.) Korm. határozat, 1974/2015. (XII. 23.) Korm. határozat, 1975/2015. (XII. 23.) Korm. határozat, 1386/2016. (VII. 21.) Korm. határozat, 1663/2016. (XI. 18.) Korm. határozat, 1793/2016. (XII. 19.) Korm. határozat, 1607/2017. (IX. 5.) Korm. határozat, 1820/2017. (XI. 8.) Korm. határozat, 1948/2017. (XII. 12.) Korm. határozat, 2058/2017. (XII. 27.) Korm. határozat, 1329/2018. (VII. 19.) Korm. határozat, 1335/2018. (VII. 25.) Korm. határozat, 1480/2018. (X. 3.) Korm. határozat, 1512/2018. (X. 17.) Korm. határozat, 1570/2018. (XI. 13.) Korm. határozat, 1654/2018. (XII. 6.) Korm. határozat, 1812/2018. (XII. 23.) Korm. határozat, 1356/2019. (VI. 14.) Korm. határozat, 1416/2019. (VII. 16.) Korm. határozat, 1477/2019. (VIII. 1.) Korm. határozat, 1630/2019. (XI. 8.) Korm. határozat, 1676/2019. (XII. 5.) Korm. határozat, 1801/2019. (XII. 23.) Korm. határozat, 1804/2019. (XII. 23.) Korm. határozat</w:t>
      </w:r>
    </w:p>
  </w:footnote>
  <w:footnote w:id="4">
    <w:p w:rsidR="00974BCC" w:rsidRDefault="00974BCC" w:rsidP="00974BCC">
      <w:r>
        <w:rPr>
          <w:vertAlign w:val="superscript"/>
        </w:rPr>
        <w:footnoteRef/>
      </w:r>
      <w:r>
        <w:t xml:space="preserve"> Módosította: 2016. évi LXVII. törvény 6. § 1.</w:t>
      </w:r>
    </w:p>
  </w:footnote>
  <w:footnote w:id="5">
    <w:p w:rsidR="00974BCC" w:rsidRDefault="00974BCC" w:rsidP="00974BCC">
      <w:r>
        <w:rPr>
          <w:vertAlign w:val="superscript"/>
        </w:rPr>
        <w:footnoteRef/>
      </w:r>
      <w:r>
        <w:t xml:space="preserve"> Módosította: 2016. évi LXVII. törvény 6. § 2.</w:t>
      </w:r>
    </w:p>
  </w:footnote>
  <w:footnote w:id="6">
    <w:p w:rsidR="00974BCC" w:rsidRDefault="00974BCC" w:rsidP="00974BCC">
      <w:r>
        <w:rPr>
          <w:vertAlign w:val="superscript"/>
        </w:rPr>
        <w:footnoteRef/>
      </w:r>
      <w:r>
        <w:t xml:space="preserve"> Beiktatta: 2016. évi LXVII. törvény 1. § (1). Hatályos: 2017. I. 1-től.</w:t>
      </w:r>
    </w:p>
  </w:footnote>
  <w:footnote w:id="7">
    <w:p w:rsidR="00974BCC" w:rsidRDefault="00974BCC" w:rsidP="00974BCC">
      <w:r>
        <w:rPr>
          <w:vertAlign w:val="superscript"/>
        </w:rPr>
        <w:footnoteRef/>
      </w:r>
      <w:r>
        <w:t xml:space="preserve"> Megállapította: 2018. évi XL. törvény 56. § (1). Hatályos: 2019. I.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CC"/>
    <w:rsid w:val="00974BCC"/>
    <w:rsid w:val="00B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0F3B"/>
  <w15:chartTrackingRefBased/>
  <w15:docId w15:val="{42D637AF-EE03-4333-B7B4-3C9CEE10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Mórocz</dc:creator>
  <cp:keywords/>
  <dc:description/>
  <cp:lastModifiedBy>Zoltán Mórocz</cp:lastModifiedBy>
  <cp:revision>1</cp:revision>
  <dcterms:created xsi:type="dcterms:W3CDTF">2020-01-20T14:56:00Z</dcterms:created>
  <dcterms:modified xsi:type="dcterms:W3CDTF">2020-01-20T14:59:00Z</dcterms:modified>
</cp:coreProperties>
</file>