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D" w:rsidRPr="006E1E63" w:rsidRDefault="00FE64BD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C4150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645225" w:rsidRDefault="00FE64BD" w:rsidP="00645225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</w:rPr>
      </w:pPr>
      <w:r w:rsidRPr="00C4479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Döntés </w:t>
      </w:r>
      <w:r w:rsidR="0064522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</w:t>
      </w:r>
      <w:r w:rsidR="0064522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Számvevőségi épület felújítása tervezéséhez </w:t>
      </w:r>
      <w:proofErr w:type="gramStart"/>
      <w:r w:rsidR="00645225">
        <w:rPr>
          <w:rFonts w:ascii="Arial" w:hAnsi="Arial" w:cs="Arial"/>
          <w:i/>
          <w:color w:val="3366FF"/>
          <w:sz w:val="32"/>
          <w:szCs w:val="32"/>
          <w:u w:val="single"/>
        </w:rPr>
        <w:t>többlet forrás</w:t>
      </w:r>
      <w:proofErr w:type="gramEnd"/>
      <w:r w:rsidR="0064522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biztosítás</w:t>
      </w:r>
      <w:r w:rsidR="00AC1A30">
        <w:rPr>
          <w:rFonts w:ascii="Arial" w:hAnsi="Arial" w:cs="Arial"/>
          <w:i/>
          <w:color w:val="3366FF"/>
          <w:sz w:val="32"/>
          <w:szCs w:val="32"/>
          <w:u w:val="single"/>
        </w:rPr>
        <w:t>ról</w:t>
      </w: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644157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03442F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D7790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 xml:space="preserve">Bozsolik Zoltán mb. </w:t>
            </w:r>
            <w:proofErr w:type="spellStart"/>
            <w:r>
              <w:rPr>
                <w:rFonts w:ascii="Arial" w:hAnsi="Arial" w:cs="Arial"/>
                <w:color w:val="3366FF"/>
              </w:rPr>
              <w:t>városüzemeltetési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irodavezető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FE64BD" w:rsidRPr="0003442F" w:rsidRDefault="00FE64BD" w:rsidP="00644157">
            <w:pPr>
              <w:spacing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645225" w:rsidRDefault="00FE64BD" w:rsidP="00BE172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7B5368" w:rsidRPr="00D22051" w:rsidRDefault="00645225" w:rsidP="00645225">
      <w:pPr>
        <w:tabs>
          <w:tab w:val="left" w:pos="540"/>
        </w:tabs>
        <w:jc w:val="both"/>
        <w:rPr>
          <w:rFonts w:ascii="Arial" w:hAnsi="Arial" w:cs="Arial"/>
        </w:rPr>
      </w:pPr>
      <w:r w:rsidRPr="00D22051">
        <w:rPr>
          <w:rFonts w:ascii="Arial" w:hAnsi="Arial" w:cs="Arial"/>
        </w:rPr>
        <w:t>A Számvevőségi épület felmérési tervdokumentációja és az értékleltár 2019. évben elkészült. Az épület állaga miatt a felújítás</w:t>
      </w:r>
      <w:r w:rsidR="00431E95">
        <w:rPr>
          <w:rFonts w:ascii="Arial" w:hAnsi="Arial" w:cs="Arial"/>
        </w:rPr>
        <w:t>i munkák megkezdéséről döntött a képviselő-testület, amikor tervezési feladatok elvégzésére adott megbízást a 47</w:t>
      </w:r>
      <w:r w:rsidR="006C3F8C">
        <w:rPr>
          <w:rFonts w:ascii="Arial" w:hAnsi="Arial" w:cs="Arial"/>
        </w:rPr>
        <w:t>/2020.(II.26.)</w:t>
      </w:r>
      <w:r w:rsidR="006C3F8C">
        <w:rPr>
          <w:rFonts w:ascii="Arial" w:hAnsi="Arial" w:cs="Arial"/>
        </w:rPr>
        <w:t xml:space="preserve">, </w:t>
      </w:r>
      <w:r w:rsidR="00431E95">
        <w:rPr>
          <w:rFonts w:ascii="Arial" w:hAnsi="Arial" w:cs="Arial"/>
        </w:rPr>
        <w:t>48</w:t>
      </w:r>
      <w:r w:rsidR="006C3F8C">
        <w:rPr>
          <w:rFonts w:ascii="Arial" w:hAnsi="Arial" w:cs="Arial"/>
        </w:rPr>
        <w:t>/2020.(II.26.)</w:t>
      </w:r>
      <w:r w:rsidR="006C3F8C">
        <w:rPr>
          <w:rFonts w:ascii="Arial" w:hAnsi="Arial" w:cs="Arial"/>
        </w:rPr>
        <w:t xml:space="preserve"> és </w:t>
      </w:r>
      <w:r w:rsidR="00431E95">
        <w:rPr>
          <w:rFonts w:ascii="Arial" w:hAnsi="Arial" w:cs="Arial"/>
        </w:rPr>
        <w:t>49</w:t>
      </w:r>
      <w:r w:rsidR="006C3F8C">
        <w:rPr>
          <w:rFonts w:ascii="Arial" w:hAnsi="Arial" w:cs="Arial"/>
        </w:rPr>
        <w:t>/2020.(II.26.) önkormányzati határozatokkal.</w:t>
      </w:r>
    </w:p>
    <w:p w:rsidR="00D1251C" w:rsidRDefault="00645225" w:rsidP="00645225">
      <w:pPr>
        <w:tabs>
          <w:tab w:val="left" w:pos="540"/>
        </w:tabs>
        <w:jc w:val="both"/>
        <w:rPr>
          <w:rFonts w:ascii="Arial" w:hAnsi="Arial" w:cs="Arial"/>
        </w:rPr>
      </w:pPr>
      <w:r w:rsidRPr="00D22051">
        <w:rPr>
          <w:rFonts w:ascii="Arial" w:hAnsi="Arial" w:cs="Arial"/>
        </w:rPr>
        <w:t>Az I. ütemben a keleti (Budai utca felől) és az északi (általános iskola felől) homlokzat felújításával célszerű kezdeni - vakolatjavítás,</w:t>
      </w:r>
      <w:r>
        <w:rPr>
          <w:rFonts w:ascii="Arial" w:hAnsi="Arial" w:cs="Arial"/>
        </w:rPr>
        <w:t xml:space="preserve"> festés és nyílászáró felújítás</w:t>
      </w:r>
      <w:r w:rsidRPr="00D22051">
        <w:rPr>
          <w:rFonts w:ascii="Arial" w:hAnsi="Arial" w:cs="Arial"/>
        </w:rPr>
        <w:t xml:space="preserve">. </w:t>
      </w:r>
      <w:r w:rsidR="00431E95">
        <w:rPr>
          <w:rFonts w:ascii="Arial" w:hAnsi="Arial" w:cs="Arial"/>
        </w:rPr>
        <w:t>A tervezési és engedélyezési feladatok előkészítése érdekében az</w:t>
      </w:r>
      <w:r w:rsidR="00D1251C">
        <w:rPr>
          <w:rFonts w:ascii="Arial" w:hAnsi="Arial" w:cs="Arial"/>
        </w:rPr>
        <w:t xml:space="preserve"> érintett tervezőkkel és az örökségvédelmi hatóság képviselőjével helyszíni szemlét tartottunk.</w:t>
      </w:r>
    </w:p>
    <w:p w:rsidR="00D1251C" w:rsidRDefault="00D1251C" w:rsidP="00D12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hatóság kifejtette álláspontját a tekintetben, hogy</w:t>
      </w:r>
      <w:r w:rsidR="00BE1722">
        <w:rPr>
          <w:rFonts w:ascii="Arial" w:hAnsi="Arial" w:cs="Arial"/>
        </w:rPr>
        <w:t xml:space="preserve"> kiviteli tervdokumentáció készítését nem tartja szükségesnek, de az engedélyezési </w:t>
      </w:r>
      <w:proofErr w:type="gramStart"/>
      <w:r w:rsidR="00BE1722">
        <w:rPr>
          <w:rFonts w:ascii="Arial" w:hAnsi="Arial" w:cs="Arial"/>
        </w:rPr>
        <w:t>dokumentáció különböző</w:t>
      </w:r>
      <w:proofErr w:type="gramEnd"/>
      <w:r w:rsidR="00BE1722">
        <w:rPr>
          <w:rFonts w:ascii="Arial" w:hAnsi="Arial" w:cs="Arial"/>
        </w:rPr>
        <w:t xml:space="preserve"> munkarészekkel történő kiegészítését kéri</w:t>
      </w:r>
      <w:r w:rsidR="006912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="006C3F8C">
        <w:rPr>
          <w:rFonts w:ascii="Arial" w:hAnsi="Arial" w:cs="Arial"/>
        </w:rPr>
        <w:t>Egyébként a z é</w:t>
      </w:r>
      <w:r w:rsidRPr="007F3D31">
        <w:rPr>
          <w:rFonts w:ascii="Arial" w:hAnsi="Arial" w:cs="Arial"/>
        </w:rPr>
        <w:t>pítész kiviteli tervdokumentáció</w:t>
      </w:r>
      <w:r w:rsidR="00BE1722">
        <w:rPr>
          <w:rFonts w:ascii="Arial" w:hAnsi="Arial" w:cs="Arial"/>
        </w:rPr>
        <w:t xml:space="preserve"> költsége </w:t>
      </w:r>
      <w:r w:rsidRPr="007F3D31">
        <w:rPr>
          <w:rFonts w:ascii="Arial" w:hAnsi="Arial" w:cs="Arial"/>
        </w:rPr>
        <w:t>1.560.000,-</w:t>
      </w:r>
      <w:r w:rsidR="00BE1722">
        <w:rPr>
          <w:rFonts w:ascii="Arial" w:hAnsi="Arial" w:cs="Arial"/>
        </w:rPr>
        <w:t>Ft lett volna.</w:t>
      </w:r>
      <w:r>
        <w:rPr>
          <w:rFonts w:ascii="Arial" w:hAnsi="Arial" w:cs="Arial"/>
        </w:rPr>
        <w:t>)</w:t>
      </w:r>
      <w:r w:rsidR="00BE1722">
        <w:rPr>
          <w:rFonts w:ascii="Arial" w:hAnsi="Arial" w:cs="Arial"/>
        </w:rPr>
        <w:t xml:space="preserve"> </w:t>
      </w:r>
    </w:p>
    <w:p w:rsidR="00BE1722" w:rsidRPr="007F3D31" w:rsidRDefault="00BE1722" w:rsidP="00D12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hatóság iránymutatásának megfelelően ajánlat kiegészítéseket kértünk az előzetesen már megbízott ajánlattevőktől:</w:t>
      </w:r>
    </w:p>
    <w:p w:rsidR="00691267" w:rsidRPr="00691267" w:rsidRDefault="00691267" w:rsidP="00691267">
      <w:pPr>
        <w:tabs>
          <w:tab w:val="left" w:pos="540"/>
        </w:tabs>
        <w:jc w:val="both"/>
        <w:rPr>
          <w:rFonts w:ascii="Arial" w:hAnsi="Arial" w:cs="Arial"/>
        </w:rPr>
      </w:pPr>
      <w:r w:rsidRPr="00691267">
        <w:rPr>
          <w:rFonts w:ascii="Arial" w:hAnsi="Arial" w:cs="Arial"/>
        </w:rPr>
        <w:t>-</w:t>
      </w:r>
      <w:r w:rsidRPr="00691267">
        <w:rPr>
          <w:rFonts w:ascii="Arial" w:hAnsi="Arial" w:cs="Arial"/>
        </w:rPr>
        <w:tab/>
        <w:t xml:space="preserve">Építész </w:t>
      </w:r>
      <w:r>
        <w:rPr>
          <w:rFonts w:ascii="Arial" w:hAnsi="Arial" w:cs="Arial"/>
        </w:rPr>
        <w:t>engedélyezési tervdokumentáció készítője megadta a kiegészítő árajánlatát (</w:t>
      </w:r>
      <w:r w:rsidRPr="00691267">
        <w:rPr>
          <w:rFonts w:ascii="Arial" w:hAnsi="Arial" w:cs="Arial"/>
        </w:rPr>
        <w:t xml:space="preserve">TIRINGER Építőipari Tervező és Kivitelező Kft. (7140 Bátaszék Garay J. </w:t>
      </w:r>
      <w:proofErr w:type="gramStart"/>
      <w:r w:rsidRPr="00691267">
        <w:rPr>
          <w:rFonts w:ascii="Arial" w:hAnsi="Arial" w:cs="Arial"/>
        </w:rPr>
        <w:t>u.</w:t>
      </w:r>
      <w:proofErr w:type="gramEnd"/>
      <w:r w:rsidRPr="00691267">
        <w:rPr>
          <w:rFonts w:ascii="Arial" w:hAnsi="Arial" w:cs="Arial"/>
        </w:rPr>
        <w:t xml:space="preserve"> 8.)</w:t>
      </w:r>
      <w:r>
        <w:rPr>
          <w:rFonts w:ascii="Arial" w:hAnsi="Arial" w:cs="Arial"/>
        </w:rPr>
        <w:t>.</w:t>
      </w:r>
      <w:r w:rsidR="00221306">
        <w:rPr>
          <w:rFonts w:ascii="Arial" w:hAnsi="Arial" w:cs="Arial"/>
        </w:rPr>
        <w:t xml:space="preserve"> </w:t>
      </w:r>
      <w:r w:rsidR="0088317E">
        <w:rPr>
          <w:rFonts w:ascii="Arial" w:hAnsi="Arial" w:cs="Arial"/>
        </w:rPr>
        <w:t>(1</w:t>
      </w:r>
      <w:proofErr w:type="gramStart"/>
      <w:r w:rsidR="0088317E">
        <w:rPr>
          <w:rFonts w:ascii="Arial" w:hAnsi="Arial" w:cs="Arial"/>
        </w:rPr>
        <w:t>.sz.</w:t>
      </w:r>
      <w:proofErr w:type="gramEnd"/>
      <w:r w:rsidR="0088317E">
        <w:rPr>
          <w:rFonts w:ascii="Arial" w:hAnsi="Arial" w:cs="Arial"/>
        </w:rPr>
        <w:t xml:space="preserve"> melléklet) </w:t>
      </w:r>
      <w:r w:rsidR="00221306">
        <w:rPr>
          <w:rFonts w:ascii="Arial" w:hAnsi="Arial" w:cs="Arial"/>
        </w:rPr>
        <w:t xml:space="preserve">Az engedélyezési tervdokumentációt </w:t>
      </w:r>
      <w:r w:rsidR="00131D0B">
        <w:rPr>
          <w:rFonts w:ascii="Arial" w:hAnsi="Arial" w:cs="Arial"/>
        </w:rPr>
        <w:t xml:space="preserve">leginkább részletrajzokkal kell kiegészíteni. Továbbá szükséges </w:t>
      </w:r>
      <w:proofErr w:type="spellStart"/>
      <w:r w:rsidR="00131D0B">
        <w:rPr>
          <w:rFonts w:ascii="Arial" w:hAnsi="Arial" w:cs="Arial"/>
        </w:rPr>
        <w:t>árazatlan</w:t>
      </w:r>
      <w:proofErr w:type="spellEnd"/>
      <w:r w:rsidR="00131D0B">
        <w:rPr>
          <w:rFonts w:ascii="Arial" w:hAnsi="Arial" w:cs="Arial"/>
        </w:rPr>
        <w:t xml:space="preserve"> költségvetés készítése annak érdekében, hogy később a kivitelezőktől ajánlatot tudjunk </w:t>
      </w:r>
      <w:r w:rsidR="005851C6">
        <w:rPr>
          <w:rFonts w:ascii="Arial" w:hAnsi="Arial" w:cs="Arial"/>
        </w:rPr>
        <w:t xml:space="preserve">kérni a felújításra. Ez 415.000,-Ft többlet </w:t>
      </w:r>
      <w:r w:rsidR="00FB1369">
        <w:rPr>
          <w:rFonts w:ascii="Arial" w:hAnsi="Arial" w:cs="Arial"/>
        </w:rPr>
        <w:t>költséget</w:t>
      </w:r>
      <w:r w:rsidR="005851C6">
        <w:rPr>
          <w:rFonts w:ascii="Arial" w:hAnsi="Arial" w:cs="Arial"/>
        </w:rPr>
        <w:t xml:space="preserve"> jelent.</w:t>
      </w:r>
    </w:p>
    <w:p w:rsidR="00645225" w:rsidRPr="00BE1722" w:rsidRDefault="00691267" w:rsidP="00645225">
      <w:pPr>
        <w:jc w:val="both"/>
        <w:rPr>
          <w:rFonts w:ascii="Arial" w:hAnsi="Arial" w:cs="Arial"/>
          <w:u w:val="single"/>
        </w:rPr>
      </w:pPr>
      <w:r w:rsidRPr="00FB1369">
        <w:rPr>
          <w:rFonts w:ascii="Arial" w:hAnsi="Arial" w:cs="Arial"/>
        </w:rPr>
        <w:t>-</w:t>
      </w:r>
      <w:r w:rsidRPr="00FB1369">
        <w:rPr>
          <w:rFonts w:ascii="Arial" w:hAnsi="Arial" w:cs="Arial"/>
        </w:rPr>
        <w:tab/>
        <w:t>Faanyagvédelmi szakvélemény, tetőszerkezet felmérési terv készítője szintén megadta a kiegészítő árajánlatát</w:t>
      </w:r>
      <w:r w:rsidR="00221306" w:rsidRPr="00FB1369">
        <w:rPr>
          <w:rFonts w:ascii="Arial" w:hAnsi="Arial" w:cs="Arial"/>
        </w:rPr>
        <w:t xml:space="preserve"> (d</w:t>
      </w:r>
      <w:r w:rsidRPr="00FB1369">
        <w:rPr>
          <w:rFonts w:ascii="Arial" w:hAnsi="Arial" w:cs="Arial"/>
        </w:rPr>
        <w:t xml:space="preserve">r. Bakó Tibor (7720 Pécsvárad Dózsa </w:t>
      </w:r>
      <w:proofErr w:type="spellStart"/>
      <w:r w:rsidRPr="00FB1369">
        <w:rPr>
          <w:rFonts w:ascii="Arial" w:hAnsi="Arial" w:cs="Arial"/>
        </w:rPr>
        <w:t>Gy</w:t>
      </w:r>
      <w:proofErr w:type="spellEnd"/>
      <w:r w:rsidRPr="00FB1369">
        <w:rPr>
          <w:rFonts w:ascii="Arial" w:hAnsi="Arial" w:cs="Arial"/>
        </w:rPr>
        <w:t xml:space="preserve">. </w:t>
      </w:r>
      <w:proofErr w:type="gramStart"/>
      <w:r w:rsidRPr="00FB1369">
        <w:rPr>
          <w:rFonts w:ascii="Arial" w:hAnsi="Arial" w:cs="Arial"/>
        </w:rPr>
        <w:t>utca</w:t>
      </w:r>
      <w:proofErr w:type="gramEnd"/>
      <w:r w:rsidRPr="00FB1369">
        <w:rPr>
          <w:rFonts w:ascii="Arial" w:hAnsi="Arial" w:cs="Arial"/>
        </w:rPr>
        <w:t xml:space="preserve"> 44.)</w:t>
      </w:r>
      <w:r w:rsidR="00221306" w:rsidRPr="00FB1369">
        <w:rPr>
          <w:rFonts w:ascii="Arial" w:hAnsi="Arial" w:cs="Arial"/>
        </w:rPr>
        <w:t>.</w:t>
      </w:r>
      <w:r w:rsidR="003345FF" w:rsidRPr="00FB1369">
        <w:rPr>
          <w:rFonts w:ascii="Arial" w:hAnsi="Arial" w:cs="Arial"/>
        </w:rPr>
        <w:t xml:space="preserve"> (2</w:t>
      </w:r>
      <w:proofErr w:type="gramStart"/>
      <w:r w:rsidR="003345FF" w:rsidRPr="00FB1369">
        <w:rPr>
          <w:rFonts w:ascii="Arial" w:hAnsi="Arial" w:cs="Arial"/>
        </w:rPr>
        <w:t>.sz.</w:t>
      </w:r>
      <w:proofErr w:type="gramEnd"/>
      <w:r w:rsidR="003345FF" w:rsidRPr="00FB1369">
        <w:rPr>
          <w:rFonts w:ascii="Arial" w:hAnsi="Arial" w:cs="Arial"/>
        </w:rPr>
        <w:t xml:space="preserve"> melléklet) Faanyagvédelmi szakvélemény</w:t>
      </w:r>
      <w:r w:rsidR="00FB1369" w:rsidRPr="00FB1369">
        <w:rPr>
          <w:rFonts w:ascii="Arial" w:hAnsi="Arial" w:cs="Arial"/>
        </w:rPr>
        <w:t>t a</w:t>
      </w:r>
      <w:r w:rsidR="003345FF" w:rsidRPr="00FB1369">
        <w:rPr>
          <w:rFonts w:ascii="Arial" w:hAnsi="Arial" w:cs="Arial"/>
        </w:rPr>
        <w:t xml:space="preserve"> nyílá</w:t>
      </w:r>
      <w:r w:rsidR="00FB1369" w:rsidRPr="00FB1369">
        <w:rPr>
          <w:rFonts w:ascii="Arial" w:hAnsi="Arial" w:cs="Arial"/>
        </w:rPr>
        <w:t>száró szerkezetekről, utcai hom</w:t>
      </w:r>
      <w:r w:rsidR="003345FF" w:rsidRPr="00FB1369">
        <w:rPr>
          <w:rFonts w:ascii="Arial" w:hAnsi="Arial" w:cs="Arial"/>
        </w:rPr>
        <w:t>lokzaton összesen 14 db ablak átvizsgálásával felújítási javaslattal</w:t>
      </w:r>
      <w:r w:rsidR="00FB1369" w:rsidRPr="00FB1369">
        <w:rPr>
          <w:rFonts w:ascii="Arial" w:hAnsi="Arial" w:cs="Arial"/>
        </w:rPr>
        <w:t xml:space="preserve"> kell kiegészíteni. Ez </w:t>
      </w:r>
      <w:r w:rsidR="003345FF" w:rsidRPr="00FB1369">
        <w:rPr>
          <w:rFonts w:ascii="Arial" w:hAnsi="Arial" w:cs="Arial"/>
        </w:rPr>
        <w:t>70 000 Ft</w:t>
      </w:r>
      <w:r w:rsidR="00FB1369" w:rsidRPr="00FB1369">
        <w:rPr>
          <w:rFonts w:ascii="Arial" w:hAnsi="Arial" w:cs="Arial"/>
        </w:rPr>
        <w:t xml:space="preserve"> többlet költséget jelent.</w:t>
      </w:r>
    </w:p>
    <w:p w:rsidR="006C3F8C" w:rsidRDefault="006C3F8C" w:rsidP="00645225">
      <w:pPr>
        <w:jc w:val="both"/>
        <w:rPr>
          <w:rFonts w:ascii="Arial" w:hAnsi="Arial" w:cs="Arial"/>
        </w:rPr>
      </w:pPr>
    </w:p>
    <w:p w:rsidR="006C3F8C" w:rsidRDefault="006C3F8C" w:rsidP="00645225">
      <w:pPr>
        <w:jc w:val="both"/>
        <w:rPr>
          <w:rFonts w:ascii="Arial" w:hAnsi="Arial" w:cs="Arial"/>
        </w:rPr>
      </w:pPr>
    </w:p>
    <w:p w:rsidR="006C3F8C" w:rsidRDefault="006C3F8C" w:rsidP="00645225">
      <w:pPr>
        <w:jc w:val="both"/>
        <w:rPr>
          <w:rFonts w:ascii="Arial" w:hAnsi="Arial" w:cs="Arial"/>
        </w:rPr>
      </w:pPr>
    </w:p>
    <w:p w:rsidR="00645225" w:rsidRDefault="00645225" w:rsidP="00645225">
      <w:pPr>
        <w:jc w:val="both"/>
        <w:rPr>
          <w:rFonts w:ascii="Arial" w:hAnsi="Arial" w:cs="Arial"/>
        </w:rPr>
      </w:pPr>
      <w:r w:rsidRPr="007F3D31">
        <w:rPr>
          <w:rFonts w:ascii="Arial" w:hAnsi="Arial" w:cs="Arial"/>
        </w:rPr>
        <w:t xml:space="preserve">A megadott díjak </w:t>
      </w:r>
      <w:r w:rsidR="00AE3787">
        <w:rPr>
          <w:rFonts w:ascii="Arial" w:hAnsi="Arial" w:cs="Arial"/>
        </w:rPr>
        <w:t xml:space="preserve">összességében </w:t>
      </w:r>
      <w:r w:rsidRPr="007F3D31">
        <w:rPr>
          <w:rFonts w:ascii="Arial" w:hAnsi="Arial" w:cs="Arial"/>
        </w:rPr>
        <w:t>az alábbiak</w:t>
      </w:r>
      <w:r w:rsidR="00AE3787">
        <w:rPr>
          <w:rFonts w:ascii="Arial" w:hAnsi="Arial" w:cs="Arial"/>
        </w:rPr>
        <w:t xml:space="preserve"> szerint alakulnak</w:t>
      </w:r>
      <w:r w:rsidRPr="007F3D31">
        <w:rPr>
          <w:rFonts w:ascii="Arial" w:hAnsi="Arial" w:cs="Arial"/>
        </w:rPr>
        <w:t>:</w:t>
      </w:r>
    </w:p>
    <w:p w:rsidR="006C3F8C" w:rsidRPr="007F3D31" w:rsidRDefault="006C3F8C" w:rsidP="00645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már</w:t>
      </w:r>
      <w:proofErr w:type="gramEnd"/>
      <w:r>
        <w:rPr>
          <w:rFonts w:ascii="Arial" w:hAnsi="Arial" w:cs="Arial"/>
        </w:rPr>
        <w:t xml:space="preserve"> jóváhagyott összeg</w:t>
      </w:r>
      <w:r>
        <w:rPr>
          <w:rFonts w:ascii="Arial" w:hAnsi="Arial" w:cs="Arial"/>
        </w:rPr>
        <w:tab/>
        <w:t xml:space="preserve"> kiegészítő ajánlat</w:t>
      </w:r>
      <w:r w:rsidR="00A678B3">
        <w:rPr>
          <w:rFonts w:ascii="Arial" w:hAnsi="Arial" w:cs="Arial"/>
        </w:rPr>
        <w:tab/>
        <w:t>összesen</w:t>
      </w:r>
    </w:p>
    <w:p w:rsidR="00645225" w:rsidRPr="007F3D31" w:rsidRDefault="00645225" w:rsidP="00645225">
      <w:pPr>
        <w:jc w:val="both"/>
        <w:rPr>
          <w:rFonts w:ascii="Arial" w:hAnsi="Arial" w:cs="Arial"/>
        </w:rPr>
      </w:pPr>
      <w:proofErr w:type="gramStart"/>
      <w:r w:rsidRPr="00B02A9F">
        <w:rPr>
          <w:rFonts w:ascii="Arial" w:hAnsi="Arial" w:cs="Arial"/>
          <w:highlight w:val="lightGray"/>
        </w:rPr>
        <w:t>Építész engedélyezési</w:t>
      </w:r>
      <w:proofErr w:type="gramEnd"/>
      <w:r w:rsidRPr="00B02A9F">
        <w:rPr>
          <w:rFonts w:ascii="Arial" w:hAnsi="Arial" w:cs="Arial"/>
          <w:highlight w:val="lightGray"/>
        </w:rPr>
        <w:t xml:space="preserve"> tervdokumentáció</w:t>
      </w:r>
      <w:r w:rsidRPr="00B02A9F">
        <w:rPr>
          <w:rFonts w:ascii="Arial" w:hAnsi="Arial" w:cs="Arial"/>
          <w:highlight w:val="lightGray"/>
        </w:rPr>
        <w:tab/>
      </w:r>
      <w:r w:rsidRPr="00B02A9F">
        <w:rPr>
          <w:rFonts w:ascii="Arial" w:hAnsi="Arial" w:cs="Arial"/>
          <w:highlight w:val="lightGray"/>
        </w:rPr>
        <w:tab/>
        <w:t xml:space="preserve">   235.250,-</w:t>
      </w:r>
      <w:r w:rsidR="00AE3787" w:rsidRPr="00B02A9F">
        <w:rPr>
          <w:rFonts w:ascii="Arial" w:hAnsi="Arial" w:cs="Arial"/>
          <w:highlight w:val="lightGray"/>
        </w:rPr>
        <w:t xml:space="preserve"> </w:t>
      </w:r>
      <w:r w:rsidR="006C3F8C" w:rsidRPr="00B02A9F">
        <w:rPr>
          <w:rFonts w:ascii="Arial" w:hAnsi="Arial" w:cs="Arial"/>
          <w:highlight w:val="lightGray"/>
        </w:rPr>
        <w:tab/>
      </w:r>
      <w:r w:rsidR="006C3F8C" w:rsidRPr="00B02A9F">
        <w:rPr>
          <w:rFonts w:ascii="Arial" w:hAnsi="Arial" w:cs="Arial"/>
          <w:highlight w:val="lightGray"/>
        </w:rPr>
        <w:tab/>
      </w:r>
      <w:r w:rsidR="00AE3787" w:rsidRPr="00B02A9F">
        <w:rPr>
          <w:rFonts w:ascii="Arial" w:hAnsi="Arial" w:cs="Arial"/>
          <w:highlight w:val="lightGray"/>
        </w:rPr>
        <w:t>+ 415.000,-</w:t>
      </w:r>
      <w:r w:rsidR="00A678B3" w:rsidRPr="00B02A9F">
        <w:rPr>
          <w:rFonts w:ascii="Arial" w:hAnsi="Arial" w:cs="Arial"/>
          <w:highlight w:val="lightGray"/>
        </w:rPr>
        <w:tab/>
      </w:r>
      <w:r w:rsidR="00A678B3" w:rsidRPr="00B02A9F">
        <w:rPr>
          <w:rFonts w:ascii="Arial" w:hAnsi="Arial" w:cs="Arial"/>
          <w:highlight w:val="lightGray"/>
        </w:rPr>
        <w:tab/>
        <w:t>650.250,-</w:t>
      </w:r>
    </w:p>
    <w:p w:rsidR="00645225" w:rsidRPr="00B02A9F" w:rsidRDefault="00645225" w:rsidP="00645225">
      <w:pPr>
        <w:rPr>
          <w:rFonts w:ascii="Arial" w:hAnsi="Arial" w:cs="Arial"/>
          <w:highlight w:val="cyan"/>
        </w:rPr>
      </w:pPr>
      <w:r w:rsidRPr="00B02A9F">
        <w:rPr>
          <w:rFonts w:ascii="Arial" w:hAnsi="Arial" w:cs="Arial"/>
          <w:highlight w:val="cyan"/>
        </w:rPr>
        <w:t xml:space="preserve">Faanyagvédelmi </w:t>
      </w:r>
      <w:proofErr w:type="gramStart"/>
      <w:r w:rsidRPr="00B02A9F">
        <w:rPr>
          <w:rFonts w:ascii="Arial" w:hAnsi="Arial" w:cs="Arial"/>
          <w:highlight w:val="cyan"/>
        </w:rPr>
        <w:t>szakvélemény</w:t>
      </w:r>
      <w:r w:rsidRPr="00B02A9F">
        <w:rPr>
          <w:rFonts w:ascii="Arial" w:hAnsi="Arial" w:cs="Arial"/>
          <w:highlight w:val="cyan"/>
        </w:rPr>
        <w:tab/>
      </w:r>
      <w:r w:rsidRPr="00B02A9F">
        <w:rPr>
          <w:rFonts w:ascii="Arial" w:hAnsi="Arial" w:cs="Arial"/>
          <w:highlight w:val="cyan"/>
        </w:rPr>
        <w:tab/>
      </w:r>
      <w:r w:rsidRPr="00B02A9F">
        <w:rPr>
          <w:rFonts w:ascii="Arial" w:hAnsi="Arial" w:cs="Arial"/>
          <w:highlight w:val="cyan"/>
        </w:rPr>
        <w:tab/>
        <w:t xml:space="preserve">   175.</w:t>
      </w:r>
      <w:proofErr w:type="gramEnd"/>
      <w:r w:rsidRPr="00B02A9F">
        <w:rPr>
          <w:rFonts w:ascii="Arial" w:hAnsi="Arial" w:cs="Arial"/>
          <w:highlight w:val="cyan"/>
        </w:rPr>
        <w:t>700,-</w:t>
      </w:r>
      <w:r w:rsidR="006C3F8C" w:rsidRPr="00B02A9F">
        <w:rPr>
          <w:rFonts w:ascii="Arial" w:hAnsi="Arial" w:cs="Arial"/>
          <w:highlight w:val="cyan"/>
        </w:rPr>
        <w:tab/>
      </w:r>
      <w:r w:rsidR="006C3F8C" w:rsidRPr="00B02A9F">
        <w:rPr>
          <w:rFonts w:ascii="Arial" w:hAnsi="Arial" w:cs="Arial"/>
          <w:highlight w:val="cyan"/>
        </w:rPr>
        <w:tab/>
      </w:r>
      <w:r w:rsidR="00AE3787" w:rsidRPr="00B02A9F">
        <w:rPr>
          <w:rFonts w:ascii="Arial" w:hAnsi="Arial" w:cs="Arial"/>
          <w:highlight w:val="cyan"/>
        </w:rPr>
        <w:t xml:space="preserve"> + 70.000,-</w:t>
      </w:r>
      <w:r w:rsidR="00A678B3" w:rsidRPr="00B02A9F">
        <w:rPr>
          <w:rFonts w:ascii="Arial" w:hAnsi="Arial" w:cs="Arial"/>
          <w:highlight w:val="cyan"/>
        </w:rPr>
        <w:tab/>
      </w:r>
      <w:r w:rsidR="00A678B3" w:rsidRPr="00B02A9F">
        <w:rPr>
          <w:rFonts w:ascii="Arial" w:hAnsi="Arial" w:cs="Arial"/>
          <w:highlight w:val="cyan"/>
        </w:rPr>
        <w:tab/>
      </w:r>
      <w:r w:rsidR="00B02A9F" w:rsidRPr="00B02A9F">
        <w:rPr>
          <w:rFonts w:ascii="Arial" w:hAnsi="Arial" w:cs="Arial"/>
          <w:highlight w:val="cyan"/>
        </w:rPr>
        <w:t>245.700.-</w:t>
      </w:r>
    </w:p>
    <w:p w:rsidR="00645225" w:rsidRPr="007F3D31" w:rsidRDefault="00645225" w:rsidP="00645225">
      <w:pPr>
        <w:rPr>
          <w:rFonts w:ascii="Arial" w:hAnsi="Arial" w:cs="Arial"/>
        </w:rPr>
      </w:pPr>
      <w:r w:rsidRPr="00B02A9F">
        <w:rPr>
          <w:rFonts w:ascii="Arial" w:hAnsi="Arial" w:cs="Arial"/>
          <w:highlight w:val="cyan"/>
        </w:rPr>
        <w:t xml:space="preserve">Tetőszerkezet felmérési </w:t>
      </w:r>
      <w:proofErr w:type="gramStart"/>
      <w:r w:rsidRPr="00B02A9F">
        <w:rPr>
          <w:rFonts w:ascii="Arial" w:hAnsi="Arial" w:cs="Arial"/>
          <w:highlight w:val="cyan"/>
        </w:rPr>
        <w:t xml:space="preserve">terv  </w:t>
      </w:r>
      <w:r w:rsidRPr="00B02A9F">
        <w:rPr>
          <w:rFonts w:ascii="Arial" w:hAnsi="Arial" w:cs="Arial"/>
          <w:highlight w:val="cyan"/>
        </w:rPr>
        <w:tab/>
      </w:r>
      <w:r w:rsidRPr="00B02A9F">
        <w:rPr>
          <w:rFonts w:ascii="Arial" w:hAnsi="Arial" w:cs="Arial"/>
          <w:highlight w:val="cyan"/>
        </w:rPr>
        <w:tab/>
      </w:r>
      <w:r w:rsidRPr="00B02A9F">
        <w:rPr>
          <w:rFonts w:ascii="Arial" w:hAnsi="Arial" w:cs="Arial"/>
          <w:highlight w:val="cyan"/>
        </w:rPr>
        <w:tab/>
        <w:t xml:space="preserve">     50.</w:t>
      </w:r>
      <w:proofErr w:type="gramEnd"/>
      <w:r w:rsidRPr="00B02A9F">
        <w:rPr>
          <w:rFonts w:ascii="Arial" w:hAnsi="Arial" w:cs="Arial"/>
          <w:highlight w:val="cyan"/>
        </w:rPr>
        <w:t>200,-</w:t>
      </w:r>
      <w:r w:rsidR="00B02A9F" w:rsidRPr="00B02A9F">
        <w:rPr>
          <w:rFonts w:ascii="Arial" w:hAnsi="Arial" w:cs="Arial"/>
          <w:highlight w:val="cyan"/>
        </w:rPr>
        <w:tab/>
      </w:r>
      <w:r w:rsidR="00B02A9F" w:rsidRPr="00B02A9F">
        <w:rPr>
          <w:rFonts w:ascii="Arial" w:hAnsi="Arial" w:cs="Arial"/>
          <w:highlight w:val="cyan"/>
        </w:rPr>
        <w:tab/>
      </w:r>
      <w:r w:rsidR="00B02A9F" w:rsidRPr="00B02A9F">
        <w:rPr>
          <w:rFonts w:ascii="Arial" w:hAnsi="Arial" w:cs="Arial"/>
          <w:highlight w:val="cyan"/>
        </w:rPr>
        <w:tab/>
      </w:r>
      <w:r w:rsidR="00B02A9F" w:rsidRPr="00B02A9F">
        <w:rPr>
          <w:rFonts w:ascii="Arial" w:hAnsi="Arial" w:cs="Arial"/>
          <w:highlight w:val="cyan"/>
        </w:rPr>
        <w:tab/>
      </w:r>
      <w:r w:rsidR="00B02A9F" w:rsidRPr="00B02A9F">
        <w:rPr>
          <w:rFonts w:ascii="Arial" w:hAnsi="Arial" w:cs="Arial"/>
          <w:highlight w:val="cyan"/>
        </w:rPr>
        <w:tab/>
        <w:t xml:space="preserve"> 50.200.-</w:t>
      </w:r>
    </w:p>
    <w:p w:rsidR="00645225" w:rsidRPr="007F3D31" w:rsidRDefault="00645225" w:rsidP="00645225">
      <w:pPr>
        <w:rPr>
          <w:rFonts w:ascii="Arial" w:hAnsi="Arial" w:cs="Arial"/>
          <w:u w:val="single"/>
        </w:rPr>
      </w:pPr>
      <w:r w:rsidRPr="007F3D31">
        <w:rPr>
          <w:rFonts w:ascii="Arial" w:hAnsi="Arial" w:cs="Arial"/>
          <w:u w:val="single"/>
        </w:rPr>
        <w:lastRenderedPageBreak/>
        <w:t xml:space="preserve">Faldiagnosztika </w:t>
      </w:r>
      <w:proofErr w:type="gramStart"/>
      <w:r w:rsidRPr="007F3D31">
        <w:rPr>
          <w:rFonts w:ascii="Arial" w:hAnsi="Arial" w:cs="Arial"/>
          <w:u w:val="single"/>
        </w:rPr>
        <w:t>szakvélemény</w:t>
      </w:r>
      <w:r w:rsidRPr="007F3D31">
        <w:rPr>
          <w:rFonts w:ascii="Arial" w:hAnsi="Arial" w:cs="Arial"/>
          <w:u w:val="single"/>
        </w:rPr>
        <w:tab/>
      </w:r>
      <w:r w:rsidRPr="007F3D31">
        <w:rPr>
          <w:rFonts w:ascii="Arial" w:hAnsi="Arial" w:cs="Arial"/>
          <w:u w:val="single"/>
        </w:rPr>
        <w:tab/>
      </w:r>
      <w:r w:rsidRPr="007F3D31">
        <w:rPr>
          <w:rFonts w:ascii="Arial" w:hAnsi="Arial" w:cs="Arial"/>
          <w:u w:val="single"/>
        </w:rPr>
        <w:tab/>
        <w:t xml:space="preserve">   350.</w:t>
      </w:r>
      <w:proofErr w:type="gramEnd"/>
      <w:r w:rsidRPr="007F3D31">
        <w:rPr>
          <w:rFonts w:ascii="Arial" w:hAnsi="Arial" w:cs="Arial"/>
          <w:u w:val="single"/>
        </w:rPr>
        <w:t>000,-</w:t>
      </w:r>
      <w:r w:rsidR="00B02A9F">
        <w:rPr>
          <w:rFonts w:ascii="Arial" w:hAnsi="Arial" w:cs="Arial"/>
          <w:u w:val="single"/>
        </w:rPr>
        <w:tab/>
      </w:r>
      <w:r w:rsidR="00B02A9F">
        <w:rPr>
          <w:rFonts w:ascii="Arial" w:hAnsi="Arial" w:cs="Arial"/>
          <w:u w:val="single"/>
        </w:rPr>
        <w:tab/>
      </w:r>
      <w:r w:rsidR="00B02A9F">
        <w:rPr>
          <w:rFonts w:ascii="Arial" w:hAnsi="Arial" w:cs="Arial"/>
          <w:u w:val="single"/>
        </w:rPr>
        <w:tab/>
      </w:r>
      <w:r w:rsidR="00B02A9F">
        <w:rPr>
          <w:rFonts w:ascii="Arial" w:hAnsi="Arial" w:cs="Arial"/>
          <w:u w:val="single"/>
        </w:rPr>
        <w:tab/>
      </w:r>
      <w:r w:rsidR="00B02A9F">
        <w:rPr>
          <w:rFonts w:ascii="Arial" w:hAnsi="Arial" w:cs="Arial"/>
          <w:u w:val="single"/>
        </w:rPr>
        <w:tab/>
        <w:t>350.000.-</w:t>
      </w:r>
    </w:p>
    <w:p w:rsidR="006C3F8C" w:rsidRDefault="00645225" w:rsidP="00A678B3">
      <w:pPr>
        <w:ind w:left="2832" w:firstLine="708"/>
        <w:rPr>
          <w:rFonts w:ascii="Arial" w:hAnsi="Arial" w:cs="Arial"/>
        </w:rPr>
      </w:pPr>
      <w:r w:rsidRPr="007F3D31">
        <w:rPr>
          <w:rFonts w:ascii="Arial" w:hAnsi="Arial" w:cs="Arial"/>
        </w:rPr>
        <w:t>Összesen</w:t>
      </w:r>
      <w:proofErr w:type="gramStart"/>
      <w:r w:rsidRPr="007F3D31">
        <w:rPr>
          <w:rFonts w:ascii="Arial" w:hAnsi="Arial" w:cs="Arial"/>
        </w:rPr>
        <w:t xml:space="preserve">:      </w:t>
      </w:r>
      <w:r w:rsidR="00EA39EC">
        <w:rPr>
          <w:rFonts w:ascii="Arial" w:hAnsi="Arial" w:cs="Arial"/>
        </w:rPr>
        <w:t>811</w:t>
      </w:r>
      <w:r w:rsidRPr="007F3D31">
        <w:rPr>
          <w:rFonts w:ascii="Arial" w:hAnsi="Arial" w:cs="Arial"/>
        </w:rPr>
        <w:t>.</w:t>
      </w:r>
      <w:proofErr w:type="gramEnd"/>
      <w:r w:rsidRPr="007F3D31">
        <w:rPr>
          <w:rFonts w:ascii="Arial" w:hAnsi="Arial" w:cs="Arial"/>
        </w:rPr>
        <w:t>150,-</w:t>
      </w:r>
      <w:r w:rsidR="00EA39EC">
        <w:rPr>
          <w:rFonts w:ascii="Arial" w:hAnsi="Arial" w:cs="Arial"/>
        </w:rPr>
        <w:t xml:space="preserve"> </w:t>
      </w:r>
      <w:r w:rsidR="006C3F8C">
        <w:rPr>
          <w:rFonts w:ascii="Arial" w:hAnsi="Arial" w:cs="Arial"/>
        </w:rPr>
        <w:tab/>
      </w:r>
      <w:r w:rsidR="006C3F8C">
        <w:rPr>
          <w:rFonts w:ascii="Arial" w:hAnsi="Arial" w:cs="Arial"/>
        </w:rPr>
        <w:tab/>
      </w:r>
      <w:r w:rsidR="00EA39EC">
        <w:rPr>
          <w:rFonts w:ascii="Arial" w:hAnsi="Arial" w:cs="Arial"/>
        </w:rPr>
        <w:t>+ 485.000,-</w:t>
      </w:r>
      <w:r w:rsidR="00B02A9F">
        <w:rPr>
          <w:rFonts w:ascii="Arial" w:hAnsi="Arial" w:cs="Arial"/>
        </w:rPr>
        <w:tab/>
      </w:r>
      <w:r w:rsidR="00B02A9F">
        <w:rPr>
          <w:rFonts w:ascii="Arial" w:hAnsi="Arial" w:cs="Arial"/>
        </w:rPr>
        <w:tab/>
        <w:t>1.296.150.-</w:t>
      </w:r>
    </w:p>
    <w:p w:rsidR="00645225" w:rsidRPr="007F3D31" w:rsidRDefault="00C668C9" w:rsidP="00645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45225" w:rsidRPr="007F3D31">
        <w:rPr>
          <w:rFonts w:ascii="Arial" w:hAnsi="Arial" w:cs="Arial"/>
        </w:rPr>
        <w:t>tervdokumentáció</w:t>
      </w:r>
      <w:r>
        <w:rPr>
          <w:rFonts w:ascii="Arial" w:hAnsi="Arial" w:cs="Arial"/>
        </w:rPr>
        <w:t xml:space="preserve">k kiegészítését </w:t>
      </w:r>
      <w:r w:rsidR="006C3F8C">
        <w:rPr>
          <w:rFonts w:ascii="Arial" w:hAnsi="Arial" w:cs="Arial"/>
        </w:rPr>
        <w:t xml:space="preserve">javasoljuk </w:t>
      </w:r>
      <w:proofErr w:type="spellStart"/>
      <w:r w:rsidR="006C3F8C">
        <w:rPr>
          <w:rFonts w:ascii="Arial" w:hAnsi="Arial" w:cs="Arial"/>
        </w:rPr>
        <w:t>elkészítetni</w:t>
      </w:r>
      <w:proofErr w:type="spellEnd"/>
      <w:r w:rsidR="006C3F8C">
        <w:rPr>
          <w:rFonts w:ascii="Arial" w:hAnsi="Arial" w:cs="Arial"/>
        </w:rPr>
        <w:t>, amely szerint a tervek bekerülési költsége</w:t>
      </w:r>
      <w:r w:rsidR="00645225" w:rsidRPr="007F3D31">
        <w:rPr>
          <w:rFonts w:ascii="Arial" w:hAnsi="Arial" w:cs="Arial"/>
        </w:rPr>
        <w:t xml:space="preserve"> </w:t>
      </w:r>
      <w:r w:rsidR="006C3F8C">
        <w:rPr>
          <w:rFonts w:ascii="Arial" w:hAnsi="Arial" w:cs="Arial"/>
        </w:rPr>
        <w:t>1.296.150 Ft-ra módosulna.</w:t>
      </w:r>
    </w:p>
    <w:p w:rsidR="00645225" w:rsidRDefault="00645225" w:rsidP="00645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2020. évi költségvetésében a felújítási kiadások előirányzatában szereplő Számvevőségi épület felújítása soron lévő 8.000.000,-Ft összegű keret szolgál forrásként az összesen bruttó </w:t>
      </w:r>
      <w:r w:rsidR="00C668C9" w:rsidRPr="00C668C9">
        <w:rPr>
          <w:rFonts w:ascii="Arial" w:hAnsi="Arial" w:cs="Arial"/>
        </w:rPr>
        <w:t>1.296.150</w:t>
      </w:r>
      <w:r>
        <w:rPr>
          <w:rFonts w:ascii="Arial" w:hAnsi="Arial" w:cs="Arial"/>
        </w:rPr>
        <w:t>,-Ft összegű díjak kifizetésére.</w:t>
      </w:r>
    </w:p>
    <w:p w:rsidR="006C3F8C" w:rsidRDefault="006C3F8C" w:rsidP="00645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előterjesztés támogatása esetén a 47</w:t>
      </w:r>
      <w:r w:rsidR="00A678B3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és 49</w:t>
      </w:r>
      <w:r w:rsidR="00A678B3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számú önkormányzati határozatok módosítása szűkséges. </w:t>
      </w:r>
    </w:p>
    <w:p w:rsidR="00645225" w:rsidRPr="00B02A9F" w:rsidRDefault="00645225" w:rsidP="00B02A9F">
      <w:pPr>
        <w:jc w:val="both"/>
        <w:rPr>
          <w:rFonts w:ascii="Arial" w:hAnsi="Arial" w:cs="Arial"/>
        </w:rPr>
      </w:pPr>
      <w:r w:rsidRPr="007F3D31">
        <w:rPr>
          <w:rFonts w:ascii="Arial" w:hAnsi="Arial" w:cs="Arial"/>
        </w:rPr>
        <w:t>Javasoljuk az alábbi határozati javaslatok elfogadását.</w:t>
      </w:r>
    </w:p>
    <w:p w:rsidR="00A678B3" w:rsidRPr="00A678B3" w:rsidRDefault="00A678B3" w:rsidP="00645225">
      <w:pPr>
        <w:ind w:left="3261" w:hanging="429"/>
        <w:jc w:val="both"/>
        <w:rPr>
          <w:rFonts w:ascii="Arial" w:hAnsi="Arial" w:cs="Arial"/>
          <w:b/>
          <w:iCs/>
          <w:u w:val="single"/>
        </w:rPr>
      </w:pPr>
      <w:r w:rsidRPr="00A678B3">
        <w:rPr>
          <w:rFonts w:ascii="Arial" w:hAnsi="Arial" w:cs="Arial"/>
          <w:b/>
          <w:iCs/>
          <w:u w:val="single"/>
        </w:rPr>
        <w:t>1</w:t>
      </w:r>
      <w:proofErr w:type="gramStart"/>
      <w:r w:rsidRPr="00A678B3">
        <w:rPr>
          <w:rFonts w:ascii="Arial" w:hAnsi="Arial" w:cs="Arial"/>
          <w:b/>
          <w:iCs/>
          <w:u w:val="single"/>
        </w:rPr>
        <w:t>.sz.</w:t>
      </w:r>
      <w:proofErr w:type="gramEnd"/>
      <w:r w:rsidRPr="00A678B3">
        <w:rPr>
          <w:rFonts w:ascii="Arial" w:hAnsi="Arial" w:cs="Arial"/>
          <w:b/>
          <w:iCs/>
          <w:u w:val="single"/>
        </w:rPr>
        <w:t xml:space="preserve"> határozati javaslat</w:t>
      </w:r>
    </w:p>
    <w:p w:rsidR="006C3F8C" w:rsidRPr="00A678B3" w:rsidRDefault="006C3F8C" w:rsidP="006C3F8C">
      <w:pPr>
        <w:suppressAutoHyphens/>
        <w:spacing w:after="0" w:line="252" w:lineRule="auto"/>
        <w:ind w:left="2835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6C3F8C" w:rsidRPr="00A678B3" w:rsidRDefault="006C3F8C" w:rsidP="006C3F8C">
      <w:pPr>
        <w:suppressAutoHyphens/>
        <w:overflowPunct w:val="0"/>
        <w:autoSpaceDE w:val="0"/>
        <w:spacing w:after="0" w:line="240" w:lineRule="auto"/>
        <w:ind w:left="2835" w:right="72" w:hanging="3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A678B3">
        <w:rPr>
          <w:rFonts w:ascii="Arial" w:eastAsia="Times New Roman" w:hAnsi="Arial" w:cs="Arial"/>
          <w:b/>
          <w:u w:val="single"/>
          <w:lang w:eastAsia="ar-SA"/>
        </w:rPr>
        <w:t>Számvevőségi épület felújítása faanyagvédelmi szakvélemény és tetőszerkezet felmérési dokumentáció készítésére vállalkozó kiválasztásáról</w:t>
      </w:r>
      <w:r w:rsidRPr="00A678B3">
        <w:rPr>
          <w:rFonts w:ascii="Arial" w:eastAsia="Times New Roman" w:hAnsi="Arial" w:cs="Arial"/>
          <w:b/>
          <w:u w:val="single"/>
          <w:lang w:eastAsia="ar-SA"/>
        </w:rPr>
        <w:t xml:space="preserve"> szóló 47/2020.(II.26.) önk. határozat módosítása</w:t>
      </w:r>
    </w:p>
    <w:p w:rsidR="006C3F8C" w:rsidRPr="00A678B3" w:rsidRDefault="006C3F8C" w:rsidP="006C3F8C">
      <w:pPr>
        <w:suppressAutoHyphens/>
        <w:overflowPunct w:val="0"/>
        <w:autoSpaceDE w:val="0"/>
        <w:spacing w:after="0" w:line="240" w:lineRule="auto"/>
        <w:ind w:left="2835" w:right="72" w:hanging="3"/>
        <w:rPr>
          <w:rFonts w:ascii="Arial" w:eastAsia="Times New Roman" w:hAnsi="Arial" w:cs="Arial"/>
          <w:lang w:eastAsia="ar-SA"/>
        </w:rPr>
      </w:pPr>
    </w:p>
    <w:p w:rsidR="006C3F8C" w:rsidRPr="00A678B3" w:rsidRDefault="006C3F8C" w:rsidP="00A678B3">
      <w:pPr>
        <w:spacing w:after="0" w:line="240" w:lineRule="auto"/>
        <w:ind w:left="2835" w:right="72" w:hanging="3"/>
        <w:jc w:val="both"/>
        <w:rPr>
          <w:rFonts w:ascii="Arial" w:hAnsi="Arial" w:cs="Arial"/>
        </w:rPr>
      </w:pPr>
      <w:r w:rsidRPr="00A678B3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Pr="00A678B3">
        <w:rPr>
          <w:rFonts w:ascii="Arial" w:hAnsi="Arial" w:cs="Arial"/>
        </w:rPr>
        <w:t xml:space="preserve"> a 47/2020.(II.26.) önk. határozat</w:t>
      </w:r>
      <w:r w:rsidR="00A678B3" w:rsidRPr="00A678B3">
        <w:rPr>
          <w:rFonts w:ascii="Arial" w:hAnsi="Arial" w:cs="Arial"/>
        </w:rPr>
        <w:t xml:space="preserve"> b.) pontját az alábbiak szerint módosítja:</w:t>
      </w:r>
    </w:p>
    <w:p w:rsidR="006C3F8C" w:rsidRPr="00A678B3" w:rsidRDefault="006C3F8C" w:rsidP="00A678B3">
      <w:pPr>
        <w:suppressAutoHyphens/>
        <w:overflowPunct w:val="0"/>
        <w:autoSpaceDE w:val="0"/>
        <w:spacing w:after="0" w:line="240" w:lineRule="auto"/>
        <w:ind w:left="3261" w:right="72" w:hanging="429"/>
        <w:jc w:val="both"/>
        <w:rPr>
          <w:rFonts w:ascii="Arial" w:eastAsia="Times New Roman" w:hAnsi="Arial" w:cs="Arial"/>
          <w:lang w:eastAsia="ar-SA"/>
        </w:rPr>
      </w:pPr>
    </w:p>
    <w:p w:rsidR="006C3F8C" w:rsidRPr="00A678B3" w:rsidRDefault="006C3F8C" w:rsidP="00A678B3">
      <w:pPr>
        <w:pStyle w:val="Listaszerbekezds"/>
        <w:numPr>
          <w:ilvl w:val="0"/>
          <w:numId w:val="12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eastAsia="Times New Roman" w:hAnsi="Arial" w:cs="Arial"/>
          <w:sz w:val="22"/>
          <w:szCs w:val="22"/>
          <w:lang w:eastAsia="ar-SA"/>
        </w:rPr>
      </w:pPr>
      <w:r w:rsidRPr="00A678B3">
        <w:rPr>
          <w:rFonts w:ascii="Arial" w:eastAsia="Times New Roman" w:hAnsi="Arial" w:cs="Arial"/>
          <w:sz w:val="22"/>
          <w:szCs w:val="22"/>
          <w:lang w:eastAsia="ar-SA"/>
        </w:rPr>
        <w:t>a feladat</w:t>
      </w:r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proofErr w:type="spellStart"/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>ellátásához</w:t>
      </w:r>
      <w:proofErr w:type="spellEnd"/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proofErr w:type="spellStart"/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>szükséges</w:t>
      </w:r>
      <w:proofErr w:type="spellEnd"/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proofErr w:type="spellStart"/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>bruttó</w:t>
      </w:r>
      <w:proofErr w:type="spellEnd"/>
      <w:r w:rsidR="00A678B3" w:rsidRPr="00A678B3">
        <w:rPr>
          <w:rFonts w:ascii="Arial" w:eastAsia="Times New Roman" w:hAnsi="Arial" w:cs="Arial"/>
          <w:sz w:val="22"/>
          <w:szCs w:val="22"/>
          <w:lang w:eastAsia="ar-SA"/>
        </w:rPr>
        <w:t xml:space="preserve"> 29</w:t>
      </w:r>
      <w:r w:rsidRPr="00A678B3">
        <w:rPr>
          <w:rFonts w:ascii="Arial" w:eastAsia="Times New Roman" w:hAnsi="Arial" w:cs="Arial"/>
          <w:sz w:val="22"/>
          <w:szCs w:val="22"/>
          <w:lang w:eastAsia="ar-SA"/>
        </w:rPr>
        <w:t>5.</w:t>
      </w:r>
      <w:proofErr w:type="gramStart"/>
      <w:r w:rsidRPr="00A678B3">
        <w:rPr>
          <w:rFonts w:ascii="Arial" w:eastAsia="Times New Roman" w:hAnsi="Arial" w:cs="Arial"/>
          <w:sz w:val="22"/>
          <w:szCs w:val="22"/>
          <w:lang w:eastAsia="ar-SA"/>
        </w:rPr>
        <w:t>900,-</w:t>
      </w:r>
      <w:proofErr w:type="gramEnd"/>
      <w:r w:rsidRPr="00A678B3">
        <w:rPr>
          <w:rFonts w:ascii="Arial" w:eastAsia="Times New Roman" w:hAnsi="Arial" w:cs="Arial"/>
          <w:sz w:val="22"/>
          <w:szCs w:val="22"/>
          <w:lang w:eastAsia="ar-SA"/>
        </w:rPr>
        <w:t xml:space="preserve"> Ft </w:t>
      </w:r>
      <w:proofErr w:type="spellStart"/>
      <w:r w:rsidRPr="00A678B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díj</w:t>
      </w:r>
      <w:proofErr w:type="spellEnd"/>
      <w:r w:rsidRPr="00A678B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proofErr w:type="spellStart"/>
      <w:r w:rsidRPr="00A678B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kifizetését</w:t>
      </w:r>
      <w:proofErr w:type="spellEnd"/>
      <w:r w:rsidRPr="00A678B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 xml:space="preserve"> </w:t>
      </w:r>
      <w:r w:rsidRPr="00A678B3">
        <w:rPr>
          <w:rFonts w:ascii="Arial" w:eastAsia="Times New Roman" w:hAnsi="Arial" w:cs="Arial"/>
          <w:sz w:val="22"/>
          <w:szCs w:val="22"/>
          <w:lang w:eastAsia="ar-SA"/>
        </w:rPr>
        <w:t xml:space="preserve">az önkormányzat 2020. évi </w:t>
      </w:r>
      <w:r w:rsidRPr="00A678B3">
        <w:rPr>
          <w:rFonts w:ascii="Arial" w:eastAsia="Times New Roman" w:hAnsi="Arial" w:cs="Arial"/>
          <w:color w:val="000000"/>
          <w:sz w:val="22"/>
          <w:szCs w:val="22"/>
          <w:lang w:eastAsia="ar-SA"/>
        </w:rPr>
        <w:t>költségvetésének felújítási kiadások előirányzata terhére biztosítja,</w:t>
      </w:r>
    </w:p>
    <w:p w:rsidR="006C3F8C" w:rsidRPr="00A678B3" w:rsidRDefault="006C3F8C" w:rsidP="006C3F8C">
      <w:pPr>
        <w:suppressAutoHyphens/>
        <w:overflowPunct w:val="0"/>
        <w:autoSpaceDE w:val="0"/>
        <w:spacing w:after="0" w:line="240" w:lineRule="auto"/>
        <w:ind w:left="3261" w:right="72" w:hanging="429"/>
        <w:jc w:val="both"/>
        <w:rPr>
          <w:rFonts w:ascii="Arial" w:eastAsia="Times New Roman" w:hAnsi="Arial" w:cs="Arial"/>
          <w:lang w:eastAsia="ar-SA"/>
        </w:rPr>
      </w:pPr>
    </w:p>
    <w:p w:rsidR="006C3F8C" w:rsidRPr="00A678B3" w:rsidRDefault="006C3F8C" w:rsidP="006C3F8C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i/>
          <w:iCs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>H</w:t>
      </w:r>
      <w:r w:rsidR="00A678B3" w:rsidRPr="00A678B3">
        <w:rPr>
          <w:rFonts w:ascii="Arial" w:eastAsia="Times New Roman" w:hAnsi="Arial" w:cs="Arial"/>
          <w:i/>
          <w:iCs/>
          <w:lang w:eastAsia="ar-SA"/>
        </w:rPr>
        <w:t>atáridő: 2020. április 15</w:t>
      </w:r>
      <w:r w:rsidRPr="00A678B3">
        <w:rPr>
          <w:rFonts w:ascii="Arial" w:eastAsia="Times New Roman" w:hAnsi="Arial" w:cs="Arial"/>
          <w:i/>
          <w:iCs/>
          <w:lang w:eastAsia="ar-SA"/>
        </w:rPr>
        <w:t>.</w:t>
      </w:r>
    </w:p>
    <w:p w:rsidR="006C3F8C" w:rsidRPr="00A678B3" w:rsidRDefault="006C3F8C" w:rsidP="006C3F8C">
      <w:pPr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>Felelős</w:t>
      </w:r>
      <w:proofErr w:type="gramStart"/>
      <w:r w:rsidRPr="00A678B3">
        <w:rPr>
          <w:rFonts w:ascii="Arial" w:eastAsia="Times New Roman" w:hAnsi="Arial" w:cs="Arial"/>
          <w:lang w:eastAsia="ar-SA"/>
        </w:rPr>
        <w:t>:   dr.</w:t>
      </w:r>
      <w:proofErr w:type="gramEnd"/>
      <w:r w:rsidRPr="00A678B3">
        <w:rPr>
          <w:rFonts w:ascii="Arial" w:eastAsia="Times New Roman" w:hAnsi="Arial" w:cs="Arial"/>
          <w:lang w:eastAsia="ar-SA"/>
        </w:rPr>
        <w:t xml:space="preserve"> Bozsolik Róbert polgármester </w:t>
      </w:r>
    </w:p>
    <w:p w:rsidR="006C3F8C" w:rsidRPr="00A678B3" w:rsidRDefault="006C3F8C" w:rsidP="006C3F8C">
      <w:pPr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lang w:eastAsia="ar-SA"/>
        </w:rPr>
        <w:t xml:space="preserve">                (szerződés aláírásáért)</w:t>
      </w:r>
    </w:p>
    <w:p w:rsidR="006C3F8C" w:rsidRPr="00A678B3" w:rsidRDefault="006C3F8C" w:rsidP="006C3F8C">
      <w:pPr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lang w:eastAsia="ar-SA"/>
        </w:rPr>
      </w:pPr>
    </w:p>
    <w:p w:rsidR="006C3F8C" w:rsidRPr="00A678B3" w:rsidRDefault="006C3F8C" w:rsidP="006C3F8C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>Határozatról értesül</w:t>
      </w:r>
      <w:proofErr w:type="gramStart"/>
      <w:r w:rsidRPr="00A678B3">
        <w:rPr>
          <w:rFonts w:ascii="Arial" w:eastAsia="Times New Roman" w:hAnsi="Arial" w:cs="Arial"/>
          <w:lang w:eastAsia="ar-SA"/>
        </w:rPr>
        <w:t xml:space="preserve">:  </w:t>
      </w:r>
      <w:r w:rsidRPr="00A678B3">
        <w:rPr>
          <w:rFonts w:ascii="Arial" w:eastAsia="Times New Roman" w:hAnsi="Arial" w:cs="Arial"/>
          <w:color w:val="000000"/>
          <w:lang w:eastAsia="ar-SA"/>
        </w:rPr>
        <w:t>dr.</w:t>
      </w:r>
      <w:proofErr w:type="gramEnd"/>
      <w:r w:rsidRPr="00A678B3">
        <w:rPr>
          <w:rFonts w:ascii="Arial" w:eastAsia="Times New Roman" w:hAnsi="Arial" w:cs="Arial"/>
          <w:color w:val="000000"/>
          <w:lang w:eastAsia="ar-SA"/>
        </w:rPr>
        <w:t xml:space="preserve"> Bakó Tibor</w:t>
      </w:r>
    </w:p>
    <w:p w:rsidR="006C3F8C" w:rsidRPr="00A678B3" w:rsidRDefault="006C3F8C" w:rsidP="006C3F8C">
      <w:pPr>
        <w:tabs>
          <w:tab w:val="left" w:pos="5103"/>
        </w:tabs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iCs/>
          <w:lang w:eastAsia="ar-SA"/>
        </w:rPr>
        <w:t xml:space="preserve">                                    Bátaszéki KÖH </w:t>
      </w:r>
      <w:proofErr w:type="spellStart"/>
      <w:r w:rsidRPr="00A678B3">
        <w:rPr>
          <w:rFonts w:ascii="Arial" w:eastAsia="Times New Roman" w:hAnsi="Arial" w:cs="Arial"/>
          <w:iCs/>
          <w:lang w:eastAsia="ar-SA"/>
        </w:rPr>
        <w:t>városüz</w:t>
      </w:r>
      <w:proofErr w:type="spellEnd"/>
      <w:r w:rsidRPr="00A678B3">
        <w:rPr>
          <w:rFonts w:ascii="Arial" w:eastAsia="Times New Roman" w:hAnsi="Arial" w:cs="Arial"/>
          <w:lang w:eastAsia="ar-SA"/>
        </w:rPr>
        <w:t>. iroda</w:t>
      </w:r>
    </w:p>
    <w:p w:rsidR="006C3F8C" w:rsidRPr="00A678B3" w:rsidRDefault="006C3F8C" w:rsidP="006C3F8C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3261" w:hanging="429"/>
        <w:jc w:val="both"/>
        <w:rPr>
          <w:rFonts w:ascii="Arial" w:eastAsia="Times New Roman" w:hAnsi="Arial" w:cs="Arial"/>
          <w:iCs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 xml:space="preserve">                                    </w:t>
      </w:r>
      <w:r w:rsidRPr="00A678B3">
        <w:rPr>
          <w:rFonts w:ascii="Arial" w:eastAsia="Times New Roman" w:hAnsi="Arial" w:cs="Arial"/>
          <w:iCs/>
          <w:lang w:eastAsia="ar-SA"/>
        </w:rPr>
        <w:t>Bátaszéki KÖH pénzügyi iroda</w:t>
      </w:r>
    </w:p>
    <w:p w:rsidR="00645225" w:rsidRPr="00A678B3" w:rsidRDefault="00645225" w:rsidP="00645225">
      <w:pPr>
        <w:ind w:left="3261" w:hanging="429"/>
        <w:jc w:val="both"/>
        <w:rPr>
          <w:rFonts w:ascii="Arial" w:hAnsi="Arial" w:cs="Arial"/>
          <w:b/>
          <w:i/>
          <w:iCs/>
          <w:u w:val="single"/>
        </w:rPr>
      </w:pPr>
    </w:p>
    <w:p w:rsidR="00A678B3" w:rsidRDefault="00A678B3" w:rsidP="00645225">
      <w:pPr>
        <w:ind w:left="3261" w:hanging="429"/>
        <w:jc w:val="both"/>
        <w:rPr>
          <w:rFonts w:ascii="Arial" w:hAnsi="Arial" w:cs="Arial"/>
          <w:b/>
          <w:i/>
          <w:iCs/>
          <w:u w:val="single"/>
        </w:rPr>
      </w:pPr>
    </w:p>
    <w:p w:rsidR="00A678B3" w:rsidRDefault="00A678B3" w:rsidP="00645225">
      <w:pPr>
        <w:ind w:left="3261" w:hanging="429"/>
        <w:jc w:val="both"/>
        <w:rPr>
          <w:rFonts w:ascii="Arial" w:hAnsi="Arial" w:cs="Arial"/>
          <w:b/>
          <w:i/>
          <w:iCs/>
          <w:u w:val="single"/>
        </w:rPr>
      </w:pPr>
    </w:p>
    <w:p w:rsidR="00B02A9F" w:rsidRDefault="00B02A9F" w:rsidP="00645225">
      <w:pPr>
        <w:ind w:left="3261" w:hanging="429"/>
        <w:jc w:val="both"/>
        <w:rPr>
          <w:rFonts w:ascii="Arial" w:hAnsi="Arial" w:cs="Arial"/>
          <w:b/>
          <w:i/>
          <w:iCs/>
          <w:u w:val="single"/>
        </w:rPr>
      </w:pPr>
    </w:p>
    <w:p w:rsidR="00B02A9F" w:rsidRPr="00A678B3" w:rsidRDefault="00B02A9F" w:rsidP="00645225">
      <w:pPr>
        <w:ind w:left="3261" w:hanging="429"/>
        <w:jc w:val="both"/>
        <w:rPr>
          <w:rFonts w:ascii="Arial" w:hAnsi="Arial" w:cs="Arial"/>
          <w:b/>
          <w:i/>
          <w:iCs/>
          <w:u w:val="single"/>
        </w:rPr>
      </w:pPr>
      <w:bookmarkStart w:id="0" w:name="_GoBack"/>
      <w:bookmarkEnd w:id="0"/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2832" w:right="72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A678B3">
        <w:rPr>
          <w:rFonts w:ascii="Arial" w:eastAsia="Times New Roman" w:hAnsi="Arial" w:cs="Arial"/>
          <w:b/>
          <w:u w:val="single"/>
          <w:lang w:eastAsia="ar-SA"/>
        </w:rPr>
        <w:t>2</w:t>
      </w:r>
      <w:proofErr w:type="gramStart"/>
      <w:r w:rsidRPr="00A678B3">
        <w:rPr>
          <w:rFonts w:ascii="Arial" w:eastAsia="Times New Roman" w:hAnsi="Arial" w:cs="Arial"/>
          <w:b/>
          <w:u w:val="single"/>
          <w:lang w:eastAsia="ar-SA"/>
        </w:rPr>
        <w:t>.sz.</w:t>
      </w:r>
      <w:proofErr w:type="gramEnd"/>
      <w:r w:rsidRPr="00A678B3">
        <w:rPr>
          <w:rFonts w:ascii="Arial" w:eastAsia="Times New Roman" w:hAnsi="Arial" w:cs="Arial"/>
          <w:b/>
          <w:u w:val="single"/>
          <w:lang w:eastAsia="ar-SA"/>
        </w:rPr>
        <w:t xml:space="preserve"> határozati javaslat:</w:t>
      </w: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2832" w:right="72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2832" w:right="72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A678B3">
        <w:rPr>
          <w:rFonts w:ascii="Arial" w:eastAsia="Times New Roman" w:hAnsi="Arial" w:cs="Arial"/>
          <w:b/>
          <w:u w:val="single"/>
          <w:lang w:eastAsia="ar-SA"/>
        </w:rPr>
        <w:t>Számvevőségi épület felújítása (I. ütem) engedélyezési tervdokumentáció készítéséről</w:t>
      </w:r>
      <w:r w:rsidRPr="00A678B3">
        <w:rPr>
          <w:rFonts w:ascii="Arial" w:eastAsia="Times New Roman" w:hAnsi="Arial" w:cs="Arial"/>
          <w:b/>
          <w:u w:val="single"/>
          <w:lang w:eastAsia="ar-SA"/>
        </w:rPr>
        <w:t xml:space="preserve"> szóló 49/2020.(II.26.) önk. határozat módosítása</w:t>
      </w: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2832" w:right="72"/>
        <w:jc w:val="both"/>
        <w:rPr>
          <w:rFonts w:ascii="Arial" w:eastAsia="Times New Roman" w:hAnsi="Arial" w:cs="Arial"/>
          <w:b/>
          <w:lang w:eastAsia="ar-SA"/>
        </w:rPr>
      </w:pPr>
    </w:p>
    <w:p w:rsidR="00A678B3" w:rsidRPr="00A678B3" w:rsidRDefault="00A678B3" w:rsidP="00A678B3">
      <w:pPr>
        <w:spacing w:after="0" w:line="240" w:lineRule="auto"/>
        <w:ind w:left="2835" w:right="72" w:hanging="3"/>
        <w:jc w:val="both"/>
        <w:rPr>
          <w:rFonts w:ascii="Arial" w:hAnsi="Arial" w:cs="Arial"/>
        </w:rPr>
      </w:pPr>
      <w:r w:rsidRPr="00A678B3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Pr="00A678B3">
        <w:rPr>
          <w:rFonts w:ascii="Arial" w:hAnsi="Arial" w:cs="Arial"/>
        </w:rPr>
        <w:t xml:space="preserve"> a 49</w:t>
      </w:r>
      <w:r w:rsidRPr="00A678B3">
        <w:rPr>
          <w:rFonts w:ascii="Arial" w:hAnsi="Arial" w:cs="Arial"/>
        </w:rPr>
        <w:t>/2020.(II.26.) önk. határozat b.) pontját az alábbiak szerint módosítja:</w:t>
      </w: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2832" w:right="72"/>
        <w:jc w:val="both"/>
        <w:rPr>
          <w:rFonts w:ascii="Arial" w:eastAsia="Times New Roman" w:hAnsi="Arial" w:cs="Arial"/>
          <w:lang w:eastAsia="ar-SA"/>
        </w:rPr>
      </w:pPr>
    </w:p>
    <w:p w:rsidR="00A678B3" w:rsidRPr="00A678B3" w:rsidRDefault="00A678B3" w:rsidP="00A678B3">
      <w:pPr>
        <w:pStyle w:val="Listaszerbekezds"/>
        <w:numPr>
          <w:ilvl w:val="0"/>
          <w:numId w:val="13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A678B3">
        <w:rPr>
          <w:rFonts w:ascii="Arial" w:hAnsi="Arial" w:cs="Arial"/>
          <w:sz w:val="22"/>
          <w:szCs w:val="22"/>
        </w:rPr>
        <w:t xml:space="preserve">a felújítási munkák elvégzéséhez szükséges engedélyezési </w:t>
      </w:r>
      <w:proofErr w:type="spellStart"/>
      <w:r w:rsidRPr="00A678B3">
        <w:rPr>
          <w:rFonts w:ascii="Arial" w:hAnsi="Arial" w:cs="Arial"/>
          <w:sz w:val="22"/>
          <w:szCs w:val="22"/>
        </w:rPr>
        <w:t>tervdok</w:t>
      </w:r>
      <w:r w:rsidRPr="00A678B3">
        <w:rPr>
          <w:rFonts w:ascii="Arial" w:hAnsi="Arial" w:cs="Arial"/>
          <w:sz w:val="22"/>
          <w:szCs w:val="22"/>
        </w:rPr>
        <w:t>umentáció</w:t>
      </w:r>
      <w:proofErr w:type="spellEnd"/>
      <w:r w:rsidRPr="00A6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8B3">
        <w:rPr>
          <w:rFonts w:ascii="Arial" w:hAnsi="Arial" w:cs="Arial"/>
          <w:sz w:val="22"/>
          <w:szCs w:val="22"/>
        </w:rPr>
        <w:t>készítésére</w:t>
      </w:r>
      <w:proofErr w:type="spellEnd"/>
      <w:r w:rsidRPr="00A6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8B3">
        <w:rPr>
          <w:rFonts w:ascii="Arial" w:hAnsi="Arial" w:cs="Arial"/>
          <w:sz w:val="22"/>
          <w:szCs w:val="22"/>
        </w:rPr>
        <w:t>bruttó</w:t>
      </w:r>
      <w:proofErr w:type="spellEnd"/>
      <w:r w:rsidRPr="00A678B3">
        <w:rPr>
          <w:rFonts w:ascii="Arial" w:hAnsi="Arial" w:cs="Arial"/>
          <w:sz w:val="22"/>
          <w:szCs w:val="22"/>
        </w:rPr>
        <w:t xml:space="preserve"> 650</w:t>
      </w:r>
      <w:r w:rsidRPr="00A678B3">
        <w:rPr>
          <w:rFonts w:ascii="Arial" w:hAnsi="Arial" w:cs="Arial"/>
          <w:sz w:val="22"/>
          <w:szCs w:val="22"/>
        </w:rPr>
        <w:t>.</w:t>
      </w:r>
      <w:proofErr w:type="gramStart"/>
      <w:r w:rsidRPr="00A678B3">
        <w:rPr>
          <w:rFonts w:ascii="Arial" w:hAnsi="Arial" w:cs="Arial"/>
          <w:sz w:val="22"/>
          <w:szCs w:val="22"/>
        </w:rPr>
        <w:t>250,-</w:t>
      </w:r>
      <w:proofErr w:type="gramEnd"/>
      <w:r w:rsidRPr="00A678B3">
        <w:rPr>
          <w:rFonts w:ascii="Arial" w:hAnsi="Arial" w:cs="Arial"/>
          <w:sz w:val="22"/>
          <w:szCs w:val="22"/>
        </w:rPr>
        <w:t xml:space="preserve"> Ft-</w:t>
      </w:r>
      <w:proofErr w:type="spellStart"/>
      <w:r w:rsidRPr="00A678B3">
        <w:rPr>
          <w:rFonts w:ascii="Arial" w:hAnsi="Arial" w:cs="Arial"/>
          <w:sz w:val="22"/>
          <w:szCs w:val="22"/>
        </w:rPr>
        <w:t>ot</w:t>
      </w:r>
      <w:proofErr w:type="spellEnd"/>
      <w:r w:rsidRPr="00A6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8B3">
        <w:rPr>
          <w:rFonts w:ascii="Arial" w:hAnsi="Arial" w:cs="Arial"/>
          <w:sz w:val="22"/>
          <w:szCs w:val="22"/>
        </w:rPr>
        <w:t>keretösszeget</w:t>
      </w:r>
      <w:proofErr w:type="spellEnd"/>
      <w:r w:rsidRPr="00A678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78B3">
        <w:rPr>
          <w:rFonts w:ascii="Arial" w:hAnsi="Arial" w:cs="Arial"/>
          <w:sz w:val="22"/>
          <w:szCs w:val="22"/>
        </w:rPr>
        <w:t>biztosít</w:t>
      </w:r>
      <w:proofErr w:type="spellEnd"/>
      <w:r w:rsidRPr="00A678B3">
        <w:rPr>
          <w:rFonts w:ascii="Arial" w:hAnsi="Arial" w:cs="Arial"/>
          <w:sz w:val="22"/>
          <w:szCs w:val="22"/>
        </w:rPr>
        <w:t xml:space="preserve"> az önkormányzat 2020. évi költségvetésének felújítási kiadások előirányzata terhére,</w:t>
      </w: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right="72"/>
        <w:jc w:val="both"/>
        <w:rPr>
          <w:rFonts w:ascii="Arial" w:eastAsia="Times New Roman" w:hAnsi="Arial" w:cs="Arial"/>
          <w:lang w:eastAsia="ar-SA"/>
        </w:rPr>
      </w:pPr>
    </w:p>
    <w:p w:rsidR="00A678B3" w:rsidRPr="00A678B3" w:rsidRDefault="00A678B3" w:rsidP="00A678B3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/>
          <w:iCs/>
          <w:lang w:eastAsia="ar-SA"/>
        </w:rPr>
        <w:t xml:space="preserve">Határidő: 2020. </w:t>
      </w:r>
      <w:proofErr w:type="gramStart"/>
      <w:r>
        <w:rPr>
          <w:rFonts w:ascii="Arial" w:eastAsia="Times New Roman" w:hAnsi="Arial" w:cs="Arial"/>
          <w:i/>
          <w:iCs/>
          <w:lang w:eastAsia="ar-SA"/>
        </w:rPr>
        <w:t>április  1</w:t>
      </w:r>
      <w:r w:rsidRPr="00A678B3">
        <w:rPr>
          <w:rFonts w:ascii="Arial" w:eastAsia="Times New Roman" w:hAnsi="Arial" w:cs="Arial"/>
          <w:i/>
          <w:iCs/>
          <w:lang w:eastAsia="ar-SA"/>
        </w:rPr>
        <w:t>5</w:t>
      </w:r>
      <w:proofErr w:type="gramEnd"/>
      <w:r w:rsidRPr="00A678B3">
        <w:rPr>
          <w:rFonts w:ascii="Arial" w:eastAsia="Times New Roman" w:hAnsi="Arial" w:cs="Arial"/>
          <w:i/>
          <w:iCs/>
          <w:lang w:eastAsia="ar-SA"/>
        </w:rPr>
        <w:t>.</w:t>
      </w: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>Felelős</w:t>
      </w:r>
      <w:proofErr w:type="gramStart"/>
      <w:r w:rsidRPr="00A678B3">
        <w:rPr>
          <w:rFonts w:ascii="Arial" w:eastAsia="Times New Roman" w:hAnsi="Arial" w:cs="Arial"/>
          <w:lang w:eastAsia="ar-SA"/>
        </w:rPr>
        <w:t>:   Dr.</w:t>
      </w:r>
      <w:proofErr w:type="gramEnd"/>
      <w:r w:rsidRPr="00A678B3">
        <w:rPr>
          <w:rFonts w:ascii="Arial" w:eastAsia="Times New Roman" w:hAnsi="Arial" w:cs="Arial"/>
          <w:lang w:eastAsia="ar-SA"/>
        </w:rPr>
        <w:t xml:space="preserve"> Bozsolik Róbert polgármester </w:t>
      </w:r>
    </w:p>
    <w:p w:rsidR="00A678B3" w:rsidRPr="00A678B3" w:rsidRDefault="00A678B3" w:rsidP="00A678B3">
      <w:pPr>
        <w:suppressAutoHyphens/>
        <w:overflowPunct w:val="0"/>
        <w:autoSpaceDE w:val="0"/>
        <w:spacing w:after="0" w:line="240" w:lineRule="auto"/>
        <w:ind w:left="3672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lang w:eastAsia="ar-SA"/>
        </w:rPr>
        <w:t xml:space="preserve">  (szerződés aláírásáért)</w:t>
      </w:r>
    </w:p>
    <w:p w:rsidR="00A678B3" w:rsidRPr="00A678B3" w:rsidRDefault="00A678B3" w:rsidP="00A678B3">
      <w:pPr>
        <w:tabs>
          <w:tab w:val="left" w:pos="3840"/>
        </w:tabs>
        <w:suppressAutoHyphens/>
        <w:overflowPunct w:val="0"/>
        <w:autoSpaceDE w:val="0"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:rsidR="00A678B3" w:rsidRPr="00A678B3" w:rsidRDefault="00A678B3" w:rsidP="00A678B3">
      <w:pPr>
        <w:tabs>
          <w:tab w:val="left" w:pos="5103"/>
        </w:tabs>
        <w:suppressAutoHyphens/>
        <w:overflowPunct w:val="0"/>
        <w:autoSpaceDE w:val="0"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>Határozatról értesül</w:t>
      </w:r>
      <w:r w:rsidRPr="00A678B3">
        <w:rPr>
          <w:rFonts w:ascii="Arial" w:eastAsia="Times New Roman" w:hAnsi="Arial" w:cs="Arial"/>
          <w:lang w:eastAsia="ar-SA"/>
        </w:rPr>
        <w:t xml:space="preserve">: </w:t>
      </w:r>
      <w:r w:rsidRPr="00A678B3">
        <w:rPr>
          <w:rFonts w:ascii="Arial" w:eastAsia="Times New Roman" w:hAnsi="Arial" w:cs="Arial"/>
          <w:iCs/>
          <w:lang w:eastAsia="ar-SA"/>
        </w:rPr>
        <w:t xml:space="preserve">Bátaszéki KÖH </w:t>
      </w:r>
      <w:proofErr w:type="spellStart"/>
      <w:r w:rsidRPr="00A678B3">
        <w:rPr>
          <w:rFonts w:ascii="Arial" w:eastAsia="Times New Roman" w:hAnsi="Arial" w:cs="Arial"/>
          <w:iCs/>
          <w:lang w:eastAsia="ar-SA"/>
        </w:rPr>
        <w:t>városüz</w:t>
      </w:r>
      <w:proofErr w:type="spellEnd"/>
      <w:r w:rsidRPr="00A678B3">
        <w:rPr>
          <w:rFonts w:ascii="Arial" w:eastAsia="Times New Roman" w:hAnsi="Arial" w:cs="Arial"/>
          <w:lang w:eastAsia="ar-SA"/>
        </w:rPr>
        <w:t>. iroda</w:t>
      </w:r>
    </w:p>
    <w:p w:rsidR="00A678B3" w:rsidRPr="00A678B3" w:rsidRDefault="00A678B3" w:rsidP="00A678B3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rPr>
          <w:rFonts w:ascii="Arial" w:eastAsia="Times New Roman" w:hAnsi="Arial" w:cs="Arial"/>
          <w:iCs/>
          <w:lang w:eastAsia="ar-SA"/>
        </w:rPr>
      </w:pPr>
      <w:r w:rsidRPr="00A678B3">
        <w:rPr>
          <w:rFonts w:ascii="Arial" w:eastAsia="Times New Roman" w:hAnsi="Arial" w:cs="Arial"/>
          <w:i/>
          <w:iCs/>
          <w:lang w:eastAsia="ar-SA"/>
        </w:rPr>
        <w:t xml:space="preserve">                                   </w:t>
      </w:r>
      <w:r w:rsidRPr="00A678B3">
        <w:rPr>
          <w:rFonts w:ascii="Arial" w:eastAsia="Times New Roman" w:hAnsi="Arial" w:cs="Arial"/>
          <w:iCs/>
          <w:lang w:eastAsia="ar-SA"/>
        </w:rPr>
        <w:t>Bátaszéki KÖH pénzügyi iroda</w:t>
      </w:r>
    </w:p>
    <w:p w:rsidR="00A678B3" w:rsidRPr="00A678B3" w:rsidRDefault="00A678B3" w:rsidP="00A678B3">
      <w:pPr>
        <w:tabs>
          <w:tab w:val="left" w:pos="4920"/>
        </w:tabs>
        <w:suppressAutoHyphens/>
        <w:overflowPunct w:val="0"/>
        <w:autoSpaceDE w:val="0"/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  <w:r w:rsidRPr="00A678B3">
        <w:rPr>
          <w:rFonts w:ascii="Arial" w:eastAsia="Times New Roman" w:hAnsi="Arial" w:cs="Arial"/>
          <w:iCs/>
          <w:lang w:eastAsia="ar-SA"/>
        </w:rPr>
        <w:t xml:space="preserve">                                   </w:t>
      </w:r>
      <w:proofErr w:type="gramStart"/>
      <w:r w:rsidRPr="00A678B3">
        <w:rPr>
          <w:rFonts w:ascii="Arial" w:eastAsia="Times New Roman" w:hAnsi="Arial" w:cs="Arial"/>
          <w:iCs/>
          <w:lang w:eastAsia="ar-SA"/>
        </w:rPr>
        <w:t>irattár</w:t>
      </w:r>
      <w:proofErr w:type="gramEnd"/>
    </w:p>
    <w:p w:rsidR="00A678B3" w:rsidRPr="003D0536" w:rsidRDefault="00A678B3" w:rsidP="00645225">
      <w:pPr>
        <w:ind w:left="3261" w:hanging="429"/>
        <w:jc w:val="both"/>
        <w:rPr>
          <w:rFonts w:ascii="Arial" w:hAnsi="Arial" w:cs="Arial"/>
          <w:b/>
          <w:i/>
          <w:iCs/>
          <w:u w:val="single"/>
        </w:rPr>
      </w:pPr>
    </w:p>
    <w:sectPr w:rsidR="00A678B3" w:rsidRPr="003D0536" w:rsidSect="00FD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BD"/>
    <w:rsid w:val="00013070"/>
    <w:rsid w:val="001017AB"/>
    <w:rsid w:val="00131D0B"/>
    <w:rsid w:val="001B5B5A"/>
    <w:rsid w:val="00221306"/>
    <w:rsid w:val="00242130"/>
    <w:rsid w:val="002E0676"/>
    <w:rsid w:val="003345FF"/>
    <w:rsid w:val="003A2CDE"/>
    <w:rsid w:val="0041655F"/>
    <w:rsid w:val="00431E95"/>
    <w:rsid w:val="005416B7"/>
    <w:rsid w:val="00574455"/>
    <w:rsid w:val="005851C6"/>
    <w:rsid w:val="00645225"/>
    <w:rsid w:val="0065235A"/>
    <w:rsid w:val="00684E5F"/>
    <w:rsid w:val="00691267"/>
    <w:rsid w:val="0069410F"/>
    <w:rsid w:val="006C3F8C"/>
    <w:rsid w:val="007B5368"/>
    <w:rsid w:val="007D7790"/>
    <w:rsid w:val="008543C2"/>
    <w:rsid w:val="0088317E"/>
    <w:rsid w:val="008E129F"/>
    <w:rsid w:val="00976BBC"/>
    <w:rsid w:val="00A1773F"/>
    <w:rsid w:val="00A678B3"/>
    <w:rsid w:val="00AC1A30"/>
    <w:rsid w:val="00AC3087"/>
    <w:rsid w:val="00AE3787"/>
    <w:rsid w:val="00B02A9F"/>
    <w:rsid w:val="00B41147"/>
    <w:rsid w:val="00BE1722"/>
    <w:rsid w:val="00C41507"/>
    <w:rsid w:val="00C668C9"/>
    <w:rsid w:val="00D1251C"/>
    <w:rsid w:val="00D218E7"/>
    <w:rsid w:val="00D41E33"/>
    <w:rsid w:val="00D42D64"/>
    <w:rsid w:val="00D72270"/>
    <w:rsid w:val="00DB2C3D"/>
    <w:rsid w:val="00E656E8"/>
    <w:rsid w:val="00E85773"/>
    <w:rsid w:val="00EA39EC"/>
    <w:rsid w:val="00EA6483"/>
    <w:rsid w:val="00F25E8C"/>
    <w:rsid w:val="00FB1369"/>
    <w:rsid w:val="00FB4F5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1FAD"/>
  <w15:chartTrackingRefBased/>
  <w15:docId w15:val="{54D76079-53B1-4A6A-B72D-CD45BDB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Windows-felhasználó</cp:lastModifiedBy>
  <cp:revision>13</cp:revision>
  <dcterms:created xsi:type="dcterms:W3CDTF">2020-03-25T15:16:00Z</dcterms:created>
  <dcterms:modified xsi:type="dcterms:W3CDTF">2020-04-07T17:45:00Z</dcterms:modified>
</cp:coreProperties>
</file>