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B96F4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96F4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96F4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96F4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96F4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B96F47">
        <w:rPr>
          <w:i/>
          <w:color w:val="3366FF"/>
          <w:sz w:val="20"/>
          <w:highlight w:val="green"/>
        </w:rPr>
        <w:t>az</w:t>
      </w:r>
      <w:proofErr w:type="gramEnd"/>
      <w:r w:rsidRPr="00B96F47">
        <w:rPr>
          <w:i/>
          <w:color w:val="3366FF"/>
          <w:sz w:val="20"/>
          <w:highlight w:val="green"/>
        </w:rPr>
        <w:t xml:space="preserve"> előterjesztés </w:t>
      </w:r>
      <w:r w:rsidRPr="00B96F4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96F47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50CE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0C0479">
        <w:rPr>
          <w:rFonts w:ascii="Arial" w:hAnsi="Arial" w:cs="Arial"/>
          <w:color w:val="3366FF"/>
          <w:sz w:val="22"/>
          <w:szCs w:val="22"/>
        </w:rPr>
        <w:t>nyzat Képviselő-testületének 2020.augusztus 26-á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1448DD" w:rsidP="001448DD">
      <w:pPr>
        <w:tabs>
          <w:tab w:val="left" w:pos="567"/>
          <w:tab w:val="left" w:pos="6237"/>
        </w:tabs>
        <w:ind w:left="3119" w:hanging="2268"/>
        <w:jc w:val="both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1448D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Döntés </w:t>
      </w:r>
      <w:r w:rsidR="0083141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Bátaszéki</w:t>
      </w:r>
      <w:r w:rsidRPr="001448D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Árva Gyermekekért </w:t>
      </w:r>
      <w:r w:rsidR="0083141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r w:rsidRPr="001448D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lapítvány kuratóriumának tagjáról</w:t>
      </w:r>
    </w:p>
    <w:p w:rsidR="001448DD" w:rsidRPr="00ED4DCE" w:rsidRDefault="001448DD" w:rsidP="001448DD">
      <w:pPr>
        <w:tabs>
          <w:tab w:val="left" w:pos="567"/>
          <w:tab w:val="left" w:pos="6237"/>
        </w:tabs>
        <w:ind w:left="3119" w:hanging="2268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C7122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0C0479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C7122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Köbli Kata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C7122E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C7122E" w:rsidRPr="00ED4DCE" w:rsidRDefault="00C7122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jegyző</w:t>
            </w:r>
          </w:p>
          <w:p w:rsidR="005C5D05" w:rsidRDefault="005C5D05" w:rsidP="001448D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96C39" w:rsidRDefault="00DA5EEA" w:rsidP="001448D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1448D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1448DD" w:rsidRPr="005C5D05" w:rsidRDefault="00D96C39" w:rsidP="001448DD">
            <w:pPr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>KOIS</w:t>
            </w:r>
            <w:r w:rsidR="001448DD" w:rsidRPr="005C5D05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 xml:space="preserve"> Bizottság: </w:t>
            </w:r>
            <w:r w:rsidR="005C5D05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>2020.08.24</w:t>
            </w:r>
            <w:r w:rsidR="001448DD" w:rsidRPr="005C5D05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 xml:space="preserve">                             </w:t>
            </w:r>
          </w:p>
          <w:p w:rsidR="001448DD" w:rsidRPr="005C5D05" w:rsidRDefault="001448DD" w:rsidP="001448DD">
            <w:pPr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</w:pPr>
            <w:r w:rsidRPr="005C5D05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>Szociális Bizottság</w:t>
            </w:r>
            <w:r w:rsidR="005C5D05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 xml:space="preserve"> 2020.08.25</w:t>
            </w:r>
          </w:p>
          <w:p w:rsidR="00DA5EEA" w:rsidRPr="005C5D05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C7122E" w:rsidP="00DA5EEA">
      <w:pPr>
        <w:tabs>
          <w:tab w:val="num" w:pos="0"/>
        </w:tabs>
        <w:jc w:val="both"/>
        <w:rPr>
          <w:b/>
        </w:rPr>
      </w:pPr>
      <w:r w:rsidRPr="00C7122E">
        <w:rPr>
          <w:b/>
        </w:rPr>
        <w:t>Tisztelt képviselő-testület!</w:t>
      </w:r>
    </w:p>
    <w:p w:rsidR="00C7122E" w:rsidRDefault="00C7122E" w:rsidP="00DA5EEA">
      <w:pPr>
        <w:tabs>
          <w:tab w:val="num" w:pos="0"/>
        </w:tabs>
        <w:jc w:val="both"/>
        <w:rPr>
          <w:b/>
        </w:rPr>
      </w:pPr>
    </w:p>
    <w:p w:rsidR="009E6810" w:rsidRDefault="009E6810" w:rsidP="00000133">
      <w:pPr>
        <w:tabs>
          <w:tab w:val="left" w:pos="900"/>
        </w:tabs>
        <w:jc w:val="both"/>
        <w:rPr>
          <w:lang w:val="x-none"/>
        </w:rPr>
      </w:pPr>
      <w:r w:rsidRPr="009E6810">
        <w:t xml:space="preserve">A </w:t>
      </w:r>
      <w:r w:rsidRPr="009E6810">
        <w:rPr>
          <w:lang w:val="x-none"/>
        </w:rPr>
        <w:t xml:space="preserve">Bátaszéki Árva Gyermekekért </w:t>
      </w:r>
      <w:r w:rsidR="00000133">
        <w:t xml:space="preserve">Alapítványt Bátaszék Város Önkormányzata </w:t>
      </w:r>
      <w:r w:rsidRPr="009E6810">
        <w:rPr>
          <w:lang w:val="x-none"/>
        </w:rPr>
        <w:t xml:space="preserve">1996-ban </w:t>
      </w:r>
      <w:r w:rsidRPr="00000133">
        <w:rPr>
          <w:lang w:val="x-none"/>
        </w:rPr>
        <w:t>egyedül alapította</w:t>
      </w:r>
      <w:r w:rsidRPr="009E6810">
        <w:rPr>
          <w:lang w:val="x-none"/>
        </w:rPr>
        <w:t xml:space="preserve"> a 33/1996.(III.27.) számú </w:t>
      </w:r>
      <w:r w:rsidR="00000133">
        <w:t xml:space="preserve">önkormányzati </w:t>
      </w:r>
      <w:r w:rsidRPr="009E6810">
        <w:rPr>
          <w:lang w:val="x-none"/>
        </w:rPr>
        <w:t xml:space="preserve">határozattal. </w:t>
      </w:r>
    </w:p>
    <w:p w:rsidR="000C6E66" w:rsidRDefault="000C6E66" w:rsidP="00000133">
      <w:pPr>
        <w:tabs>
          <w:tab w:val="left" w:pos="900"/>
        </w:tabs>
        <w:jc w:val="both"/>
        <w:rPr>
          <w:lang w:val="x-none"/>
        </w:rPr>
      </w:pPr>
    </w:p>
    <w:p w:rsidR="000C6E66" w:rsidRDefault="000C6E66" w:rsidP="00000133">
      <w:pPr>
        <w:tabs>
          <w:tab w:val="left" w:pos="900"/>
        </w:tabs>
        <w:jc w:val="both"/>
      </w:pPr>
      <w:r>
        <w:t>Osváth I</w:t>
      </w:r>
      <w:r w:rsidR="00092D2C">
        <w:t>stvánné kuratórium elnöke</w:t>
      </w:r>
      <w:r>
        <w:t xml:space="preserve"> jelezte Bátaszék Város Polgármesterének, hogy nem kívánja a továbbiakban ezt a tisztséget ellátni, lemond az elnökségről.</w:t>
      </w:r>
    </w:p>
    <w:p w:rsidR="000C6E66" w:rsidRDefault="000C6E66" w:rsidP="00000133">
      <w:pPr>
        <w:tabs>
          <w:tab w:val="left" w:pos="900"/>
        </w:tabs>
        <w:jc w:val="both"/>
      </w:pPr>
    </w:p>
    <w:p w:rsidR="000C6E66" w:rsidRDefault="00612EC4" w:rsidP="00000133">
      <w:pPr>
        <w:tabs>
          <w:tab w:val="left" w:pos="900"/>
        </w:tabs>
        <w:jc w:val="both"/>
      </w:pPr>
      <w:r>
        <w:t>Felkértük</w:t>
      </w:r>
      <w:r w:rsidR="000C6E66">
        <w:t xml:space="preserve"> Dárdai Adrienn Bátaszék, Park</w:t>
      </w:r>
      <w:r>
        <w:t xml:space="preserve"> sétány 10. szám alatti lakost, az elnöki tisztségre, aki a felkérést elfogadta.</w:t>
      </w:r>
      <w:r w:rsidR="00B96F47">
        <w:t xml:space="preserve"> </w:t>
      </w:r>
      <w:r w:rsidR="000C6E66">
        <w:t>A kuratórium elnökének személyében beálló változás okán szükséges az Alapítvány Alapító Okiratának módosítása.</w:t>
      </w:r>
    </w:p>
    <w:p w:rsidR="000C6E66" w:rsidRDefault="000C6E66" w:rsidP="00000133">
      <w:pPr>
        <w:tabs>
          <w:tab w:val="left" w:pos="900"/>
        </w:tabs>
        <w:jc w:val="both"/>
      </w:pPr>
    </w:p>
    <w:p w:rsidR="000C6E66" w:rsidRDefault="000C6E66" w:rsidP="00000133">
      <w:pPr>
        <w:tabs>
          <w:tab w:val="left" w:pos="900"/>
        </w:tabs>
        <w:jc w:val="both"/>
      </w:pPr>
      <w:r>
        <w:t>Az Alapító Okirat 5. pontja értelmében:</w:t>
      </w:r>
    </w:p>
    <w:p w:rsidR="000C6E66" w:rsidRDefault="000C6E66" w:rsidP="00000133">
      <w:pPr>
        <w:tabs>
          <w:tab w:val="left" w:pos="900"/>
        </w:tabs>
        <w:jc w:val="both"/>
      </w:pPr>
    </w:p>
    <w:p w:rsidR="000C6E66" w:rsidRPr="000C6E66" w:rsidRDefault="000C6E66" w:rsidP="00000133">
      <w:pPr>
        <w:tabs>
          <w:tab w:val="left" w:pos="900"/>
        </w:tabs>
        <w:jc w:val="both"/>
      </w:pPr>
      <w:r>
        <w:t>„</w:t>
      </w:r>
      <w:r w:rsidRPr="000C6E66">
        <w:t xml:space="preserve">A kuratórium tagjainak megbízásáról, és visszahívásáról a kuratórium elnökének, a kuratórium tagjai közül történő kijelöléséről és visszahívásáról, az </w:t>
      </w:r>
      <w:proofErr w:type="gramStart"/>
      <w:r w:rsidRPr="000C6E66">
        <w:rPr>
          <w:b/>
        </w:rPr>
        <w:t>a</w:t>
      </w:r>
      <w:r>
        <w:rPr>
          <w:b/>
        </w:rPr>
        <w:t xml:space="preserve">lapítvány </w:t>
      </w:r>
      <w:r w:rsidRPr="000C6E66">
        <w:rPr>
          <w:b/>
        </w:rPr>
        <w:t>alapító</w:t>
      </w:r>
      <w:proofErr w:type="gramEnd"/>
      <w:r w:rsidRPr="000C6E66">
        <w:rPr>
          <w:b/>
        </w:rPr>
        <w:t xml:space="preserve"> okiratának módosításáról az alapító dönt</w:t>
      </w:r>
      <w:r w:rsidRPr="000C6E66">
        <w:t>. A kuratórium elnökét az alapító bízza meg.</w:t>
      </w:r>
      <w:r>
        <w:t>”</w:t>
      </w:r>
    </w:p>
    <w:p w:rsidR="00C7122E" w:rsidRDefault="00C7122E" w:rsidP="00DA5EEA">
      <w:pPr>
        <w:tabs>
          <w:tab w:val="num" w:pos="0"/>
        </w:tabs>
        <w:jc w:val="both"/>
      </w:pPr>
    </w:p>
    <w:p w:rsidR="00000133" w:rsidRPr="00000133" w:rsidRDefault="00000133" w:rsidP="00000133">
      <w:pPr>
        <w:tabs>
          <w:tab w:val="num" w:pos="0"/>
        </w:tabs>
        <w:jc w:val="both"/>
      </w:pPr>
      <w:r w:rsidRPr="00000133">
        <w:t xml:space="preserve">A képviselő-testület legutóbb 2015-ben módosította a „Bátaszéki Árva Gyermekekért” Alapítvány Alapító Okiratát. </w:t>
      </w:r>
    </w:p>
    <w:p w:rsidR="002E4002" w:rsidRPr="003F6D55" w:rsidRDefault="002E4002" w:rsidP="002E400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3F6D55">
        <w:rPr>
          <w:lang w:eastAsia="hu-HU"/>
        </w:rPr>
        <w:t>A fentiekre figyelemmel javasolom az alábbi határozati javaslat elfogadását:</w:t>
      </w:r>
    </w:p>
    <w:p w:rsidR="002E4002" w:rsidRPr="00710434" w:rsidRDefault="002E4002" w:rsidP="002E400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eastAsia="hu-HU"/>
        </w:rPr>
      </w:pPr>
    </w:p>
    <w:p w:rsidR="002E4002" w:rsidRPr="00710434" w:rsidRDefault="002E4002" w:rsidP="002E400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eastAsia="hu-HU"/>
        </w:rPr>
      </w:pPr>
    </w:p>
    <w:p w:rsidR="002E4002" w:rsidRPr="002E4002" w:rsidRDefault="002E4002" w:rsidP="002E4002">
      <w:pPr>
        <w:keepNext/>
        <w:overflowPunct w:val="0"/>
        <w:autoSpaceDE w:val="0"/>
        <w:autoSpaceDN w:val="0"/>
        <w:adjustRightInd w:val="0"/>
        <w:ind w:left="2268"/>
        <w:jc w:val="both"/>
        <w:textAlignment w:val="baseline"/>
        <w:outlineLvl w:val="0"/>
        <w:rPr>
          <w:b/>
          <w:u w:val="single"/>
          <w:lang w:eastAsia="hu-HU"/>
        </w:rPr>
      </w:pPr>
      <w:r w:rsidRPr="002E4002">
        <w:rPr>
          <w:b/>
          <w:u w:val="single"/>
          <w:lang w:eastAsia="hu-HU"/>
        </w:rPr>
        <w:t xml:space="preserve">H a t á r o z a t i    j a v a s l a </w:t>
      </w:r>
      <w:proofErr w:type="gramStart"/>
      <w:r w:rsidRPr="002E4002">
        <w:rPr>
          <w:b/>
          <w:u w:val="single"/>
          <w:lang w:eastAsia="hu-HU"/>
        </w:rPr>
        <w:t>t :</w:t>
      </w:r>
      <w:proofErr w:type="gramEnd"/>
    </w:p>
    <w:p w:rsidR="002E4002" w:rsidRPr="002E4002" w:rsidRDefault="002E4002" w:rsidP="002E4002">
      <w:pPr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szCs w:val="20"/>
          <w:lang w:eastAsia="hu-HU"/>
        </w:rPr>
      </w:pPr>
    </w:p>
    <w:p w:rsidR="002E4002" w:rsidRPr="002E4002" w:rsidRDefault="002E4002" w:rsidP="002E4002">
      <w:pPr>
        <w:tabs>
          <w:tab w:val="left" w:pos="567"/>
          <w:tab w:val="left" w:pos="6237"/>
        </w:tabs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b/>
          <w:u w:val="single"/>
          <w:lang w:eastAsia="hu-HU"/>
        </w:rPr>
      </w:pPr>
      <w:proofErr w:type="gramStart"/>
      <w:r w:rsidRPr="002E4002">
        <w:rPr>
          <w:b/>
          <w:u w:val="single"/>
          <w:lang w:eastAsia="hu-HU"/>
        </w:rPr>
        <w:t>a</w:t>
      </w:r>
      <w:proofErr w:type="gramEnd"/>
      <w:r w:rsidRPr="002E4002">
        <w:rPr>
          <w:b/>
          <w:u w:val="single"/>
          <w:lang w:eastAsia="hu-HU"/>
        </w:rPr>
        <w:t xml:space="preserve"> „</w:t>
      </w:r>
      <w:r>
        <w:rPr>
          <w:b/>
          <w:u w:val="single"/>
          <w:lang w:eastAsia="hu-HU"/>
        </w:rPr>
        <w:t>Bátaszéki Árva Gyermekekért</w:t>
      </w:r>
      <w:r w:rsidRPr="002E4002">
        <w:rPr>
          <w:b/>
          <w:u w:val="single"/>
          <w:lang w:eastAsia="hu-HU"/>
        </w:rPr>
        <w:t>” Alapítvány Alapító Okiratának módosítására</w:t>
      </w:r>
    </w:p>
    <w:p w:rsidR="002E4002" w:rsidRPr="002E4002" w:rsidRDefault="002E4002" w:rsidP="002E4002">
      <w:pPr>
        <w:tabs>
          <w:tab w:val="left" w:pos="567"/>
          <w:tab w:val="left" w:pos="6237"/>
        </w:tabs>
        <w:overflowPunct w:val="0"/>
        <w:autoSpaceDE w:val="0"/>
        <w:autoSpaceDN w:val="0"/>
        <w:adjustRightInd w:val="0"/>
        <w:ind w:left="2268"/>
        <w:jc w:val="center"/>
        <w:textAlignment w:val="baseline"/>
        <w:rPr>
          <w:b/>
          <w:i/>
          <w:u w:val="single"/>
          <w:lang w:eastAsia="hu-HU"/>
        </w:rPr>
      </w:pPr>
    </w:p>
    <w:p w:rsidR="002E4002" w:rsidRPr="002E4002" w:rsidRDefault="002E4002" w:rsidP="002E4002">
      <w:pPr>
        <w:tabs>
          <w:tab w:val="left" w:pos="567"/>
          <w:tab w:val="left" w:pos="2977"/>
          <w:tab w:val="left" w:pos="6237"/>
        </w:tabs>
        <w:overflowPunct w:val="0"/>
        <w:autoSpaceDE w:val="0"/>
        <w:autoSpaceDN w:val="0"/>
        <w:adjustRightInd w:val="0"/>
        <w:spacing w:after="120"/>
        <w:ind w:left="2268"/>
        <w:jc w:val="both"/>
        <w:textAlignment w:val="baseline"/>
        <w:rPr>
          <w:lang w:eastAsia="hu-HU"/>
        </w:rPr>
      </w:pPr>
      <w:r w:rsidRPr="002E4002">
        <w:rPr>
          <w:lang w:eastAsia="hu-HU"/>
        </w:rPr>
        <w:t>Bátaszék Város Önkormányzatának Képviselő-testülete;</w:t>
      </w:r>
    </w:p>
    <w:p w:rsidR="002E4002" w:rsidRDefault="002E4002" w:rsidP="002E4002">
      <w:pPr>
        <w:numPr>
          <w:ilvl w:val="0"/>
          <w:numId w:val="6"/>
        </w:num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 w:hanging="437"/>
        <w:jc w:val="both"/>
        <w:textAlignment w:val="baseline"/>
        <w:rPr>
          <w:lang w:eastAsia="hu-HU"/>
        </w:rPr>
      </w:pPr>
      <w:r w:rsidRPr="002E4002">
        <w:rPr>
          <w:lang w:eastAsia="hu-HU"/>
        </w:rPr>
        <w:t xml:space="preserve">hozzájárul a </w:t>
      </w:r>
      <w:r w:rsidRPr="009E6810">
        <w:rPr>
          <w:lang w:val="x-none"/>
        </w:rPr>
        <w:t>33/1996.(III.27.)</w:t>
      </w:r>
      <w:r>
        <w:rPr>
          <w:lang w:eastAsia="hu-HU"/>
        </w:rPr>
        <w:t xml:space="preserve"> </w:t>
      </w:r>
      <w:r w:rsidRPr="002E4002">
        <w:rPr>
          <w:lang w:eastAsia="hu-HU"/>
        </w:rPr>
        <w:t xml:space="preserve">számú </w:t>
      </w:r>
      <w:r>
        <w:rPr>
          <w:lang w:eastAsia="hu-HU"/>
        </w:rPr>
        <w:t xml:space="preserve">önkormányzati </w:t>
      </w:r>
      <w:r w:rsidRPr="002E4002">
        <w:rPr>
          <w:lang w:eastAsia="hu-HU"/>
        </w:rPr>
        <w:t>határozatával létrehozott „</w:t>
      </w:r>
      <w:r>
        <w:rPr>
          <w:lang w:eastAsia="hu-HU"/>
        </w:rPr>
        <w:t>Bátaszéki Árva Gyermekekért</w:t>
      </w:r>
      <w:r w:rsidRPr="002E4002">
        <w:rPr>
          <w:lang w:eastAsia="hu-HU"/>
        </w:rPr>
        <w:t xml:space="preserve">” Alapítvány Alapító Okiratának </w:t>
      </w:r>
      <w:proofErr w:type="spellStart"/>
      <w:r w:rsidRPr="002E4002">
        <w:rPr>
          <w:lang w:eastAsia="hu-HU"/>
        </w:rPr>
        <w:t>akkénti</w:t>
      </w:r>
      <w:proofErr w:type="spellEnd"/>
      <w:r w:rsidRPr="002E4002">
        <w:rPr>
          <w:lang w:eastAsia="hu-HU"/>
        </w:rPr>
        <w:t xml:space="preserve"> módosításához, hogy </w:t>
      </w:r>
      <w:r w:rsidR="003F6D55">
        <w:rPr>
          <w:lang w:eastAsia="hu-HU"/>
        </w:rPr>
        <w:t>az 5.</w:t>
      </w:r>
      <w:r w:rsidRPr="002E4002">
        <w:rPr>
          <w:lang w:eastAsia="hu-HU"/>
        </w:rPr>
        <w:t xml:space="preserve"> pontja helyébe a következő rendelkezések lépjenek: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„5.</w:t>
      </w:r>
      <w:r>
        <w:rPr>
          <w:lang w:eastAsia="hu-HU"/>
        </w:rPr>
        <w:tab/>
        <w:t xml:space="preserve">Az Alapítvány kezelője: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Az Alapító az alapítvány vagyonának kezelését háromtagú kuratóriumra bízza, mely az alapítvány ügyvezető szerve. A kuratórium határozatlan időre jön létre. A kuratórium tagjainak megbízásáról, és visszahívásáról a kuratórium elnökének, a kuratórium tagjai közül történő kijelöléséről és visszahívásáról, az </w:t>
      </w:r>
      <w:proofErr w:type="gramStart"/>
      <w:r>
        <w:rPr>
          <w:lang w:eastAsia="hu-HU"/>
        </w:rPr>
        <w:t>alapítvány alapító</w:t>
      </w:r>
      <w:proofErr w:type="gramEnd"/>
      <w:r>
        <w:rPr>
          <w:lang w:eastAsia="hu-HU"/>
        </w:rPr>
        <w:t xml:space="preserve"> okiratának módosításáról az alapító dönt. A kuratórium elnökét az alapító bízza meg. Az alapítvány </w:t>
      </w:r>
      <w:proofErr w:type="spellStart"/>
      <w:r>
        <w:rPr>
          <w:lang w:eastAsia="hu-HU"/>
        </w:rPr>
        <w:t>kura-tóriumának</w:t>
      </w:r>
      <w:proofErr w:type="spellEnd"/>
      <w:r>
        <w:rPr>
          <w:lang w:eastAsia="hu-HU"/>
        </w:rPr>
        <w:t xml:space="preserve"> gazdálkodását Bátaszék Város Önkormányzatának Pénzügyi és Gazdasági Bizottsága (a továbbiakban: PG Bizottság) jogosult ellenőrizni.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 Kuratórium tagjai az </w:t>
      </w:r>
      <w:proofErr w:type="gramStart"/>
      <w:r>
        <w:rPr>
          <w:lang w:eastAsia="hu-HU"/>
        </w:rPr>
        <w:t>Alapítvány vezető</w:t>
      </w:r>
      <w:proofErr w:type="gramEnd"/>
      <w:r>
        <w:rPr>
          <w:lang w:eastAsia="hu-HU"/>
        </w:rPr>
        <w:t xml:space="preserve"> tisztségviselői.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 Kuratórium elnöke: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Dárdai Adrienn sz. Dárdai Adrienn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7140 Bátaszék, </w:t>
      </w:r>
      <w:r w:rsidR="004C6705">
        <w:rPr>
          <w:lang w:eastAsia="hu-HU"/>
        </w:rPr>
        <w:t xml:space="preserve">Park sétány </w:t>
      </w:r>
      <w:r>
        <w:rPr>
          <w:lang w:eastAsia="hu-HU"/>
        </w:rPr>
        <w:t>10. sz. alatti lakos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 Kuratórium tagjai: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1.</w:t>
      </w:r>
      <w:r>
        <w:rPr>
          <w:lang w:eastAsia="hu-HU"/>
        </w:rPr>
        <w:tab/>
        <w:t>Kovács Józsefné sz. Futó Ágnes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 7140 Bátaszék, Garay u. 42. sz. alatti lakos 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2.</w:t>
      </w:r>
      <w:r>
        <w:rPr>
          <w:lang w:eastAsia="hu-HU"/>
        </w:rPr>
        <w:tab/>
        <w:t xml:space="preserve">Kemény Lajos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7140 Bátaszék, Budai u. 128.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kuratóriumi elnöki tisztség megszűnik a kuratóriumi tagság megszűnésével. A kuratóriumi tagság megszűnik: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.)</w:t>
      </w:r>
      <w:r>
        <w:rPr>
          <w:lang w:eastAsia="hu-HU"/>
        </w:rPr>
        <w:tab/>
        <w:t>a kuratóriumi tagsággal való lemondással,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b.)</w:t>
      </w:r>
      <w:r>
        <w:rPr>
          <w:lang w:eastAsia="hu-HU"/>
        </w:rPr>
        <w:tab/>
        <w:t>visszahívással, ha a kuratóriumi tag tevékenységével az alapítvány célját közvetlenül veszélyezteti,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c.</w:t>
      </w:r>
      <w:proofErr w:type="gramEnd"/>
      <w:r>
        <w:rPr>
          <w:lang w:eastAsia="hu-HU"/>
        </w:rPr>
        <w:t>)</w:t>
      </w:r>
      <w:r>
        <w:rPr>
          <w:lang w:eastAsia="hu-HU"/>
        </w:rPr>
        <w:tab/>
        <w:t>a tag halálával.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lastRenderedPageBreak/>
        <w:t>A Kuratórium évente legalább kettő ülést tart. Az ülések összehívásával kapcsolatos fel-adatok ellátásáért a Kuratórium elnöke a felelős. Az ülésekre írásos meghívót kell eljuttat-ni, 5 nappal az ülés tervezett időpontja előtt a kuratórium tagjainak. A meghívón szerepelnie kell az alapítvány nevének, székhelyének, az ülés idejének és helyszínének (ha az nem az alapítvány székhelye), ülés részletes napirendjének. A meghívóval együtt meg kell küldeni a napirendekhez tartozó írásos anyagot is annak érdekében, hogy a szavazásra jogosultak a tárgyalni kívánt témakörben álláspontjukat kialakíthassák.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Bármely kuratóriumi tag kérheti kuratóriumi ülés összehívását, a cél és az ok megjelölésével. Ilyen kérelem esetén a kuratórium elnöke köteles a kérelem beérkezésétől számított 8 napon belül intézkedni az ülés összehívásáról. Ha ennek a kötelezettségének nem tesz eleget, a kuratórium ülését a kérelmet előterjesztő tag is összehívhatja.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 Kuratórium ülése nyilvános. Az ülés tervezett időpontját a városháza hirdetőtábláján közzé kell tenni. A kuratórium az általa kiírt pályázatok elbírálásakor zárt ülést tarthat.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akkor határozatképes, ha ülésén minden tagja jelen van. Döntéseit egyszerű szótöbbséggel, nyílt szavazással hozza, kivéve, ahol jogszabály ennél magasabb szavazati arányt ír elő.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kuratórium, üléséről jegyzőkönyvet kell vezetni, melynek tartalmaznia kell a döntések tartalmát, időpontját, hatályát, valamint a szavazás eredményét név szerint és számszerű-leg. A határozatok meghozatalánál minden esetben külön-külön is vizsgálni kell a határozatképességet.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Az üléseken készült jegyzőkönyvekbe bárki betekinthet, abból saját költségére másolatot készíthet. A zárt ülésekről készült jegyzőkönyvet csak a tartalom szerint érintettek tekint-hetik meg.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Az alapítvány közhasznú működésével kapcsolatba keletkezett iratokba bárki betekinthet, azokról saját költségére másolatot kérhet. A betekintés iránti kérelmet a kuratórium elnökéhez írásban kell benyújtani, aki a beérkezett kérelemnek 15 napon belül köteles eleget tenni.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Az alapítvány működésével kapcsolatos iratokat és nyilvántartásokat a kuratórium elnöke kezeli, illetve vezeti. A </w:t>
      </w:r>
      <w:r>
        <w:rPr>
          <w:lang w:eastAsia="hu-HU"/>
        </w:rPr>
        <w:lastRenderedPageBreak/>
        <w:t>kuratórium elnöke köteles az éves beszámolót és a közhasznúsági mellékletet a jogszabályokban, továbbá az alapító okirat 5/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. pontjában előírt módon közzétenni, illetve letétbe helyezni.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ülésén született döntésekről az érintetteket írásban kell tájékoztatni.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 döntéseket a kuratórium elnöke 15 napon belül írásban közli az érintettekkel postai úton, továbbá a városháza hirdetőtábláján is közzéteszi a határozathozatalt követő 15 napon </w:t>
      </w:r>
      <w:proofErr w:type="spellStart"/>
      <w:r>
        <w:rPr>
          <w:lang w:eastAsia="hu-HU"/>
        </w:rPr>
        <w:t>be-lül</w:t>
      </w:r>
      <w:proofErr w:type="spellEnd"/>
      <w:r>
        <w:rPr>
          <w:lang w:eastAsia="hu-HU"/>
        </w:rPr>
        <w:t xml:space="preserve"> úgy, hogy az a nyilvánosságra hozataltól számított 30 napig megtekinthető.  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határozathozatalában nem vehet részt az a személy;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.)</w:t>
      </w:r>
      <w:r>
        <w:rPr>
          <w:lang w:eastAsia="hu-HU"/>
        </w:rPr>
        <w:tab/>
        <w:t>akit a határozat kötelezettség vagy felelősség alól mentesít, vagy az alapítvány terhére másfajta előnyben részesít,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b.)</w:t>
      </w:r>
      <w:r>
        <w:rPr>
          <w:lang w:eastAsia="hu-HU"/>
        </w:rPr>
        <w:tab/>
        <w:t>akivel a határozat szerint szerződést kell kötni,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c.</w:t>
      </w:r>
      <w:proofErr w:type="gramEnd"/>
      <w:r>
        <w:rPr>
          <w:lang w:eastAsia="hu-HU"/>
        </w:rPr>
        <w:t>)</w:t>
      </w:r>
      <w:r>
        <w:rPr>
          <w:lang w:eastAsia="hu-HU"/>
        </w:rPr>
        <w:tab/>
        <w:t>aki ellen a határozat alapján pert kell indítani,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d.)</w:t>
      </w:r>
      <w:r>
        <w:rPr>
          <w:lang w:eastAsia="hu-HU"/>
        </w:rPr>
        <w:tab/>
        <w:t>akinek olyan hozzátartozója érdekelt a döntésben, aki az alapítványnak nem tagja vagy alapítója,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e</w:t>
      </w:r>
      <w:proofErr w:type="gramEnd"/>
      <w:r>
        <w:rPr>
          <w:lang w:eastAsia="hu-HU"/>
        </w:rPr>
        <w:t>.)</w:t>
      </w:r>
      <w:r>
        <w:rPr>
          <w:lang w:eastAsia="hu-HU"/>
        </w:rPr>
        <w:tab/>
        <w:t xml:space="preserve">aki a döntésben érdekelt más szervezettel többségi befolyáson alapuló kapcsolatban áll, vagy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f</w:t>
      </w:r>
      <w:proofErr w:type="gramEnd"/>
      <w:r>
        <w:rPr>
          <w:lang w:eastAsia="hu-HU"/>
        </w:rPr>
        <w:t>.)</w:t>
      </w:r>
      <w:r>
        <w:rPr>
          <w:lang w:eastAsia="hu-HU"/>
        </w:rPr>
        <w:tab/>
        <w:t>aki egyébként személyesen érdekelt a döntésben.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Nem minősül előnynek a közhasznú szervezet célszerinti juttatásai keretében a bárki által megkötés nélkül igénybe vehető nem pénzbeli szolgáltatás, illetve a társadalmi szervezet által tagjának, a tagsági jogviszony alapján nyújtott és létesítő okiratnak megfelelő célszerinti juttatás.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 közhasznú szervezet megszűnését követő 3 évig nem lehet más közhasznú </w:t>
      </w:r>
      <w:proofErr w:type="gramStart"/>
      <w:r>
        <w:rPr>
          <w:lang w:eastAsia="hu-HU"/>
        </w:rPr>
        <w:t>szervezet vezető</w:t>
      </w:r>
      <w:proofErr w:type="gramEnd"/>
      <w:r>
        <w:rPr>
          <w:lang w:eastAsia="hu-HU"/>
        </w:rPr>
        <w:t xml:space="preserve"> tisztségviselője az a személy, aki korábban olyan közhasznú szervezet vezető tisztség-viselője volt – annak megszűnését megelőző 2 évben legalább 1 évig -;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.)</w:t>
      </w:r>
      <w:r>
        <w:rPr>
          <w:lang w:eastAsia="hu-HU"/>
        </w:rPr>
        <w:tab/>
        <w:t>amely jogutód nélkül szűnt meg úgy, hogy az állami adó- és vámhatóságnál nyilvántartott adó- és vámtartozását nem egyenlítette ki,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b.)</w:t>
      </w:r>
      <w:r>
        <w:rPr>
          <w:lang w:eastAsia="hu-HU"/>
        </w:rPr>
        <w:tab/>
        <w:t>amellyel szemben az állami adó- és vámhatóság jelentős összegű adóhiányt tárt fel,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c.</w:t>
      </w:r>
      <w:proofErr w:type="gramEnd"/>
      <w:r>
        <w:rPr>
          <w:lang w:eastAsia="hu-HU"/>
        </w:rPr>
        <w:t>)</w:t>
      </w:r>
      <w:r>
        <w:rPr>
          <w:lang w:eastAsia="hu-HU"/>
        </w:rPr>
        <w:tab/>
        <w:t>amellyel szemben az állami adó- és vámhatóság üzletlezárás intézkedést alkalmazott, vagy üzletlezárást helyettesítő bírságot szabott ki,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lastRenderedPageBreak/>
        <w:t>d.)</w:t>
      </w:r>
      <w:r>
        <w:rPr>
          <w:lang w:eastAsia="hu-HU"/>
        </w:rPr>
        <w:tab/>
        <w:t>amelynek adószámát az állami adó- és vámhatóság az adózás rendjéről szóló törvény szerint felfüggesztette vagy törölte.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Vezető tisztségviselő az a nagykorú személy lehet, akinek cselekvőképességét a tevékenysége ellátásához szükséges körben nem korlátozták.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Nem lehet vezető tisztségviselő az, akit bűncselekmény elkövetése miatt jogerősen szabadságvesztés büntetésre ítéletek, amíg a büntetett előélethez fűződő hátrányos következmények alól nem mentesült, továbbá nem lehet vezető tisztségviselő az, akit e foglalkozástól jogerősen eltiltottak. Akit valamely foglalkozástól jogerős bírósági ítélettel eltiltottak, az eltiltás hatálya alatt az ítéletben megjelölt tevékenységet folytató jogi </w:t>
      </w:r>
      <w:proofErr w:type="gramStart"/>
      <w:r>
        <w:rPr>
          <w:lang w:eastAsia="hu-HU"/>
        </w:rPr>
        <w:t>személy vezető</w:t>
      </w:r>
      <w:proofErr w:type="gramEnd"/>
      <w:r>
        <w:rPr>
          <w:lang w:eastAsia="hu-HU"/>
        </w:rPr>
        <w:t xml:space="preserve"> tisztségviselője nem lehet. Az eltiltást kimondó határozatban megszabott időtartamig nem lehet vezető tisztségviselő az, akit eltiltottak a vezető tisztségviselői tevékenységtől.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vezető tisztségviselő köteles a vele szemben fennálló kizáró, illetve összeférhetetlenségi okokat haladéktalanul az Alapítóval, illetve az alapítványi jogok gyakorlójával közölni.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vezető tisztségviselő illetve az ennek jelölt személy köteles valamennyi érintett közhasznú szervezetet előzetesen tájékoztatni arról, hogy ilyen tisztséget egyidejűleg más közhasznú szervezetnél is betölt.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Az Alapítvány kedvezményezettje és annak közeli hozzátartozója nem lehet a kuratórium tagja. Az Alapító és közeli hozzátartozói nem lehetnek többségben a kuratóriumban. 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az ügyrendjét maga állapítja meg.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évenként legalább egy alkalommal tájékoztatja az Alapítót az alapítványi célok megvalósításáról.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elnöke és tagjai tevékenységükért díjazásban nem részesülnek, esetleges költségeik megtérítését igényelhetik.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hatásköre: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lastRenderedPageBreak/>
        <w:t>a</w:t>
      </w:r>
      <w:proofErr w:type="gramEnd"/>
      <w:r>
        <w:rPr>
          <w:lang w:eastAsia="hu-HU"/>
        </w:rPr>
        <w:t>.)</w:t>
      </w:r>
      <w:r>
        <w:rPr>
          <w:lang w:eastAsia="hu-HU"/>
        </w:rPr>
        <w:tab/>
        <w:t>az Alapítvány alkalmazottaival szemben a munkáltatói jogok gyakorlása,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b.)</w:t>
      </w:r>
      <w:r>
        <w:rPr>
          <w:lang w:eastAsia="hu-HU"/>
        </w:rPr>
        <w:tab/>
        <w:t>az Alapítvány szabályzatainak kidolgozása,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c.</w:t>
      </w:r>
      <w:proofErr w:type="gramEnd"/>
      <w:r>
        <w:rPr>
          <w:lang w:eastAsia="hu-HU"/>
        </w:rPr>
        <w:t>)</w:t>
      </w:r>
      <w:r>
        <w:rPr>
          <w:lang w:eastAsia="hu-HU"/>
        </w:rPr>
        <w:tab/>
        <w:t>az Alapítvány szabályzatainak betartatása,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d.)</w:t>
      </w:r>
      <w:r>
        <w:rPr>
          <w:lang w:eastAsia="hu-HU"/>
        </w:rPr>
        <w:tab/>
        <w:t>valamint minden egyéb ügyvezetési feladat.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kizárólagos hatáskörébe tartozik: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.)</w:t>
      </w:r>
      <w:r>
        <w:rPr>
          <w:lang w:eastAsia="hu-HU"/>
        </w:rPr>
        <w:tab/>
        <w:t>napi működtetési feladatokat ellátó testület kijelölése, működési feltételeinek biztosítása,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b.)</w:t>
      </w:r>
      <w:r>
        <w:rPr>
          <w:lang w:eastAsia="hu-HU"/>
        </w:rPr>
        <w:tab/>
        <w:t>szükség szerint – bizottságok felkérése, a PG Bizottság kivételével,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c.</w:t>
      </w:r>
      <w:proofErr w:type="gramEnd"/>
      <w:r>
        <w:rPr>
          <w:lang w:eastAsia="hu-HU"/>
        </w:rPr>
        <w:t>)</w:t>
      </w:r>
      <w:r>
        <w:rPr>
          <w:lang w:eastAsia="hu-HU"/>
        </w:rPr>
        <w:tab/>
        <w:t>a munkatervek jóváhagyása éves tervek esetén,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d.)</w:t>
      </w:r>
      <w:r>
        <w:rPr>
          <w:lang w:eastAsia="hu-HU"/>
        </w:rPr>
        <w:tab/>
        <w:t>az éves költségvetés jóváhagyása,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e</w:t>
      </w:r>
      <w:proofErr w:type="gramEnd"/>
      <w:r>
        <w:rPr>
          <w:lang w:eastAsia="hu-HU"/>
        </w:rPr>
        <w:t>.)</w:t>
      </w:r>
      <w:r>
        <w:rPr>
          <w:lang w:eastAsia="hu-HU"/>
        </w:rPr>
        <w:tab/>
        <w:t>a közhasznúsági melléklet és az éves beszámoló elfogadása.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Az alapítvány működését és gazdálkodását a PG Bizottsága ellenőrzi.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PG Bizottság ellenőrző tevékenységéhez szükséges információk biztosításáért a Kuratórium elnöke felelős. A PG Bizottság tagja, illetve tagjai a Kuratórium ülésén tanácskozási joggal részt vehetnek.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 elnöke vagy tagja nem lehet a PG Bizottságának tagja, hozzátartozója.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PG Bizottság tagjainak összeférhetetlensége a Kuratórium tagjaira vonatkozó rendelkezéseken túlmenően az alábbiak az irányadóak: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Nem lehet a felügyelő szerv elnöke vagy tagja az a személy, aki;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)</w:t>
      </w:r>
      <w:r>
        <w:rPr>
          <w:lang w:eastAsia="hu-HU"/>
        </w:rPr>
        <w:tab/>
        <w:t>a legfőbb szerv, illetve az ügyintéző és képviseleti szerv elnöke vagy tagja,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b)</w:t>
      </w:r>
      <w:r>
        <w:rPr>
          <w:lang w:eastAsia="hu-HU"/>
        </w:rPr>
        <w:tab/>
        <w:t>a közhasznú szervezettel e megbízatásán kívüli más tevékenység kifejtésére irányuló munkaviszonyban vagy munkavégzésre irányuló egyéb jogviszonyban áll, ha jogszabály másként nem rendelkezik,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c)</w:t>
      </w:r>
      <w:r>
        <w:rPr>
          <w:lang w:eastAsia="hu-HU"/>
        </w:rPr>
        <w:tab/>
        <w:t>a közhasznú szervezet cél szerinti juttatásból részesül – kivéve a bárki által megkötés nélkül igénybe vehető nem pénzbeli szolgáltatásokat – illetve,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lastRenderedPageBreak/>
        <w:t>d)</w:t>
      </w:r>
      <w:r>
        <w:rPr>
          <w:lang w:eastAsia="hu-HU"/>
        </w:rPr>
        <w:tab/>
        <w:t>az a) - c) pontban meghatározott személyek közeli hozzátartozója.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A PG Bizottság köteles az intézkedésre való jogosultságának megfelelően a Kuratóriumot tájékoztatni és annak összehívását kezdeményezni, ha arról szerez tudomást, hogy; 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)</w:t>
      </w:r>
      <w:r>
        <w:rPr>
          <w:lang w:eastAsia="hu-HU"/>
        </w:rPr>
        <w:tab/>
        <w:t>a szervezet működése során olyan jogszabálysértés vagy a szervezet érdekeit egyébként súlyosan sértő esemény (mulasztás) történt, amelynek megszüntetése vagy következményeinek elhárítása, illetve enyhítése az intézkedésre jogosult vezető szerv döntését teszi szükségessé,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b)</w:t>
      </w:r>
      <w:r>
        <w:rPr>
          <w:lang w:eastAsia="hu-HU"/>
        </w:rPr>
        <w:tab/>
        <w:t>a vezető tisztségviselők felelősségét megalapozó tény merült fel.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A Kuratóriumot a PG Bizottság indítványára – annak megtételétől számított harminc napon belül – intézkedés céljából össze kell hívni. E határidő eredménytelen eltelte esetén a Kuratórium összehívására PG Bizottság is jogosult.</w:t>
      </w:r>
    </w:p>
    <w:p w:rsid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Pr="002E4002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 xml:space="preserve">Ha a Kuratórium a törvényes működés helyreállítása érdekében szükséges intézkedéseket nem teszi meg, a PG Bizottság köteles haladéktalanul értesíteni a törvényességi ellenőrzést ellátó szervet.”  </w:t>
      </w:r>
    </w:p>
    <w:p w:rsidR="002E4002" w:rsidRPr="002E4002" w:rsidRDefault="002E4002" w:rsidP="002E4002">
      <w:pPr>
        <w:overflowPunct w:val="0"/>
        <w:autoSpaceDE w:val="0"/>
        <w:autoSpaceDN w:val="0"/>
        <w:adjustRightInd w:val="0"/>
        <w:ind w:left="2705"/>
        <w:jc w:val="both"/>
        <w:textAlignment w:val="baseline"/>
        <w:rPr>
          <w:lang w:eastAsia="hu-HU"/>
        </w:rPr>
      </w:pPr>
    </w:p>
    <w:p w:rsidR="002E4002" w:rsidRDefault="003F6D55" w:rsidP="002E4002">
      <w:pPr>
        <w:numPr>
          <w:ilvl w:val="0"/>
          <w:numId w:val="6"/>
        </w:num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 w:hanging="437"/>
        <w:jc w:val="both"/>
        <w:textAlignment w:val="baseline"/>
        <w:rPr>
          <w:lang w:eastAsia="hu-HU"/>
        </w:rPr>
      </w:pPr>
      <w:r>
        <w:rPr>
          <w:lang w:eastAsia="hu-HU"/>
        </w:rPr>
        <w:t>továbbá, hogy a 6. pont helyébe az alábbi rendelkezések lépjenek:</w:t>
      </w:r>
    </w:p>
    <w:p w:rsidR="003F6D55" w:rsidRP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>
        <w:rPr>
          <w:lang w:eastAsia="hu-HU"/>
        </w:rPr>
        <w:t>„6. Az alapítvány képviselete:</w:t>
      </w:r>
    </w:p>
    <w:p w:rsidR="003F6D55" w:rsidRP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 w:rsidRPr="003F6D55">
        <w:rPr>
          <w:lang w:eastAsia="hu-HU"/>
        </w:rPr>
        <w:t xml:space="preserve">Az Alapítvány képviseletére a Kuratórium elnöke önállóan jogosult, a Kuratórium másik két tagja az Alapítvány képviseletére nem jogosult. A vezető tisztségviselők összeférhetetlenségére a Ptk. 3:22.§ (1), (4)-(6) és a 3:397. § (3)-(4) bekezdésében, valamint az </w:t>
      </w:r>
      <w:proofErr w:type="spellStart"/>
      <w:r w:rsidRPr="003F6D55">
        <w:rPr>
          <w:lang w:eastAsia="hu-HU"/>
        </w:rPr>
        <w:t>Ectv-ben</w:t>
      </w:r>
      <w:proofErr w:type="spellEnd"/>
      <w:r w:rsidRPr="003F6D55">
        <w:rPr>
          <w:lang w:eastAsia="hu-HU"/>
        </w:rPr>
        <w:t xml:space="preserve"> foglaltak az irányadóak.</w:t>
      </w:r>
    </w:p>
    <w:p w:rsidR="003F6D55" w:rsidRP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</w:p>
    <w:p w:rsidR="003F6D55" w:rsidRP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 w:rsidRPr="003F6D55">
        <w:rPr>
          <w:lang w:eastAsia="hu-HU"/>
        </w:rPr>
        <w:t xml:space="preserve">A Kuratórium elnöke: </w:t>
      </w:r>
      <w:r>
        <w:rPr>
          <w:lang w:eastAsia="hu-HU"/>
        </w:rPr>
        <w:t>Dárdai Adrienn</w:t>
      </w:r>
      <w:r w:rsidRPr="003F6D55">
        <w:rPr>
          <w:lang w:eastAsia="hu-HU"/>
        </w:rPr>
        <w:t xml:space="preserve"> 7140 Bátaszék, </w:t>
      </w:r>
      <w:r>
        <w:rPr>
          <w:lang w:eastAsia="hu-HU"/>
        </w:rPr>
        <w:t>Park sétány 10</w:t>
      </w:r>
      <w:r w:rsidRPr="003F6D55">
        <w:rPr>
          <w:lang w:eastAsia="hu-HU"/>
        </w:rPr>
        <w:t>. sz. alatti lakos.</w:t>
      </w:r>
    </w:p>
    <w:p w:rsidR="003F6D55" w:rsidRP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i/>
          <w:lang w:eastAsia="hu-HU"/>
        </w:rPr>
      </w:pPr>
      <w:r w:rsidRPr="003F6D55">
        <w:rPr>
          <w:lang w:eastAsia="hu-HU"/>
        </w:rPr>
        <w:t xml:space="preserve">A bankszámla feletti rendelkezésre </w:t>
      </w:r>
      <w:r>
        <w:rPr>
          <w:lang w:eastAsia="hu-HU"/>
        </w:rPr>
        <w:t>Dárdai Adrienn</w:t>
      </w:r>
      <w:r w:rsidRPr="003F6D55">
        <w:rPr>
          <w:lang w:eastAsia="hu-HU"/>
        </w:rPr>
        <w:t xml:space="preserve"> kuratóriumi elnök </w:t>
      </w:r>
      <w:r w:rsidRPr="003F6D55">
        <w:rPr>
          <w:i/>
          <w:lang w:eastAsia="hu-HU"/>
        </w:rPr>
        <w:t>önállóan jogosult.</w:t>
      </w:r>
    </w:p>
    <w:p w:rsidR="003F6D55" w:rsidRP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 w:rsidRPr="003F6D55">
        <w:rPr>
          <w:lang w:eastAsia="hu-HU"/>
        </w:rPr>
        <w:t>A kuratórium az egyes konkrét alapítványi célok megvalósítása érdekében jogosult pályázatot kiírni, valamint jogosult eseti és egyéni támogatásokat nyújtani.</w:t>
      </w:r>
    </w:p>
    <w:p w:rsidR="003F6D55" w:rsidRPr="003F6D55" w:rsidRDefault="003F6D55" w:rsidP="003F6D55">
      <w:pPr>
        <w:tabs>
          <w:tab w:val="left" w:pos="567"/>
          <w:tab w:val="left" w:pos="2694"/>
        </w:tabs>
        <w:overflowPunct w:val="0"/>
        <w:autoSpaceDE w:val="0"/>
        <w:autoSpaceDN w:val="0"/>
        <w:adjustRightInd w:val="0"/>
        <w:spacing w:after="120"/>
        <w:ind w:left="2705"/>
        <w:jc w:val="both"/>
        <w:textAlignment w:val="baseline"/>
        <w:rPr>
          <w:lang w:eastAsia="hu-HU"/>
        </w:rPr>
      </w:pPr>
      <w:r w:rsidRPr="003F6D55">
        <w:rPr>
          <w:lang w:eastAsia="hu-HU"/>
        </w:rPr>
        <w:t>A pályázatok elbírálásához szaktanácsadók közreműködését igénybe vehetik.</w:t>
      </w:r>
      <w:r w:rsidR="004C6705">
        <w:rPr>
          <w:lang w:eastAsia="hu-HU"/>
        </w:rPr>
        <w:t>”</w:t>
      </w:r>
      <w:r w:rsidRPr="003F6D55">
        <w:rPr>
          <w:lang w:eastAsia="hu-HU"/>
        </w:rPr>
        <w:t xml:space="preserve">   </w:t>
      </w:r>
    </w:p>
    <w:p w:rsidR="002E4002" w:rsidRPr="002E4002" w:rsidRDefault="002E4002" w:rsidP="004C6705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i/>
          <w:iCs/>
          <w:lang w:eastAsia="hu-HU"/>
        </w:rPr>
      </w:pPr>
    </w:p>
    <w:p w:rsidR="002E4002" w:rsidRPr="002E4002" w:rsidRDefault="002E4002" w:rsidP="002E4002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ind w:left="2268"/>
        <w:textAlignment w:val="baseline"/>
        <w:rPr>
          <w:lang w:eastAsia="hu-HU"/>
        </w:rPr>
      </w:pPr>
      <w:r w:rsidRPr="002E4002">
        <w:rPr>
          <w:i/>
          <w:iCs/>
          <w:lang w:eastAsia="hu-HU"/>
        </w:rPr>
        <w:t>Határidő:</w:t>
      </w:r>
      <w:r w:rsidR="004C6705">
        <w:rPr>
          <w:lang w:eastAsia="hu-HU"/>
        </w:rPr>
        <w:t xml:space="preserve"> 2020</w:t>
      </w:r>
      <w:r w:rsidRPr="002E4002">
        <w:rPr>
          <w:lang w:eastAsia="hu-HU"/>
        </w:rPr>
        <w:t xml:space="preserve">. </w:t>
      </w:r>
      <w:r w:rsidR="004C6705">
        <w:rPr>
          <w:lang w:eastAsia="hu-HU"/>
        </w:rPr>
        <w:t>szeptember 01.</w:t>
      </w:r>
    </w:p>
    <w:p w:rsidR="002E4002" w:rsidRPr="002E4002" w:rsidRDefault="002E4002" w:rsidP="002E4002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ind w:left="2268"/>
        <w:textAlignment w:val="baseline"/>
        <w:rPr>
          <w:lang w:eastAsia="hu-HU"/>
        </w:rPr>
      </w:pPr>
      <w:r w:rsidRPr="002E4002">
        <w:rPr>
          <w:i/>
          <w:iCs/>
          <w:lang w:eastAsia="hu-HU"/>
        </w:rPr>
        <w:lastRenderedPageBreak/>
        <w:t>Felelős:</w:t>
      </w:r>
      <w:r w:rsidRPr="002E4002">
        <w:rPr>
          <w:lang w:eastAsia="hu-HU"/>
        </w:rPr>
        <w:t xml:space="preserve"> Kondriczné dr. Varga Erzsébet jegyző</w:t>
      </w:r>
    </w:p>
    <w:p w:rsidR="002E4002" w:rsidRPr="002E4002" w:rsidRDefault="002E4002" w:rsidP="002E4002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ind w:left="2268"/>
        <w:textAlignment w:val="baseline"/>
        <w:rPr>
          <w:iCs/>
          <w:lang w:eastAsia="hu-HU"/>
        </w:rPr>
      </w:pPr>
      <w:r w:rsidRPr="002E4002">
        <w:rPr>
          <w:iCs/>
          <w:lang w:eastAsia="hu-HU"/>
        </w:rPr>
        <w:t xml:space="preserve">                (a határozat megküldéséért)</w:t>
      </w:r>
      <w:r w:rsidRPr="002E4002">
        <w:rPr>
          <w:lang w:eastAsia="hu-HU"/>
        </w:rPr>
        <w:t xml:space="preserve"> </w:t>
      </w:r>
    </w:p>
    <w:p w:rsidR="002E4002" w:rsidRPr="002E4002" w:rsidRDefault="002E4002" w:rsidP="002E4002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ind w:left="2268"/>
        <w:textAlignment w:val="baseline"/>
        <w:rPr>
          <w:lang w:eastAsia="hu-HU"/>
        </w:rPr>
      </w:pPr>
    </w:p>
    <w:p w:rsidR="000C2C51" w:rsidRDefault="002E4002" w:rsidP="000C2C51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ind w:left="2268"/>
        <w:textAlignment w:val="baseline"/>
        <w:rPr>
          <w:lang w:eastAsia="hu-HU"/>
        </w:rPr>
      </w:pPr>
      <w:r w:rsidRPr="002E4002">
        <w:rPr>
          <w:i/>
          <w:lang w:eastAsia="hu-HU"/>
        </w:rPr>
        <w:t>Határozatról értesül:</w:t>
      </w:r>
      <w:r w:rsidRPr="002E4002">
        <w:rPr>
          <w:lang w:eastAsia="hu-HU"/>
        </w:rPr>
        <w:t xml:space="preserve"> </w:t>
      </w:r>
      <w:r w:rsidR="000C2C51">
        <w:rPr>
          <w:lang w:eastAsia="hu-HU"/>
        </w:rPr>
        <w:t>Dárdai Adrien kuratóriumi elnök</w:t>
      </w:r>
    </w:p>
    <w:p w:rsidR="002E4002" w:rsidRDefault="000C2C51" w:rsidP="002E4002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ind w:left="2268"/>
        <w:textAlignment w:val="baseline"/>
        <w:rPr>
          <w:lang w:eastAsia="hu-HU"/>
        </w:rPr>
      </w:pPr>
      <w:r>
        <w:rPr>
          <w:lang w:eastAsia="hu-HU"/>
        </w:rPr>
        <w:tab/>
        <w:t xml:space="preserve">                </w:t>
      </w:r>
      <w:r w:rsidR="004C6705">
        <w:rPr>
          <w:lang w:eastAsia="hu-HU"/>
        </w:rPr>
        <w:t>Kovács Józsefné kuratóriumi tag</w:t>
      </w:r>
    </w:p>
    <w:p w:rsidR="004C6705" w:rsidRPr="004C6705" w:rsidRDefault="004C6705" w:rsidP="002E4002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ind w:left="2268"/>
        <w:textAlignment w:val="baseline"/>
        <w:rPr>
          <w:lang w:eastAsia="hu-HU"/>
        </w:rPr>
      </w:pPr>
      <w:r>
        <w:rPr>
          <w:i/>
          <w:lang w:eastAsia="hu-HU"/>
        </w:rPr>
        <w:tab/>
        <w:t xml:space="preserve">              </w:t>
      </w:r>
      <w:r w:rsidR="000C2C51">
        <w:rPr>
          <w:i/>
          <w:lang w:eastAsia="hu-HU"/>
        </w:rPr>
        <w:t xml:space="preserve">  </w:t>
      </w:r>
      <w:r w:rsidRPr="004C6705">
        <w:rPr>
          <w:lang w:eastAsia="hu-HU"/>
        </w:rPr>
        <w:t>Kemény Lajos kuratóriumi tag</w:t>
      </w:r>
    </w:p>
    <w:p w:rsidR="002E4002" w:rsidRPr="002E4002" w:rsidRDefault="002E4002" w:rsidP="002E4002">
      <w:pPr>
        <w:tabs>
          <w:tab w:val="left" w:pos="567"/>
          <w:tab w:val="left" w:pos="3402"/>
          <w:tab w:val="left" w:pos="6237"/>
        </w:tabs>
        <w:overflowPunct w:val="0"/>
        <w:autoSpaceDE w:val="0"/>
        <w:autoSpaceDN w:val="0"/>
        <w:adjustRightInd w:val="0"/>
        <w:ind w:left="2268"/>
        <w:textAlignment w:val="baseline"/>
        <w:rPr>
          <w:iCs/>
          <w:lang w:eastAsia="hu-HU"/>
        </w:rPr>
      </w:pPr>
      <w:r w:rsidRPr="002E4002">
        <w:rPr>
          <w:lang w:eastAsia="hu-HU"/>
        </w:rPr>
        <w:t xml:space="preserve">                                </w:t>
      </w:r>
      <w:r w:rsidR="000C2C51">
        <w:rPr>
          <w:lang w:eastAsia="hu-HU"/>
        </w:rPr>
        <w:t xml:space="preserve">  </w:t>
      </w:r>
      <w:bookmarkStart w:id="0" w:name="_GoBack"/>
      <w:bookmarkEnd w:id="0"/>
      <w:r w:rsidRPr="002E4002">
        <w:rPr>
          <w:lang w:eastAsia="hu-HU"/>
        </w:rPr>
        <w:t xml:space="preserve"> </w:t>
      </w:r>
      <w:proofErr w:type="gramStart"/>
      <w:r w:rsidRPr="002E4002">
        <w:rPr>
          <w:lang w:eastAsia="hu-HU"/>
        </w:rPr>
        <w:t>irattár</w:t>
      </w:r>
      <w:proofErr w:type="gramEnd"/>
      <w:r w:rsidRPr="002E4002">
        <w:rPr>
          <w:lang w:eastAsia="hu-HU"/>
        </w:rPr>
        <w:t xml:space="preserve">                               </w:t>
      </w:r>
    </w:p>
    <w:p w:rsidR="002E4002" w:rsidRPr="00927625" w:rsidRDefault="002E4002" w:rsidP="002E4002">
      <w:pPr>
        <w:overflowPunct w:val="0"/>
        <w:autoSpaceDE w:val="0"/>
        <w:autoSpaceDN w:val="0"/>
        <w:adjustRightInd w:val="0"/>
        <w:ind w:left="2835"/>
        <w:jc w:val="both"/>
        <w:textAlignment w:val="baseline"/>
        <w:rPr>
          <w:rFonts w:ascii="Arial" w:hAnsi="Arial" w:cs="Arial"/>
          <w:lang w:eastAsia="hu-HU"/>
        </w:rPr>
      </w:pPr>
    </w:p>
    <w:p w:rsidR="002E4002" w:rsidRPr="00927625" w:rsidRDefault="002E4002" w:rsidP="002E4002">
      <w:pPr>
        <w:overflowPunct w:val="0"/>
        <w:autoSpaceDE w:val="0"/>
        <w:autoSpaceDN w:val="0"/>
        <w:adjustRightInd w:val="0"/>
        <w:ind w:left="2835"/>
        <w:jc w:val="both"/>
        <w:textAlignment w:val="baseline"/>
        <w:rPr>
          <w:rFonts w:ascii="Arial" w:hAnsi="Arial" w:cs="Arial"/>
          <w:lang w:eastAsia="hu-HU"/>
        </w:rPr>
      </w:pPr>
    </w:p>
    <w:p w:rsidR="002E4002" w:rsidRPr="002C15B8" w:rsidRDefault="002E4002" w:rsidP="002E400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000133" w:rsidRPr="00000133" w:rsidRDefault="00000133" w:rsidP="00000133">
      <w:pPr>
        <w:tabs>
          <w:tab w:val="num" w:pos="0"/>
        </w:tabs>
        <w:jc w:val="both"/>
      </w:pPr>
    </w:p>
    <w:p w:rsidR="00000133" w:rsidRDefault="00000133" w:rsidP="00000133">
      <w:pPr>
        <w:tabs>
          <w:tab w:val="num" w:pos="0"/>
        </w:tabs>
        <w:jc w:val="both"/>
      </w:pPr>
    </w:p>
    <w:p w:rsidR="00000133" w:rsidRPr="00C7122E" w:rsidRDefault="00000133" w:rsidP="00DA5EEA">
      <w:pPr>
        <w:tabs>
          <w:tab w:val="num" w:pos="0"/>
        </w:tabs>
        <w:jc w:val="both"/>
      </w:pPr>
    </w:p>
    <w:sectPr w:rsidR="00000133" w:rsidRPr="00C7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13A8E"/>
    <w:multiLevelType w:val="hybridMultilevel"/>
    <w:tmpl w:val="131A42DC"/>
    <w:lvl w:ilvl="0" w:tplc="0F28EC48">
      <w:start w:val="1"/>
      <w:numFmt w:val="decimal"/>
      <w:lvlText w:val="%1.)"/>
      <w:lvlJc w:val="left"/>
      <w:pPr>
        <w:tabs>
          <w:tab w:val="num" w:pos="3270"/>
        </w:tabs>
        <w:ind w:left="327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0133"/>
    <w:rsid w:val="00050CE0"/>
    <w:rsid w:val="00092D2C"/>
    <w:rsid w:val="000C0479"/>
    <w:rsid w:val="000C2C51"/>
    <w:rsid w:val="000C6E66"/>
    <w:rsid w:val="000E1B63"/>
    <w:rsid w:val="001448DD"/>
    <w:rsid w:val="0021070F"/>
    <w:rsid w:val="002654BE"/>
    <w:rsid w:val="002E4002"/>
    <w:rsid w:val="0032605A"/>
    <w:rsid w:val="00332C16"/>
    <w:rsid w:val="00397101"/>
    <w:rsid w:val="003F1A66"/>
    <w:rsid w:val="003F6D55"/>
    <w:rsid w:val="004C6705"/>
    <w:rsid w:val="004E04CF"/>
    <w:rsid w:val="005278A4"/>
    <w:rsid w:val="005C5D05"/>
    <w:rsid w:val="00612EC4"/>
    <w:rsid w:val="006C2F4C"/>
    <w:rsid w:val="00831417"/>
    <w:rsid w:val="008D3905"/>
    <w:rsid w:val="009663F9"/>
    <w:rsid w:val="009E6810"/>
    <w:rsid w:val="00B96F47"/>
    <w:rsid w:val="00C7122E"/>
    <w:rsid w:val="00D96C39"/>
    <w:rsid w:val="00DA5EEA"/>
    <w:rsid w:val="00E14821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1647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11</cp:revision>
  <dcterms:created xsi:type="dcterms:W3CDTF">2020-08-05T06:39:00Z</dcterms:created>
  <dcterms:modified xsi:type="dcterms:W3CDTF">2020-08-18T08:14:00Z</dcterms:modified>
</cp:coreProperties>
</file>