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403A42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</w:t>
      </w:r>
    </w:p>
    <w:p w:rsidR="00403A42" w:rsidRDefault="00403A42" w:rsidP="00DA5EEA">
      <w:pPr>
        <w:jc w:val="right"/>
        <w:rPr>
          <w:i/>
          <w:color w:val="3366FF"/>
          <w:sz w:val="20"/>
        </w:rPr>
      </w:pPr>
      <w:proofErr w:type="gramStart"/>
      <w:r>
        <w:rPr>
          <w:i/>
          <w:color w:val="3366FF"/>
          <w:sz w:val="20"/>
        </w:rPr>
        <w:t>a</w:t>
      </w:r>
      <w:proofErr w:type="gramEnd"/>
      <w:r>
        <w:rPr>
          <w:i/>
          <w:color w:val="3366FF"/>
          <w:sz w:val="20"/>
        </w:rPr>
        <w:t xml:space="preserve"> rendelet tervezet elfogadásához</w:t>
      </w:r>
    </w:p>
    <w:p w:rsidR="00DA5EEA" w:rsidRPr="00ED4DCE" w:rsidRDefault="00403A42" w:rsidP="00DA5EEA">
      <w:pPr>
        <w:jc w:val="right"/>
        <w:rPr>
          <w:i/>
          <w:color w:val="3366FF"/>
          <w:sz w:val="20"/>
        </w:rPr>
      </w:pPr>
      <w:proofErr w:type="gramStart"/>
      <w:r w:rsidRPr="00403A42">
        <w:rPr>
          <w:b/>
          <w:i/>
          <w:color w:val="3366FF"/>
          <w:sz w:val="20"/>
          <w:u w:val="single"/>
        </w:rPr>
        <w:t>az</w:t>
      </w:r>
      <w:proofErr w:type="gramEnd"/>
      <w:r w:rsidRPr="00403A42">
        <w:rPr>
          <w:b/>
          <w:i/>
          <w:color w:val="3366FF"/>
          <w:sz w:val="20"/>
          <w:u w:val="single"/>
        </w:rPr>
        <w:t xml:space="preserve"> </w:t>
      </w:r>
      <w:proofErr w:type="spellStart"/>
      <w:r w:rsidRPr="00403A42">
        <w:rPr>
          <w:b/>
          <w:i/>
          <w:color w:val="3366FF"/>
          <w:sz w:val="20"/>
          <w:u w:val="single"/>
        </w:rPr>
        <w:t>Mötv</w:t>
      </w:r>
      <w:proofErr w:type="spellEnd"/>
      <w:r w:rsidRPr="00403A42">
        <w:rPr>
          <w:b/>
          <w:i/>
          <w:color w:val="3366FF"/>
          <w:sz w:val="20"/>
          <w:u w:val="single"/>
        </w:rPr>
        <w:t>. 50. §-</w:t>
      </w:r>
      <w:proofErr w:type="gramStart"/>
      <w:r w:rsidRPr="00403A42">
        <w:rPr>
          <w:b/>
          <w:i/>
          <w:color w:val="3366FF"/>
          <w:sz w:val="20"/>
          <w:u w:val="single"/>
        </w:rPr>
        <w:t>a</w:t>
      </w:r>
      <w:proofErr w:type="gramEnd"/>
      <w:r w:rsidRPr="00403A42">
        <w:rPr>
          <w:b/>
          <w:i/>
          <w:color w:val="3366FF"/>
          <w:sz w:val="20"/>
          <w:u w:val="single"/>
        </w:rPr>
        <w:t xml:space="preserve"> alapján minősített</w:t>
      </w:r>
      <w:r>
        <w:rPr>
          <w:i/>
          <w:color w:val="3366FF"/>
          <w:sz w:val="20"/>
        </w:rPr>
        <w:t xml:space="preserve"> </w:t>
      </w:r>
      <w:proofErr w:type="spellStart"/>
      <w:r>
        <w:rPr>
          <w:i/>
          <w:color w:val="3366FF"/>
          <w:sz w:val="20"/>
        </w:rPr>
        <w:t>törbbség</w:t>
      </w:r>
      <w:proofErr w:type="spellEnd"/>
      <w:r>
        <w:rPr>
          <w:i/>
          <w:color w:val="3366FF"/>
          <w:sz w:val="20"/>
        </w:rPr>
        <w:t xml:space="preserve"> szükséges,</w:t>
      </w:r>
      <w:r w:rsidR="00DA5EEA" w:rsidRPr="00ED4DCE">
        <w:rPr>
          <w:i/>
          <w:color w:val="3366FF"/>
          <w:sz w:val="20"/>
        </w:rPr>
        <w:t xml:space="preserve">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B305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>lő-testületének 2022. június 22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DD46BC" w:rsidRDefault="00A32E7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DD46B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 étkezési térítési díjak emelésére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A32E7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32E7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32E7D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proofErr w:type="spellStart"/>
            <w:r w:rsidR="00A32E7D">
              <w:rPr>
                <w:rFonts w:ascii="Arial" w:hAnsi="Arial" w:cs="Arial"/>
                <w:color w:val="3366FF"/>
                <w:sz w:val="22"/>
                <w:szCs w:val="22"/>
              </w:rPr>
              <w:t>Lampek</w:t>
            </w:r>
            <w:proofErr w:type="spellEnd"/>
            <w:r w:rsidR="00A32E7D">
              <w:rPr>
                <w:rFonts w:ascii="Arial" w:hAnsi="Arial" w:cs="Arial"/>
                <w:color w:val="3366FF"/>
                <w:sz w:val="22"/>
                <w:szCs w:val="22"/>
              </w:rPr>
              <w:t>- Bognár Zsuzsanna élelmezésvezető</w:t>
            </w:r>
          </w:p>
          <w:p w:rsidR="00A32E7D" w:rsidRDefault="00A32E7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33C4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A32E7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0154E6" w:rsidRDefault="000154E6" w:rsidP="00DA5EEA">
      <w:pPr>
        <w:rPr>
          <w:rFonts w:ascii="Arial" w:hAnsi="Arial" w:cs="Arial"/>
          <w:sz w:val="20"/>
          <w:szCs w:val="20"/>
        </w:rPr>
      </w:pPr>
    </w:p>
    <w:p w:rsidR="00DA5EEA" w:rsidRPr="000154E6" w:rsidRDefault="000154E6" w:rsidP="00DA5EEA">
      <w:pPr>
        <w:rPr>
          <w:rFonts w:ascii="Arial" w:hAnsi="Arial" w:cs="Arial"/>
          <w:b/>
          <w:sz w:val="22"/>
          <w:szCs w:val="22"/>
        </w:rPr>
      </w:pPr>
      <w:r w:rsidRPr="000154E6">
        <w:rPr>
          <w:rFonts w:ascii="Arial" w:hAnsi="Arial" w:cs="Arial"/>
          <w:b/>
          <w:sz w:val="22"/>
          <w:szCs w:val="22"/>
        </w:rPr>
        <w:t xml:space="preserve"> Tisztelt Képviselő- testület!</w:t>
      </w:r>
    </w:p>
    <w:p w:rsidR="000154E6" w:rsidRDefault="000154E6" w:rsidP="00DA5EEA">
      <w:pPr>
        <w:rPr>
          <w:rFonts w:ascii="Arial" w:hAnsi="Arial" w:cs="Arial"/>
          <w:sz w:val="20"/>
          <w:szCs w:val="20"/>
        </w:rPr>
      </w:pPr>
    </w:p>
    <w:p w:rsidR="000154E6" w:rsidRDefault="000154E6" w:rsidP="00DA5EEA">
      <w:pPr>
        <w:rPr>
          <w:rFonts w:ascii="Arial" w:hAnsi="Arial" w:cs="Arial"/>
          <w:sz w:val="20"/>
          <w:szCs w:val="20"/>
        </w:rPr>
      </w:pPr>
    </w:p>
    <w:p w:rsidR="000154E6" w:rsidRPr="008D3905" w:rsidRDefault="000154E6" w:rsidP="00DA5EEA">
      <w:pPr>
        <w:rPr>
          <w:rFonts w:ascii="Arial" w:hAnsi="Arial" w:cs="Arial"/>
          <w:sz w:val="20"/>
          <w:szCs w:val="20"/>
        </w:rPr>
      </w:pPr>
    </w:p>
    <w:p w:rsidR="002903B6" w:rsidRPr="00AC2064" w:rsidRDefault="002903B6" w:rsidP="002903B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2064">
        <w:rPr>
          <w:rFonts w:ascii="Arial" w:hAnsi="Arial" w:cs="Arial"/>
          <w:sz w:val="22"/>
          <w:szCs w:val="22"/>
        </w:rPr>
        <w:t>A gyermekek védelméről és a gyámügyi igazgatásról szóló 1997. évi XXXI. törvény (a továbbiakban: Gyvt.) 29. §-</w:t>
      </w:r>
      <w:proofErr w:type="gramStart"/>
      <w:r w:rsidRPr="00AC2064">
        <w:rPr>
          <w:rFonts w:ascii="Arial" w:hAnsi="Arial" w:cs="Arial"/>
          <w:sz w:val="22"/>
          <w:szCs w:val="22"/>
        </w:rPr>
        <w:t>a</w:t>
      </w:r>
      <w:proofErr w:type="gramEnd"/>
      <w:r w:rsidRPr="00AC2064">
        <w:rPr>
          <w:rFonts w:ascii="Arial" w:hAnsi="Arial" w:cs="Arial"/>
          <w:sz w:val="22"/>
          <w:szCs w:val="22"/>
        </w:rPr>
        <w:t xml:space="preserve"> alapján, </w:t>
      </w:r>
      <w:r w:rsidRPr="00AC20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Pr="00AC2064">
        <w:rPr>
          <w:rFonts w:ascii="Arial" w:hAnsi="Arial" w:cs="Arial"/>
          <w:sz w:val="22"/>
          <w:szCs w:val="22"/>
        </w:rPr>
        <w:t xml:space="preserve">A társulási megállapodás III./3.2. </w:t>
      </w:r>
      <w:proofErr w:type="gramStart"/>
      <w:r w:rsidRPr="00AC2064">
        <w:rPr>
          <w:rFonts w:ascii="Arial" w:hAnsi="Arial" w:cs="Arial"/>
          <w:sz w:val="22"/>
          <w:szCs w:val="22"/>
        </w:rPr>
        <w:t>pontjában</w:t>
      </w:r>
      <w:proofErr w:type="gramEnd"/>
      <w:r w:rsidRPr="00AC2064">
        <w:rPr>
          <w:rFonts w:ascii="Arial" w:hAnsi="Arial" w:cs="Arial"/>
          <w:sz w:val="22"/>
          <w:szCs w:val="22"/>
        </w:rPr>
        <w:t xml:space="preserve"> foglaltak alapján Bátaszékre és Alsónyékre vonatkozóan Bátaszék Város Önkormányzatának Képviselő-testülete alkot a gyermekjóléti alapellátás keretében biztosított gyermekek napközbeni ellátásáért fizetendő térítési díjakról rendeletet, míg Alsónánára és Pörbölyre vonatkozóan az adott község képviselő-testülete. </w:t>
      </w:r>
    </w:p>
    <w:p w:rsidR="002903B6" w:rsidRPr="00AC2064" w:rsidRDefault="002903B6" w:rsidP="002903B6">
      <w:pPr>
        <w:jc w:val="both"/>
        <w:rPr>
          <w:rFonts w:ascii="Arial" w:hAnsi="Arial" w:cs="Arial"/>
          <w:sz w:val="22"/>
          <w:szCs w:val="22"/>
        </w:rPr>
      </w:pPr>
    </w:p>
    <w:p w:rsidR="002903B6" w:rsidRPr="00212E5D" w:rsidRDefault="002903B6" w:rsidP="002903B6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AC2064">
        <w:rPr>
          <w:rFonts w:ascii="Arial" w:hAnsi="Arial" w:cs="Arial"/>
          <w:sz w:val="22"/>
          <w:szCs w:val="22"/>
        </w:rPr>
        <w:t xml:space="preserve">Utoljára 2020. szeptember 1. napjától a képviselő- testület döntése alapján </w:t>
      </w:r>
      <w:r w:rsidRPr="00AC2064">
        <w:rPr>
          <w:rFonts w:ascii="Arial" w:hAnsi="Arial" w:cs="Arial"/>
          <w:sz w:val="22"/>
          <w:szCs w:val="22"/>
          <w:u w:val="single"/>
        </w:rPr>
        <w:t>kizárólag a felnőtt étkezés térítési díja került megemelésre +8,49%-</w:t>
      </w:r>
      <w:proofErr w:type="spellStart"/>
      <w:r w:rsidRPr="00AC2064">
        <w:rPr>
          <w:rFonts w:ascii="Arial" w:hAnsi="Arial" w:cs="Arial"/>
          <w:sz w:val="22"/>
          <w:szCs w:val="22"/>
          <w:u w:val="single"/>
        </w:rPr>
        <w:t>kal</w:t>
      </w:r>
      <w:proofErr w:type="spellEnd"/>
      <w:r w:rsidRPr="00AC2064">
        <w:rPr>
          <w:rFonts w:ascii="Arial" w:hAnsi="Arial" w:cs="Arial"/>
          <w:sz w:val="22"/>
          <w:szCs w:val="22"/>
          <w:u w:val="single"/>
        </w:rPr>
        <w:t>.</w:t>
      </w:r>
      <w:r w:rsidRPr="00AC2064">
        <w:rPr>
          <w:rFonts w:ascii="Arial" w:hAnsi="Arial" w:cs="Arial"/>
          <w:sz w:val="22"/>
          <w:szCs w:val="22"/>
        </w:rPr>
        <w:t xml:space="preserve"> A képviselő- testület a gyermekétkeztetés térítési díjait változatlanul hagyta és az ebből adódó bevétel kiesés fedezetét az önkormányzat költségvetésében saját forrásból biztosította.</w:t>
      </w:r>
    </w:p>
    <w:p w:rsidR="002903B6" w:rsidRPr="00977DEA" w:rsidRDefault="00787C9A" w:rsidP="00113F0D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Konyha működéséről a veszélyhelyzetek ideje alatt többször beszámoltunk a Képviselő- testületnek. </w:t>
      </w:r>
      <w:r w:rsidR="001C3BC6">
        <w:rPr>
          <w:rFonts w:ascii="Arial" w:hAnsi="Arial" w:cs="Arial"/>
          <w:sz w:val="22"/>
          <w:szCs w:val="22"/>
        </w:rPr>
        <w:t xml:space="preserve">A vírushelyzet és a nevelési- oktatási intézmények időszakos zárva tartása jelentősen befolyásolta a Konyha működését, </w:t>
      </w:r>
      <w:r w:rsidR="00C174CF">
        <w:rPr>
          <w:rFonts w:ascii="Arial" w:hAnsi="Arial" w:cs="Arial"/>
          <w:sz w:val="22"/>
          <w:szCs w:val="22"/>
        </w:rPr>
        <w:t xml:space="preserve">a napi </w:t>
      </w:r>
      <w:r w:rsidR="00960DFB">
        <w:rPr>
          <w:rFonts w:ascii="Arial" w:hAnsi="Arial" w:cs="Arial"/>
          <w:sz w:val="22"/>
          <w:szCs w:val="22"/>
        </w:rPr>
        <w:t xml:space="preserve">lefőzendő </w:t>
      </w:r>
      <w:r w:rsidR="00C174CF">
        <w:rPr>
          <w:rFonts w:ascii="Arial" w:hAnsi="Arial" w:cs="Arial"/>
          <w:sz w:val="22"/>
          <w:szCs w:val="22"/>
        </w:rPr>
        <w:t>adagszámok</w:t>
      </w:r>
      <w:r w:rsidR="007E5872">
        <w:rPr>
          <w:rFonts w:ascii="Arial" w:hAnsi="Arial" w:cs="Arial"/>
          <w:sz w:val="22"/>
          <w:szCs w:val="22"/>
        </w:rPr>
        <w:t xml:space="preserve"> </w:t>
      </w:r>
      <w:r w:rsidR="00960DFB">
        <w:rPr>
          <w:rFonts w:ascii="Arial" w:hAnsi="Arial" w:cs="Arial"/>
          <w:sz w:val="22"/>
          <w:szCs w:val="22"/>
        </w:rPr>
        <w:t>alakulásá</w:t>
      </w:r>
      <w:r w:rsidR="00C174CF">
        <w:rPr>
          <w:rFonts w:ascii="Arial" w:hAnsi="Arial" w:cs="Arial"/>
          <w:sz w:val="22"/>
          <w:szCs w:val="22"/>
        </w:rPr>
        <w:t xml:space="preserve">t. </w:t>
      </w:r>
      <w:r w:rsidR="00C174CF" w:rsidRPr="00425361">
        <w:rPr>
          <w:rFonts w:ascii="Arial" w:hAnsi="Arial" w:cs="Arial"/>
          <w:sz w:val="22"/>
          <w:szCs w:val="22"/>
          <w:u w:val="single"/>
        </w:rPr>
        <w:t>Magasabb szintű jogszabályi rendelkezés következtében először 2021. december 31-ig, majd 2022. június 30. napjáig nem volt lehet</w:t>
      </w:r>
      <w:r w:rsidR="007E5872" w:rsidRPr="00425361">
        <w:rPr>
          <w:rFonts w:ascii="Arial" w:hAnsi="Arial" w:cs="Arial"/>
          <w:sz w:val="22"/>
          <w:szCs w:val="22"/>
          <w:u w:val="single"/>
        </w:rPr>
        <w:t>őség a térítési díjak emelésére</w:t>
      </w:r>
      <w:r w:rsidR="007E5872">
        <w:rPr>
          <w:rFonts w:ascii="Arial" w:hAnsi="Arial" w:cs="Arial"/>
          <w:sz w:val="22"/>
          <w:szCs w:val="22"/>
        </w:rPr>
        <w:t>, holott a 2022-es nyersanyag besz</w:t>
      </w:r>
      <w:r w:rsidR="00AF525E">
        <w:rPr>
          <w:rFonts w:ascii="Arial" w:hAnsi="Arial" w:cs="Arial"/>
          <w:sz w:val="22"/>
          <w:szCs w:val="22"/>
        </w:rPr>
        <w:t>e</w:t>
      </w:r>
      <w:r w:rsidR="007E5872">
        <w:rPr>
          <w:rFonts w:ascii="Arial" w:hAnsi="Arial" w:cs="Arial"/>
          <w:sz w:val="22"/>
          <w:szCs w:val="22"/>
        </w:rPr>
        <w:t>rzési eljárás eredményeként már</w:t>
      </w:r>
      <w:r w:rsidR="00113F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3F0D">
        <w:rPr>
          <w:rFonts w:ascii="Arial" w:hAnsi="Arial" w:cs="Arial"/>
          <w:sz w:val="22"/>
          <w:szCs w:val="22"/>
        </w:rPr>
        <w:t>2021. novemberében</w:t>
      </w:r>
      <w:proofErr w:type="gramEnd"/>
      <w:r w:rsidR="007E5872">
        <w:rPr>
          <w:rFonts w:ascii="Arial" w:hAnsi="Arial" w:cs="Arial"/>
          <w:sz w:val="22"/>
          <w:szCs w:val="22"/>
        </w:rPr>
        <w:t xml:space="preserve"> </w:t>
      </w:r>
      <w:r w:rsidR="00AF525E">
        <w:rPr>
          <w:rFonts w:ascii="Arial" w:hAnsi="Arial" w:cs="Arial"/>
          <w:sz w:val="22"/>
          <w:szCs w:val="22"/>
        </w:rPr>
        <w:t xml:space="preserve">látható volt, hogy </w:t>
      </w:r>
      <w:r w:rsidR="00113F0D">
        <w:rPr>
          <w:rFonts w:ascii="Arial" w:hAnsi="Arial" w:cs="Arial"/>
          <w:sz w:val="22"/>
          <w:szCs w:val="22"/>
        </w:rPr>
        <w:t>január 1-től a térítési díjak mintegy 20 %-</w:t>
      </w:r>
      <w:proofErr w:type="spellStart"/>
      <w:r w:rsidR="00113F0D">
        <w:rPr>
          <w:rFonts w:ascii="Arial" w:hAnsi="Arial" w:cs="Arial"/>
          <w:sz w:val="22"/>
          <w:szCs w:val="22"/>
        </w:rPr>
        <w:t>os</w:t>
      </w:r>
      <w:proofErr w:type="spellEnd"/>
      <w:r w:rsidR="00113F0D">
        <w:rPr>
          <w:rFonts w:ascii="Arial" w:hAnsi="Arial" w:cs="Arial"/>
          <w:sz w:val="22"/>
          <w:szCs w:val="22"/>
        </w:rPr>
        <w:t xml:space="preserve"> emelésére lenne szükség. </w:t>
      </w:r>
      <w:r w:rsidR="00500C8F">
        <w:rPr>
          <w:rFonts w:ascii="Arial" w:hAnsi="Arial" w:cs="Arial"/>
          <w:sz w:val="22"/>
          <w:szCs w:val="22"/>
        </w:rPr>
        <w:t xml:space="preserve">Időközben a </w:t>
      </w:r>
      <w:r w:rsidR="00500C8F">
        <w:rPr>
          <w:rFonts w:ascii="Arial" w:hAnsi="Arial" w:cs="Arial"/>
          <w:sz w:val="22"/>
          <w:szCs w:val="22"/>
        </w:rPr>
        <w:lastRenderedPageBreak/>
        <w:t>helyzet rosszabbodott, s</w:t>
      </w:r>
      <w:r w:rsidR="00050077">
        <w:rPr>
          <w:rFonts w:ascii="Arial" w:hAnsi="Arial" w:cs="Arial"/>
          <w:sz w:val="22"/>
          <w:szCs w:val="22"/>
        </w:rPr>
        <w:t>zinte minden beszállító az árai</w:t>
      </w:r>
      <w:r w:rsidR="00500C8F">
        <w:rPr>
          <w:rFonts w:ascii="Arial" w:hAnsi="Arial" w:cs="Arial"/>
          <w:sz w:val="22"/>
          <w:szCs w:val="22"/>
        </w:rPr>
        <w:t>t megemelte a jelenlegi piaci helyzet</w:t>
      </w:r>
      <w:r w:rsidR="00050077">
        <w:rPr>
          <w:rFonts w:ascii="Arial" w:hAnsi="Arial" w:cs="Arial"/>
          <w:sz w:val="22"/>
          <w:szCs w:val="22"/>
        </w:rPr>
        <w:t>re hivatkozva, melyről igazgató</w:t>
      </w:r>
      <w:r w:rsidR="00500C8F">
        <w:rPr>
          <w:rFonts w:ascii="Arial" w:hAnsi="Arial" w:cs="Arial"/>
          <w:sz w:val="22"/>
          <w:szCs w:val="22"/>
        </w:rPr>
        <w:t xml:space="preserve"> asszony részletesen beszámol az előterjesztés 1. </w:t>
      </w:r>
      <w:r w:rsidR="003B0C67">
        <w:rPr>
          <w:rFonts w:ascii="Arial" w:hAnsi="Arial" w:cs="Arial"/>
          <w:sz w:val="22"/>
          <w:szCs w:val="22"/>
        </w:rPr>
        <w:t xml:space="preserve">számú </w:t>
      </w:r>
      <w:r w:rsidR="00500C8F">
        <w:rPr>
          <w:rFonts w:ascii="Arial" w:hAnsi="Arial" w:cs="Arial"/>
          <w:sz w:val="22"/>
          <w:szCs w:val="22"/>
        </w:rPr>
        <w:t xml:space="preserve">mellékletét képező </w:t>
      </w:r>
      <w:r w:rsidR="00107D8C">
        <w:rPr>
          <w:rFonts w:ascii="Arial" w:hAnsi="Arial" w:cs="Arial"/>
          <w:sz w:val="22"/>
          <w:szCs w:val="22"/>
        </w:rPr>
        <w:t>tájékoztatójában.</w:t>
      </w:r>
    </w:p>
    <w:p w:rsidR="002903B6" w:rsidRPr="00977DEA" w:rsidRDefault="00425361" w:rsidP="008C0E5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Mindezekre tekintettel az igazgató asszony az élelmezés</w:t>
      </w:r>
      <w:r w:rsidR="003B0C67">
        <w:rPr>
          <w:rFonts w:ascii="Arial" w:hAnsi="Arial" w:cs="Arial"/>
          <w:sz w:val="22"/>
          <w:szCs w:val="22"/>
        </w:rPr>
        <w:t>vezető</w:t>
      </w:r>
      <w:r w:rsidR="009E2AAA">
        <w:rPr>
          <w:rFonts w:ascii="Arial" w:hAnsi="Arial" w:cs="Arial"/>
          <w:sz w:val="22"/>
          <w:szCs w:val="22"/>
        </w:rPr>
        <w:t xml:space="preserve"> és a pénzügyi iroda kimutatásait</w:t>
      </w:r>
      <w:r w:rsidR="003B0C67">
        <w:rPr>
          <w:rFonts w:ascii="Arial" w:hAnsi="Arial" w:cs="Arial"/>
          <w:sz w:val="22"/>
          <w:szCs w:val="22"/>
        </w:rPr>
        <w:t xml:space="preserve"> figyelembe véve javasolja a térítési díjak emelését az előterjesztés 2. számú mellékletét képező levelében. ( Az élelmezésvezető javaslata a 3. számú melléklet, a </w:t>
      </w:r>
      <w:r w:rsidR="009E2AAA">
        <w:rPr>
          <w:rFonts w:ascii="Arial" w:hAnsi="Arial" w:cs="Arial"/>
          <w:sz w:val="22"/>
          <w:szCs w:val="22"/>
        </w:rPr>
        <w:t>pénzügyi iroda kimutatása a 4. számú melléklet.)</w:t>
      </w:r>
      <w:r w:rsidR="003B0C67">
        <w:rPr>
          <w:rFonts w:ascii="Arial" w:hAnsi="Arial" w:cs="Arial"/>
          <w:sz w:val="22"/>
          <w:szCs w:val="22"/>
        </w:rPr>
        <w:t xml:space="preserve"> </w:t>
      </w:r>
    </w:p>
    <w:p w:rsidR="002903B6" w:rsidRPr="00977DEA" w:rsidRDefault="002903B6" w:rsidP="002903B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903B6" w:rsidRPr="00977DEA" w:rsidRDefault="008C0E54" w:rsidP="002903B6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="002903B6" w:rsidRPr="00977DEA">
        <w:rPr>
          <w:rFonts w:ascii="Arial" w:hAnsi="Arial" w:cs="Arial"/>
          <w:sz w:val="22"/>
          <w:szCs w:val="22"/>
          <w:u w:val="single"/>
        </w:rPr>
        <w:t xml:space="preserve"> térí</w:t>
      </w:r>
      <w:r>
        <w:rPr>
          <w:rFonts w:ascii="Arial" w:hAnsi="Arial" w:cs="Arial"/>
          <w:sz w:val="22"/>
          <w:szCs w:val="22"/>
          <w:u w:val="single"/>
        </w:rPr>
        <w:t xml:space="preserve">tési </w:t>
      </w:r>
      <w:proofErr w:type="gramStart"/>
      <w:r>
        <w:rPr>
          <w:rFonts w:ascii="Arial" w:hAnsi="Arial" w:cs="Arial"/>
          <w:sz w:val="22"/>
          <w:szCs w:val="22"/>
          <w:u w:val="single"/>
        </w:rPr>
        <w:t>díj emelési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javaslat a következő</w:t>
      </w:r>
      <w:r w:rsidR="002903B6" w:rsidRPr="00977DEA">
        <w:rPr>
          <w:rFonts w:ascii="Arial" w:hAnsi="Arial" w:cs="Arial"/>
          <w:sz w:val="22"/>
          <w:szCs w:val="22"/>
          <w:u w:val="single"/>
        </w:rPr>
        <w:t>:</w:t>
      </w:r>
    </w:p>
    <w:p w:rsidR="002903B6" w:rsidRPr="00977DEA" w:rsidRDefault="002903B6" w:rsidP="002903B6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417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410"/>
        <w:gridCol w:w="3261"/>
      </w:tblGrid>
      <w:tr w:rsidR="002903B6" w:rsidRPr="00977DEA" w:rsidTr="00CE5A5D">
        <w:trPr>
          <w:trHeight w:val="486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2903B6" w:rsidP="00CE5A5D">
            <w:pPr>
              <w:snapToGrid w:val="0"/>
              <w:spacing w:before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sz w:val="22"/>
                <w:szCs w:val="22"/>
              </w:rPr>
              <w:t>Térítési díj összege jelenleg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903B6" w:rsidRPr="00977DEA" w:rsidRDefault="002903B6" w:rsidP="00CE5A5D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sz w:val="22"/>
                <w:szCs w:val="22"/>
              </w:rPr>
              <w:t>Térítési díj javasolt összege 2022.</w:t>
            </w:r>
            <w:r w:rsidR="00DB70A1">
              <w:rPr>
                <w:rFonts w:ascii="Arial" w:hAnsi="Arial" w:cs="Arial"/>
                <w:b/>
                <w:sz w:val="22"/>
                <w:szCs w:val="22"/>
              </w:rPr>
              <w:t xml:space="preserve"> augusztus 1</w:t>
            </w:r>
            <w:r w:rsidRPr="00977DEA">
              <w:rPr>
                <w:rFonts w:ascii="Arial" w:hAnsi="Arial" w:cs="Arial"/>
                <w:b/>
                <w:sz w:val="22"/>
                <w:szCs w:val="22"/>
              </w:rPr>
              <w:t>-től</w:t>
            </w:r>
          </w:p>
        </w:tc>
      </w:tr>
      <w:tr w:rsidR="002903B6" w:rsidRPr="00977DEA" w:rsidTr="00CE5A5D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2903B6" w:rsidP="00CE5A5D">
            <w:pPr>
              <w:snapToGrid w:val="0"/>
              <w:spacing w:before="119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ellátási körzetbe tartozó bölcsődés </w:t>
            </w:r>
          </w:p>
          <w:p w:rsidR="002903B6" w:rsidRPr="00977DEA" w:rsidRDefault="002903B6" w:rsidP="00CE5A5D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(reggeli-tízórai-ebéd uzsonna)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311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1C673F" w:rsidP="00CE5A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461</w:t>
            </w:r>
            <w:r w:rsidR="002903B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2903B6" w:rsidRPr="00977DEA" w:rsidTr="00CE5A5D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2903B6" w:rsidP="00CE5A5D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óvoda </w:t>
            </w:r>
          </w:p>
          <w:p w:rsidR="002903B6" w:rsidRPr="00977DEA" w:rsidRDefault="002903B6" w:rsidP="00CE5A5D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362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1C673F" w:rsidP="00CE5A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549</w:t>
            </w:r>
            <w:r w:rsidR="002903B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2903B6" w:rsidRPr="00977DEA" w:rsidTr="00CE5A5D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bölcsőde, óvoda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274 Ft/fő/nap +ÁFA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1C673F" w:rsidP="00CE5A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430</w:t>
            </w:r>
            <w:r w:rsidR="002903B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+ÁFA</w:t>
            </w:r>
          </w:p>
        </w:tc>
      </w:tr>
      <w:tr w:rsidR="002903B6" w:rsidRPr="00977DEA" w:rsidTr="00CE5A5D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2903B6" w:rsidP="00CE5A5D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ált. iskolai tanuló </w:t>
            </w:r>
          </w:p>
          <w:p w:rsidR="002903B6" w:rsidRPr="00977DEA" w:rsidRDefault="002903B6" w:rsidP="00CE5A5D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456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1C673F" w:rsidP="00CE5A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716</w:t>
            </w:r>
            <w:r w:rsidR="002903B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2903B6" w:rsidRPr="00977DEA" w:rsidTr="00CE5A5D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2903B6" w:rsidP="00CE5A5D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általános iskolai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274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1C673F" w:rsidP="00CE5A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430</w:t>
            </w:r>
            <w:r w:rsidR="002903B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2903B6" w:rsidRPr="00977DEA" w:rsidTr="00CE5A5D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2903B6" w:rsidP="00CE5A5D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gimnáziumi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318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1C673F" w:rsidP="00CE5A5D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514</w:t>
            </w:r>
            <w:r w:rsidR="002903B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2903B6" w:rsidRPr="00977DEA" w:rsidTr="00CE5A5D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felnőtt ebéd,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903B6" w:rsidRPr="00977DEA" w:rsidRDefault="002903B6" w:rsidP="00CE5A5D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621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03B6" w:rsidRPr="00977DEA" w:rsidRDefault="005477F6" w:rsidP="00CE5A5D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1130</w:t>
            </w:r>
            <w:r w:rsidR="002903B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:rsidR="002903B6" w:rsidRPr="00977DEA" w:rsidRDefault="002903B6" w:rsidP="002903B6">
      <w:pPr>
        <w:spacing w:after="120"/>
        <w:rPr>
          <w:rFonts w:ascii="Arial" w:hAnsi="Arial" w:cs="Arial"/>
          <w:sz w:val="22"/>
          <w:szCs w:val="22"/>
        </w:rPr>
      </w:pPr>
    </w:p>
    <w:p w:rsidR="00E324A6" w:rsidRPr="00A55BED" w:rsidRDefault="00E324A6" w:rsidP="00E324A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E324A6">
        <w:rPr>
          <w:rFonts w:ascii="Arial" w:hAnsi="Arial" w:cs="Arial"/>
          <w:b/>
          <w:sz w:val="22"/>
          <w:szCs w:val="22"/>
        </w:rPr>
        <w:t>A verzió:</w:t>
      </w:r>
      <w:r>
        <w:rPr>
          <w:rFonts w:ascii="Arial" w:hAnsi="Arial" w:cs="Arial"/>
          <w:sz w:val="22"/>
          <w:szCs w:val="22"/>
        </w:rPr>
        <w:t xml:space="preserve"> </w:t>
      </w:r>
      <w:r w:rsidR="00173A28" w:rsidRPr="00A55BED">
        <w:rPr>
          <w:rFonts w:ascii="Arial" w:hAnsi="Arial" w:cs="Arial"/>
          <w:sz w:val="22"/>
          <w:szCs w:val="22"/>
        </w:rPr>
        <w:t>A pénzügyi iroda álta</w:t>
      </w:r>
      <w:r w:rsidR="00173A28">
        <w:rPr>
          <w:rFonts w:ascii="Arial" w:hAnsi="Arial" w:cs="Arial"/>
          <w:sz w:val="22"/>
          <w:szCs w:val="22"/>
        </w:rPr>
        <w:t>l készített</w:t>
      </w:r>
      <w:r w:rsidR="00173A28" w:rsidRPr="00A55BED">
        <w:rPr>
          <w:rFonts w:ascii="Arial" w:hAnsi="Arial" w:cs="Arial"/>
          <w:sz w:val="22"/>
          <w:szCs w:val="22"/>
        </w:rPr>
        <w:t xml:space="preserve"> kimutatásból látszik, hogy </w:t>
      </w:r>
      <w:r w:rsidR="00173A28">
        <w:rPr>
          <w:rFonts w:ascii="Arial" w:hAnsi="Arial" w:cs="Arial"/>
          <w:sz w:val="22"/>
          <w:szCs w:val="22"/>
        </w:rPr>
        <w:t>a</w:t>
      </w:r>
      <w:r w:rsidRPr="00A55BED">
        <w:rPr>
          <w:rFonts w:ascii="Arial" w:hAnsi="Arial" w:cs="Arial"/>
          <w:sz w:val="22"/>
          <w:szCs w:val="22"/>
        </w:rPr>
        <w:t xml:space="preserve">mennyiben az önkormányzat </w:t>
      </w:r>
      <w:r>
        <w:rPr>
          <w:rFonts w:ascii="Arial" w:hAnsi="Arial" w:cs="Arial"/>
          <w:b/>
          <w:bCs/>
          <w:sz w:val="22"/>
          <w:szCs w:val="22"/>
        </w:rPr>
        <w:t>a térítési díjakat</w:t>
      </w:r>
      <w:r w:rsidRPr="00A55BED">
        <w:rPr>
          <w:rFonts w:ascii="Arial" w:hAnsi="Arial" w:cs="Arial"/>
          <w:b/>
          <w:bCs/>
          <w:sz w:val="22"/>
          <w:szCs w:val="22"/>
        </w:rPr>
        <w:t xml:space="preserve"> ne</w:t>
      </w:r>
      <w:r>
        <w:rPr>
          <w:rFonts w:ascii="Arial" w:hAnsi="Arial" w:cs="Arial"/>
          <w:b/>
          <w:bCs/>
          <w:sz w:val="22"/>
          <w:szCs w:val="22"/>
        </w:rPr>
        <w:t xml:space="preserve">m </w:t>
      </w:r>
      <w:r w:rsidRPr="00A55BED">
        <w:rPr>
          <w:rFonts w:ascii="Arial" w:hAnsi="Arial" w:cs="Arial"/>
          <w:b/>
          <w:bCs/>
          <w:sz w:val="22"/>
          <w:szCs w:val="22"/>
        </w:rPr>
        <w:t>emelni</w:t>
      </w:r>
      <w:r>
        <w:rPr>
          <w:rFonts w:ascii="Arial" w:hAnsi="Arial" w:cs="Arial"/>
          <w:b/>
          <w:bCs/>
          <w:sz w:val="22"/>
          <w:szCs w:val="22"/>
        </w:rPr>
        <w:t xml:space="preserve"> meg</w:t>
      </w:r>
      <w:r w:rsidRPr="00A55BE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55BED">
        <w:rPr>
          <w:rFonts w:ascii="Arial" w:hAnsi="Arial" w:cs="Arial"/>
          <w:sz w:val="22"/>
          <w:szCs w:val="22"/>
        </w:rPr>
        <w:t>az önkormányzatnak</w:t>
      </w:r>
      <w:r w:rsidR="00D128CB">
        <w:rPr>
          <w:rFonts w:ascii="Arial" w:hAnsi="Arial" w:cs="Arial"/>
          <w:sz w:val="22"/>
          <w:szCs w:val="22"/>
        </w:rPr>
        <w:t xml:space="preserve"> a jelenleg ismert mintegy 8 millió forint veszteségfinanszírozáson </w:t>
      </w:r>
      <w:proofErr w:type="spellStart"/>
      <w:r w:rsidR="00D128CB">
        <w:rPr>
          <w:rFonts w:ascii="Arial" w:hAnsi="Arial" w:cs="Arial"/>
          <w:sz w:val="22"/>
          <w:szCs w:val="22"/>
        </w:rPr>
        <w:t>fellül</w:t>
      </w:r>
      <w:proofErr w:type="spellEnd"/>
      <w:r>
        <w:rPr>
          <w:rFonts w:ascii="Arial" w:hAnsi="Arial" w:cs="Arial"/>
          <w:sz w:val="22"/>
          <w:szCs w:val="22"/>
        </w:rPr>
        <w:t xml:space="preserve"> további</w:t>
      </w:r>
      <w:r w:rsidRPr="00A55BED">
        <w:rPr>
          <w:rFonts w:ascii="Arial" w:hAnsi="Arial" w:cs="Arial"/>
          <w:sz w:val="22"/>
          <w:szCs w:val="22"/>
        </w:rPr>
        <w:t xml:space="preserve"> </w:t>
      </w:r>
      <w:r w:rsidRPr="00E02960">
        <w:rPr>
          <w:rFonts w:ascii="Arial" w:hAnsi="Arial" w:cs="Arial"/>
          <w:b/>
          <w:sz w:val="22"/>
          <w:szCs w:val="22"/>
        </w:rPr>
        <w:t>13 788 825</w:t>
      </w:r>
      <w:r w:rsidRPr="00A55BED">
        <w:rPr>
          <w:rFonts w:ascii="Arial" w:hAnsi="Arial" w:cs="Arial"/>
          <w:sz w:val="22"/>
          <w:szCs w:val="22"/>
        </w:rPr>
        <w:t xml:space="preserve"> </w:t>
      </w:r>
      <w:r w:rsidRPr="00A55BED">
        <w:rPr>
          <w:rFonts w:ascii="Arial" w:hAnsi="Arial" w:cs="Arial"/>
          <w:b/>
          <w:bCs/>
          <w:sz w:val="22"/>
          <w:szCs w:val="22"/>
        </w:rPr>
        <w:t>Ft saját forrást</w:t>
      </w:r>
      <w:r w:rsidRPr="00A55BED">
        <w:rPr>
          <w:rFonts w:ascii="Arial" w:hAnsi="Arial" w:cs="Arial"/>
          <w:sz w:val="22"/>
          <w:szCs w:val="22"/>
        </w:rPr>
        <w:t xml:space="preserve"> kell hozzájárulásként átadnia az étkeztetés biztosításához. </w:t>
      </w:r>
      <w:r w:rsidR="00173A28">
        <w:rPr>
          <w:rFonts w:ascii="Arial" w:hAnsi="Arial" w:cs="Arial"/>
          <w:sz w:val="22"/>
          <w:szCs w:val="22"/>
        </w:rPr>
        <w:t>Ebben az esetben a határozati javaslat elfog</w:t>
      </w:r>
      <w:r w:rsidR="00477418">
        <w:rPr>
          <w:rFonts w:ascii="Arial" w:hAnsi="Arial" w:cs="Arial"/>
          <w:sz w:val="22"/>
          <w:szCs w:val="22"/>
        </w:rPr>
        <w:t>ására van szükség, melyben a képviselő- testület</w:t>
      </w:r>
      <w:r w:rsidR="003132C1">
        <w:rPr>
          <w:rFonts w:ascii="Arial" w:hAnsi="Arial" w:cs="Arial"/>
          <w:sz w:val="22"/>
          <w:szCs w:val="22"/>
        </w:rPr>
        <w:t>nek</w:t>
      </w:r>
      <w:r w:rsidR="00477418">
        <w:rPr>
          <w:rFonts w:ascii="Arial" w:hAnsi="Arial" w:cs="Arial"/>
          <w:sz w:val="22"/>
          <w:szCs w:val="22"/>
        </w:rPr>
        <w:t xml:space="preserve"> a 13 788</w:t>
      </w:r>
      <w:r w:rsidR="003132C1">
        <w:rPr>
          <w:rFonts w:ascii="Arial" w:hAnsi="Arial" w:cs="Arial"/>
          <w:sz w:val="22"/>
          <w:szCs w:val="22"/>
        </w:rPr>
        <w:t> 825 Ft saját forrást biztosítania kellene</w:t>
      </w:r>
      <w:r w:rsidR="004A2D1B">
        <w:rPr>
          <w:rFonts w:ascii="Arial" w:hAnsi="Arial" w:cs="Arial"/>
          <w:sz w:val="22"/>
          <w:szCs w:val="22"/>
        </w:rPr>
        <w:t>, melynek fedezete nem áll rendelkezésre a 2022. évi költségvetésben</w:t>
      </w:r>
      <w:r w:rsidR="00477418">
        <w:rPr>
          <w:rFonts w:ascii="Arial" w:hAnsi="Arial" w:cs="Arial"/>
          <w:sz w:val="22"/>
          <w:szCs w:val="22"/>
        </w:rPr>
        <w:t>.</w:t>
      </w:r>
    </w:p>
    <w:p w:rsidR="002903B6" w:rsidRPr="00A55BED" w:rsidRDefault="00E324A6" w:rsidP="002903B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E324A6">
        <w:rPr>
          <w:rFonts w:ascii="Arial" w:hAnsi="Arial" w:cs="Arial"/>
          <w:b/>
          <w:sz w:val="22"/>
          <w:szCs w:val="22"/>
        </w:rPr>
        <w:t>B verzió:</w:t>
      </w:r>
      <w:r>
        <w:rPr>
          <w:rFonts w:ascii="Arial" w:hAnsi="Arial" w:cs="Arial"/>
          <w:sz w:val="22"/>
          <w:szCs w:val="22"/>
        </w:rPr>
        <w:t xml:space="preserve"> </w:t>
      </w:r>
      <w:r w:rsidR="00173A28">
        <w:rPr>
          <w:rFonts w:ascii="Arial" w:hAnsi="Arial" w:cs="Arial"/>
          <w:sz w:val="22"/>
          <w:szCs w:val="22"/>
        </w:rPr>
        <w:t>A</w:t>
      </w:r>
      <w:r w:rsidR="002903B6" w:rsidRPr="00A55BED">
        <w:rPr>
          <w:rFonts w:ascii="Arial" w:hAnsi="Arial" w:cs="Arial"/>
          <w:sz w:val="22"/>
          <w:szCs w:val="22"/>
        </w:rPr>
        <w:t xml:space="preserve"> térítési díjak – az</w:t>
      </w:r>
      <w:r w:rsidR="003D774F">
        <w:rPr>
          <w:rFonts w:ascii="Arial" w:hAnsi="Arial" w:cs="Arial"/>
          <w:sz w:val="22"/>
          <w:szCs w:val="22"/>
        </w:rPr>
        <w:t xml:space="preserve"> igazgató asszony és az</w:t>
      </w:r>
      <w:r w:rsidR="002903B6" w:rsidRPr="00A55BED">
        <w:rPr>
          <w:rFonts w:ascii="Arial" w:hAnsi="Arial" w:cs="Arial"/>
          <w:sz w:val="22"/>
          <w:szCs w:val="22"/>
        </w:rPr>
        <w:t xml:space="preserve"> élelmezésvezető javaslat</w:t>
      </w:r>
      <w:r w:rsidR="003D774F">
        <w:rPr>
          <w:rFonts w:ascii="Arial" w:hAnsi="Arial" w:cs="Arial"/>
          <w:sz w:val="22"/>
          <w:szCs w:val="22"/>
        </w:rPr>
        <w:t>á</w:t>
      </w:r>
      <w:r w:rsidR="002903B6" w:rsidRPr="00A55BED">
        <w:rPr>
          <w:rFonts w:ascii="Arial" w:hAnsi="Arial" w:cs="Arial"/>
          <w:sz w:val="22"/>
          <w:szCs w:val="22"/>
        </w:rPr>
        <w:t xml:space="preserve">nak megfelelően történő - </w:t>
      </w:r>
      <w:r w:rsidR="00BE1892">
        <w:rPr>
          <w:rFonts w:ascii="Arial" w:hAnsi="Arial" w:cs="Arial"/>
          <w:sz w:val="22"/>
          <w:szCs w:val="22"/>
          <w:u w:val="single"/>
        </w:rPr>
        <w:t xml:space="preserve">megemelése esetén </w:t>
      </w:r>
      <w:r w:rsidR="002903B6" w:rsidRPr="00A55BED">
        <w:rPr>
          <w:rFonts w:ascii="Arial" w:hAnsi="Arial" w:cs="Arial"/>
          <w:sz w:val="22"/>
          <w:szCs w:val="22"/>
        </w:rPr>
        <w:t xml:space="preserve">az önkormányzatnak </w:t>
      </w:r>
      <w:r w:rsidR="00BE1892">
        <w:rPr>
          <w:rFonts w:ascii="Arial" w:hAnsi="Arial" w:cs="Arial"/>
          <w:b/>
          <w:sz w:val="22"/>
          <w:szCs w:val="22"/>
        </w:rPr>
        <w:t xml:space="preserve">nem kell további </w:t>
      </w:r>
      <w:r w:rsidR="002903B6" w:rsidRPr="00A55BED">
        <w:rPr>
          <w:rFonts w:ascii="Arial" w:hAnsi="Arial" w:cs="Arial"/>
          <w:b/>
          <w:bCs/>
          <w:sz w:val="22"/>
          <w:szCs w:val="22"/>
        </w:rPr>
        <w:t>saját forrást</w:t>
      </w:r>
      <w:r w:rsidR="002903B6" w:rsidRPr="00A55BED">
        <w:rPr>
          <w:rFonts w:ascii="Arial" w:hAnsi="Arial" w:cs="Arial"/>
          <w:sz w:val="22"/>
          <w:szCs w:val="22"/>
        </w:rPr>
        <w:t xml:space="preserve"> hozzájárulásként átadnia az étkeztetés biztosításához. </w:t>
      </w:r>
    </w:p>
    <w:p w:rsidR="002903B6" w:rsidRPr="00977DEA" w:rsidRDefault="00044EC9" w:rsidP="002903B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térítési díj megemelésére irányuló rendelet tervezet elfogadása esetén az alábbiakra figyelemmel kell lenni:</w:t>
      </w:r>
    </w:p>
    <w:p w:rsidR="009D2D67" w:rsidRPr="00191291" w:rsidRDefault="009D2D67" w:rsidP="009D2D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91291">
        <w:rPr>
          <w:rFonts w:ascii="Arial" w:hAnsi="Arial" w:cs="Arial"/>
          <w:sz w:val="22"/>
          <w:szCs w:val="22"/>
        </w:rPr>
        <w:t xml:space="preserve">A Magyarország gazdasági </w:t>
      </w:r>
      <w:proofErr w:type="gramStart"/>
      <w:r w:rsidRPr="00191291">
        <w:rPr>
          <w:rFonts w:ascii="Arial" w:hAnsi="Arial" w:cs="Arial"/>
          <w:sz w:val="22"/>
          <w:szCs w:val="22"/>
        </w:rPr>
        <w:t>stabilitásáról</w:t>
      </w:r>
      <w:proofErr w:type="gramEnd"/>
      <w:r w:rsidRPr="00191291">
        <w:rPr>
          <w:rFonts w:ascii="Arial" w:hAnsi="Arial" w:cs="Arial"/>
          <w:sz w:val="22"/>
          <w:szCs w:val="22"/>
        </w:rPr>
        <w:t xml:space="preserve"> szóló 2011. évi CXCIV. törvény 32. §-</w:t>
      </w:r>
      <w:proofErr w:type="gramStart"/>
      <w:r w:rsidRPr="00191291">
        <w:rPr>
          <w:rFonts w:ascii="Arial" w:hAnsi="Arial" w:cs="Arial"/>
          <w:sz w:val="22"/>
          <w:szCs w:val="22"/>
        </w:rPr>
        <w:t>a</w:t>
      </w:r>
      <w:proofErr w:type="gramEnd"/>
      <w:r w:rsidRPr="00191291">
        <w:rPr>
          <w:rFonts w:ascii="Arial" w:hAnsi="Arial" w:cs="Arial"/>
          <w:sz w:val="22"/>
          <w:szCs w:val="22"/>
        </w:rPr>
        <w:t xml:space="preserve"> értelmében fizetési kötelezettséget megállapító, fizetésre kötelezettek körét bővítő, a fizetési kötelezettség terhét növelő, a kedvezményt, mentességet megszüntető vagy korlátozó jogszabály </w:t>
      </w:r>
      <w:r w:rsidRPr="00191291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191291">
        <w:rPr>
          <w:rFonts w:ascii="Arial" w:hAnsi="Arial" w:cs="Arial"/>
          <w:sz w:val="22"/>
          <w:szCs w:val="22"/>
        </w:rPr>
        <w:t>.</w:t>
      </w:r>
    </w:p>
    <w:p w:rsidR="009D2D67" w:rsidRDefault="009D2D67" w:rsidP="009D2D67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191291">
        <w:rPr>
          <w:rFonts w:ascii="Arial" w:hAnsi="Arial" w:cs="Arial"/>
          <w:sz w:val="22"/>
          <w:szCs w:val="22"/>
          <w:u w:val="single"/>
        </w:rPr>
        <w:t>F</w:t>
      </w:r>
      <w:r w:rsidR="005250CB">
        <w:rPr>
          <w:rFonts w:ascii="Arial" w:hAnsi="Arial" w:cs="Arial"/>
          <w:sz w:val="22"/>
          <w:szCs w:val="22"/>
          <w:u w:val="single"/>
        </w:rPr>
        <w:t xml:space="preserve">entiekre tekintettel </w:t>
      </w:r>
      <w:r w:rsidRPr="00191291">
        <w:rPr>
          <w:rFonts w:ascii="Arial" w:hAnsi="Arial" w:cs="Arial"/>
          <w:sz w:val="22"/>
          <w:szCs w:val="22"/>
          <w:u w:val="single"/>
        </w:rPr>
        <w:t xml:space="preserve">a díj emelését tartalmazó rendelet </w:t>
      </w:r>
      <w:r w:rsidR="005250CB">
        <w:rPr>
          <w:rFonts w:ascii="Arial" w:hAnsi="Arial" w:cs="Arial"/>
          <w:sz w:val="22"/>
          <w:szCs w:val="22"/>
          <w:u w:val="single"/>
        </w:rPr>
        <w:t>2022. augusztus 1. napján léphet hatályba legkorábban</w:t>
      </w:r>
      <w:r w:rsidRPr="00191291">
        <w:rPr>
          <w:rFonts w:ascii="Arial" w:hAnsi="Arial" w:cs="Arial"/>
          <w:sz w:val="22"/>
          <w:szCs w:val="22"/>
          <w:u w:val="single"/>
        </w:rPr>
        <w:t>.</w:t>
      </w:r>
    </w:p>
    <w:p w:rsidR="009D2D67" w:rsidRPr="00191291" w:rsidRDefault="009D2D67" w:rsidP="009D2D67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9D2D67" w:rsidRPr="00191291" w:rsidRDefault="009D2D67" w:rsidP="009D2D67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191291">
        <w:rPr>
          <w:rFonts w:ascii="Arial" w:eastAsia="Calibri" w:hAnsi="Arial" w:cs="Arial"/>
          <w:sz w:val="22"/>
          <w:szCs w:val="22"/>
        </w:rPr>
        <w:lastRenderedPageBreak/>
        <w:t>A jogalkotásról szóló 2010. évi CXXX. törvény  5. § (5) bekezdése szerint:</w:t>
      </w:r>
    </w:p>
    <w:p w:rsidR="009D2D67" w:rsidRDefault="009D2D67" w:rsidP="009D2D67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191291">
        <w:rPr>
          <w:rFonts w:ascii="Arial" w:eastAsia="Calibri" w:hAnsi="Arial" w:cs="Arial"/>
          <w:i/>
          <w:iCs/>
          <w:sz w:val="22"/>
          <w:szCs w:val="22"/>
        </w:rPr>
        <w:t xml:space="preserve"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</w:rPr>
        <w:t xml:space="preserve">Az önkormányzati rendelet megalkotásához a társulásban részt vevő helyi önkormányzat képviselő-testületének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  <w:u w:val="single"/>
        </w:rPr>
        <w:t xml:space="preserve">hozzájárulása </w:t>
      </w:r>
      <w:r w:rsidRPr="00191291">
        <w:rPr>
          <w:rFonts w:ascii="Arial" w:eastAsia="Calibri" w:hAnsi="Arial" w:cs="Arial"/>
          <w:bCs/>
          <w:i/>
          <w:iCs/>
          <w:sz w:val="22"/>
          <w:szCs w:val="22"/>
        </w:rPr>
        <w:t>szükséges</w:t>
      </w:r>
      <w:r w:rsidRPr="00191291">
        <w:rPr>
          <w:rFonts w:ascii="Arial" w:eastAsia="Calibri" w:hAnsi="Arial" w:cs="Arial"/>
          <w:b/>
          <w:bCs/>
          <w:i/>
          <w:iCs/>
          <w:sz w:val="22"/>
          <w:szCs w:val="22"/>
        </w:rPr>
        <w:t>.”</w:t>
      </w:r>
    </w:p>
    <w:p w:rsidR="009D2D67" w:rsidRPr="00191291" w:rsidRDefault="009D2D67" w:rsidP="009D2D67">
      <w:p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</w:p>
    <w:p w:rsidR="009D2D67" w:rsidRDefault="009D2D67" w:rsidP="009D2D67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  <w:r>
        <w:rPr>
          <w:rFonts w:ascii="Arial" w:eastAsia="Calibri" w:hAnsi="Arial" w:cs="Arial"/>
          <w:bCs/>
          <w:iCs/>
          <w:sz w:val="22"/>
          <w:szCs w:val="22"/>
        </w:rPr>
        <w:t xml:space="preserve">Fentiek alapján 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 xml:space="preserve">a rendelet tervezet </w:t>
      </w:r>
      <w:r>
        <w:rPr>
          <w:rFonts w:ascii="Arial" w:eastAsia="Calibri" w:hAnsi="Arial" w:cs="Arial"/>
          <w:bCs/>
          <w:iCs/>
          <w:sz w:val="22"/>
          <w:szCs w:val="22"/>
        </w:rPr>
        <w:t>megalkotásához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- 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>a társulási megállapodásra tekintettel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 -</w:t>
      </w:r>
      <w:r w:rsidRPr="00191291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Pr="00557575">
        <w:rPr>
          <w:rFonts w:ascii="Arial" w:eastAsia="Calibri" w:hAnsi="Arial" w:cs="Arial"/>
          <w:bCs/>
          <w:iCs/>
          <w:sz w:val="22"/>
          <w:szCs w:val="22"/>
          <w:u w:val="single"/>
        </w:rPr>
        <w:t>Alsónyék Község Önkormányzata Képviselő- testületének hozzájárulását be kell szerezni</w:t>
      </w:r>
      <w:r>
        <w:rPr>
          <w:rFonts w:ascii="Arial" w:eastAsia="Calibri" w:hAnsi="Arial" w:cs="Arial"/>
          <w:bCs/>
          <w:iCs/>
          <w:sz w:val="22"/>
          <w:szCs w:val="22"/>
          <w:u w:val="single"/>
        </w:rPr>
        <w:t>.</w:t>
      </w:r>
    </w:p>
    <w:p w:rsidR="00C316A9" w:rsidRDefault="00C316A9" w:rsidP="009D2D67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C316A9" w:rsidRPr="00A55BED" w:rsidRDefault="00C316A9" w:rsidP="00C316A9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</w:rPr>
        <w:t xml:space="preserve">A B verzió esetén </w:t>
      </w:r>
      <w:r>
        <w:rPr>
          <w:rFonts w:ascii="Arial" w:hAnsi="Arial" w:cs="Arial"/>
          <w:sz w:val="22"/>
          <w:szCs w:val="22"/>
        </w:rPr>
        <w:t xml:space="preserve">az előterjesztés mellékletét képező rendelet tervezet </w:t>
      </w:r>
      <w:r w:rsidR="00403A42">
        <w:rPr>
          <w:rFonts w:ascii="Arial" w:hAnsi="Arial" w:cs="Arial"/>
          <w:sz w:val="22"/>
          <w:szCs w:val="22"/>
        </w:rPr>
        <w:t>minősített többséggel történő elfogadása szükséges.</w:t>
      </w:r>
    </w:p>
    <w:p w:rsidR="000550E1" w:rsidRDefault="000550E1" w:rsidP="009D2D67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0550E1" w:rsidRDefault="000550E1" w:rsidP="009D2D67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0550E1" w:rsidRPr="00FC6FBF" w:rsidRDefault="000550E1" w:rsidP="000550E1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6FBF">
        <w:rPr>
          <w:rFonts w:ascii="Arial" w:hAnsi="Arial" w:cs="Arial"/>
          <w:b/>
          <w:sz w:val="22"/>
          <w:szCs w:val="22"/>
          <w:u w:val="single"/>
        </w:rPr>
        <w:t>Határozati javaslat</w:t>
      </w:r>
      <w:r w:rsidR="00D128CB">
        <w:rPr>
          <w:rFonts w:ascii="Arial" w:hAnsi="Arial" w:cs="Arial"/>
          <w:b/>
          <w:sz w:val="22"/>
          <w:szCs w:val="22"/>
          <w:u w:val="single"/>
        </w:rPr>
        <w:t xml:space="preserve"> az előterjesztés „</w:t>
      </w:r>
      <w:proofErr w:type="gramStart"/>
      <w:r w:rsidR="00D128C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D128CB">
        <w:rPr>
          <w:rFonts w:ascii="Arial" w:hAnsi="Arial" w:cs="Arial"/>
          <w:b/>
          <w:sz w:val="22"/>
          <w:szCs w:val="22"/>
          <w:u w:val="single"/>
        </w:rPr>
        <w:t>” változatának támogatása esetén</w:t>
      </w:r>
      <w:r w:rsidRPr="00FC6FBF">
        <w:rPr>
          <w:rFonts w:ascii="Arial" w:hAnsi="Arial" w:cs="Arial"/>
          <w:b/>
          <w:sz w:val="22"/>
          <w:szCs w:val="22"/>
          <w:u w:val="single"/>
        </w:rPr>
        <w:t>:</w:t>
      </w:r>
    </w:p>
    <w:p w:rsidR="000550E1" w:rsidRPr="00FC6FBF" w:rsidRDefault="000550E1" w:rsidP="000550E1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50E1" w:rsidRPr="00C03414" w:rsidRDefault="000550E1" w:rsidP="000550E1">
      <w:pPr>
        <w:spacing w:after="160" w:line="259" w:lineRule="auto"/>
        <w:ind w:left="212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0341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Bátaszéki konyha vonatkozás</w:t>
      </w:r>
      <w:r w:rsidR="006B5BF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ában a veszteség tudomásul vételére</w:t>
      </w:r>
      <w:bookmarkStart w:id="0" w:name="_GoBack"/>
      <w:bookmarkEnd w:id="0"/>
    </w:p>
    <w:p w:rsidR="000550E1" w:rsidRDefault="000550E1" w:rsidP="00587ACF">
      <w:pPr>
        <w:spacing w:after="160" w:line="259" w:lineRule="auto"/>
        <w:ind w:left="21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 testülete a Bátaszéki </w:t>
      </w:r>
      <w:proofErr w:type="spellStart"/>
      <w:r w:rsidRPr="00C03414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Óvoda, Bölcsőde és Konyha</w:t>
      </w:r>
      <w:r w:rsidR="00996EB9">
        <w:rPr>
          <w:rFonts w:ascii="Arial" w:eastAsia="Calibri" w:hAnsi="Arial" w:cs="Arial"/>
          <w:sz w:val="22"/>
          <w:szCs w:val="22"/>
          <w:lang w:eastAsia="en-US"/>
        </w:rPr>
        <w:t xml:space="preserve"> Konyhai egysége vonatkozásában</w:t>
      </w:r>
      <w:r w:rsidR="009F7E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7E14" w:rsidRPr="00C03414">
        <w:rPr>
          <w:rFonts w:ascii="Arial" w:eastAsia="Calibri" w:hAnsi="Arial" w:cs="Arial"/>
          <w:sz w:val="22"/>
          <w:szCs w:val="22"/>
          <w:lang w:eastAsia="en-US"/>
        </w:rPr>
        <w:t>a</w:t>
      </w:r>
      <w:r w:rsidR="009F7E14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9F7E14" w:rsidRPr="00C03414">
        <w:rPr>
          <w:rFonts w:ascii="Arial" w:eastAsia="Calibri" w:hAnsi="Arial" w:cs="Arial"/>
          <w:sz w:val="22"/>
          <w:szCs w:val="22"/>
          <w:lang w:eastAsia="en-US"/>
        </w:rPr>
        <w:t>étkez</w:t>
      </w:r>
      <w:r w:rsidR="009F7E14">
        <w:rPr>
          <w:rFonts w:ascii="Arial" w:eastAsia="Calibri" w:hAnsi="Arial" w:cs="Arial"/>
          <w:sz w:val="22"/>
          <w:szCs w:val="22"/>
          <w:lang w:eastAsia="en-US"/>
        </w:rPr>
        <w:t>tetés intézményi térítési díjait nem emeli meg</w:t>
      </w:r>
      <w:r w:rsidR="001C5D80">
        <w:rPr>
          <w:rFonts w:ascii="Arial" w:eastAsia="Calibri" w:hAnsi="Arial" w:cs="Arial"/>
          <w:sz w:val="22"/>
          <w:szCs w:val="22"/>
          <w:lang w:eastAsia="en-US"/>
        </w:rPr>
        <w:t>, egyben tudomásul veszi, hogy</w:t>
      </w:r>
      <w:r w:rsidR="009F7E14" w:rsidRPr="00A55B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étkezteté</w:t>
      </w:r>
      <w:r w:rsidR="00AF7014">
        <w:rPr>
          <w:rFonts w:ascii="Arial" w:eastAsia="Calibri" w:hAnsi="Arial" w:cs="Arial"/>
          <w:sz w:val="22"/>
          <w:szCs w:val="22"/>
          <w:lang w:eastAsia="en-US"/>
        </w:rPr>
        <w:t>s</w:t>
      </w:r>
      <w:r w:rsidR="001C5D80">
        <w:rPr>
          <w:rFonts w:ascii="Arial" w:eastAsia="Calibri" w:hAnsi="Arial" w:cs="Arial"/>
          <w:sz w:val="22"/>
          <w:szCs w:val="22"/>
          <w:lang w:eastAsia="en-US"/>
        </w:rPr>
        <w:t xml:space="preserve"> jelenleg hatályos térítési díj alkalmazásával történő</w:t>
      </w:r>
      <w:r w:rsidR="00AF70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5D80">
        <w:rPr>
          <w:rFonts w:ascii="Arial" w:eastAsia="Calibri" w:hAnsi="Arial" w:cs="Arial"/>
          <w:sz w:val="22"/>
          <w:szCs w:val="22"/>
          <w:lang w:eastAsia="en-US"/>
        </w:rPr>
        <w:t xml:space="preserve">biztosítása esetén további </w:t>
      </w:r>
      <w:r w:rsidR="00587ACF">
        <w:rPr>
          <w:rFonts w:ascii="Arial" w:eastAsia="Calibri" w:hAnsi="Arial" w:cs="Arial"/>
          <w:sz w:val="22"/>
          <w:szCs w:val="22"/>
          <w:lang w:eastAsia="en-US"/>
        </w:rPr>
        <w:t>13 789 e</w:t>
      </w:r>
      <w:r w:rsidRPr="00A55BED">
        <w:rPr>
          <w:rFonts w:ascii="Arial" w:eastAsia="Calibri" w:hAnsi="Arial" w:cs="Arial"/>
          <w:sz w:val="22"/>
          <w:szCs w:val="22"/>
          <w:lang w:eastAsia="en-US"/>
        </w:rPr>
        <w:t xml:space="preserve"> Ft</w:t>
      </w:r>
      <w:r w:rsidR="00587A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5D80">
        <w:rPr>
          <w:rFonts w:ascii="Arial" w:eastAsia="Calibri" w:hAnsi="Arial" w:cs="Arial"/>
          <w:sz w:val="22"/>
          <w:szCs w:val="22"/>
          <w:lang w:eastAsia="en-US"/>
        </w:rPr>
        <w:t xml:space="preserve">veszteséget kell </w:t>
      </w:r>
      <w:proofErr w:type="gramStart"/>
      <w:r w:rsidR="001C5D80">
        <w:rPr>
          <w:rFonts w:ascii="Arial" w:eastAsia="Calibri" w:hAnsi="Arial" w:cs="Arial"/>
          <w:sz w:val="22"/>
          <w:szCs w:val="22"/>
          <w:lang w:eastAsia="en-US"/>
        </w:rPr>
        <w:t>finanszírozni</w:t>
      </w:r>
      <w:proofErr w:type="gramEnd"/>
      <w:r w:rsidR="001C5D80">
        <w:rPr>
          <w:rFonts w:ascii="Arial" w:eastAsia="Calibri" w:hAnsi="Arial" w:cs="Arial"/>
          <w:sz w:val="22"/>
          <w:szCs w:val="22"/>
          <w:lang w:eastAsia="en-US"/>
        </w:rPr>
        <w:t xml:space="preserve">, melynek fedezete az önkormányzat 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. évi költségvetés</w:t>
      </w:r>
      <w:r w:rsidR="001C5D80">
        <w:rPr>
          <w:rFonts w:ascii="Arial" w:eastAsia="Calibri" w:hAnsi="Arial" w:cs="Arial"/>
          <w:sz w:val="22"/>
          <w:szCs w:val="22"/>
          <w:lang w:eastAsia="en-US"/>
        </w:rPr>
        <w:t>ében nem áll rendelkezésre.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550E1" w:rsidRPr="00C03414" w:rsidRDefault="000550E1" w:rsidP="000550E1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>Határidő: 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. június 30.</w:t>
      </w:r>
    </w:p>
    <w:p w:rsidR="000550E1" w:rsidRPr="00C03414" w:rsidRDefault="000550E1" w:rsidP="000550E1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>Felelős</w:t>
      </w:r>
      <w:proofErr w:type="gramStart"/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:   </w:t>
      </w:r>
      <w:proofErr w:type="spellStart"/>
      <w:r w:rsidRPr="00C03414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spellEnd"/>
      <w:proofErr w:type="gramEnd"/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0550E1" w:rsidRPr="00C03414" w:rsidRDefault="000550E1" w:rsidP="000550E1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              (a határozat megküldéséért)</w:t>
      </w:r>
    </w:p>
    <w:p w:rsidR="000550E1" w:rsidRPr="00C03414" w:rsidRDefault="000550E1" w:rsidP="000550E1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550E1" w:rsidRPr="00C03414" w:rsidRDefault="000550E1" w:rsidP="000550E1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>Határozatról értesül: MOB igazgató</w:t>
      </w:r>
    </w:p>
    <w:p w:rsidR="000550E1" w:rsidRPr="00C03414" w:rsidRDefault="000550E1" w:rsidP="000550E1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Bátaszéki KÖH pénzügyi iroda</w:t>
      </w:r>
    </w:p>
    <w:p w:rsidR="000550E1" w:rsidRPr="00C03414" w:rsidRDefault="000550E1" w:rsidP="000550E1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proofErr w:type="gramStart"/>
      <w:r w:rsidRPr="00C03414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0550E1" w:rsidRPr="00FC6FBF" w:rsidRDefault="000550E1" w:rsidP="000550E1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0550E1" w:rsidRPr="00557575" w:rsidRDefault="000550E1" w:rsidP="009D2D67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</w:p>
    <w:p w:rsidR="009D2D67" w:rsidRPr="00191291" w:rsidRDefault="009D2D67" w:rsidP="009D2D67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D2D67" w:rsidRPr="00191291" w:rsidRDefault="009D2D67" w:rsidP="009D2D67">
      <w:pPr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54E6" w:rsidRDefault="000154E6" w:rsidP="009134F3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9134F3" w:rsidRPr="009134F3" w:rsidRDefault="009134F3" w:rsidP="009134F3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INDOKOLÁS</w:t>
      </w:r>
    </w:p>
    <w:p w:rsidR="009134F3" w:rsidRPr="009134F3" w:rsidRDefault="009134F3" w:rsidP="009134F3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9134F3" w:rsidRPr="009134F3" w:rsidRDefault="009134F3" w:rsidP="009134F3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  <w:proofErr w:type="gramStart"/>
      <w:r w:rsidRPr="009134F3">
        <w:rPr>
          <w:rFonts w:ascii="Arial" w:eastAsia="Calibri" w:hAnsi="Arial" w:cs="Arial"/>
          <w:b/>
          <w:sz w:val="22"/>
          <w:szCs w:val="22"/>
          <w:u w:val="single"/>
        </w:rPr>
        <w:t>a</w:t>
      </w:r>
      <w:proofErr w:type="gramEnd"/>
      <w:r w:rsidRPr="009134F3">
        <w:rPr>
          <w:rFonts w:ascii="Arial" w:eastAsia="Calibri" w:hAnsi="Arial" w:cs="Arial"/>
          <w:b/>
          <w:sz w:val="22"/>
          <w:szCs w:val="22"/>
          <w:u w:val="single"/>
        </w:rPr>
        <w:t xml:space="preserve"> helyi gye</w:t>
      </w:r>
      <w:r>
        <w:rPr>
          <w:rFonts w:ascii="Arial" w:eastAsia="Calibri" w:hAnsi="Arial" w:cs="Arial"/>
          <w:b/>
          <w:sz w:val="22"/>
          <w:szCs w:val="22"/>
          <w:u w:val="single"/>
        </w:rPr>
        <w:t>rmekvédelmi ellátásokról szóló 9/2021</w:t>
      </w:r>
      <w:r w:rsidRPr="009134F3">
        <w:rPr>
          <w:rFonts w:ascii="Arial" w:eastAsia="Calibri" w:hAnsi="Arial" w:cs="Arial"/>
          <w:b/>
          <w:sz w:val="22"/>
          <w:szCs w:val="22"/>
          <w:u w:val="single"/>
        </w:rPr>
        <w:t>. (</w:t>
      </w:r>
      <w:r>
        <w:rPr>
          <w:rFonts w:ascii="Arial" w:eastAsia="Calibri" w:hAnsi="Arial" w:cs="Arial"/>
          <w:b/>
          <w:sz w:val="22"/>
          <w:szCs w:val="22"/>
          <w:u w:val="single"/>
        </w:rPr>
        <w:t>VII. 2</w:t>
      </w:r>
      <w:r w:rsidRPr="009134F3">
        <w:rPr>
          <w:rFonts w:ascii="Arial" w:eastAsia="Calibri" w:hAnsi="Arial" w:cs="Arial"/>
          <w:b/>
          <w:sz w:val="22"/>
          <w:szCs w:val="22"/>
          <w:u w:val="single"/>
        </w:rPr>
        <w:t xml:space="preserve">.) önkormányzati rendelet módosításáról szóló rendelet-tervezethez 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9134F3" w:rsidRPr="009134F3" w:rsidRDefault="009134F3" w:rsidP="009134F3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34F3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9134F3" w:rsidRPr="009134F3" w:rsidRDefault="009134F3" w:rsidP="00864B1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34F3">
        <w:rPr>
          <w:rFonts w:ascii="Arial" w:eastAsia="Calibri" w:hAnsi="Arial" w:cs="Arial"/>
          <w:sz w:val="22"/>
          <w:szCs w:val="22"/>
          <w:lang w:eastAsia="en-US"/>
        </w:rPr>
        <w:t xml:space="preserve">A rendelet megalkotására </w:t>
      </w:r>
      <w:r w:rsidR="00864B17">
        <w:rPr>
          <w:rFonts w:ascii="Arial" w:eastAsia="Calibri" w:hAnsi="Arial" w:cs="Arial"/>
          <w:sz w:val="22"/>
          <w:szCs w:val="22"/>
          <w:lang w:eastAsia="en-US"/>
        </w:rPr>
        <w:t>a térítési díjak emelése okán kerül sor, melyet a nyersanyag beszerzési árak növekedése indokol.</w:t>
      </w:r>
    </w:p>
    <w:p w:rsidR="009134F3" w:rsidRPr="009134F3" w:rsidRDefault="009134F3" w:rsidP="009134F3">
      <w:pPr>
        <w:rPr>
          <w:rFonts w:ascii="Arial" w:eastAsia="Calibri" w:hAnsi="Arial" w:cs="Arial"/>
          <w:b/>
          <w:sz w:val="22"/>
          <w:szCs w:val="22"/>
        </w:rPr>
      </w:pPr>
    </w:p>
    <w:p w:rsidR="009134F3" w:rsidRPr="009134F3" w:rsidRDefault="009134F3" w:rsidP="009134F3">
      <w:pPr>
        <w:rPr>
          <w:rFonts w:ascii="Arial" w:eastAsia="Calibri" w:hAnsi="Arial" w:cs="Arial"/>
          <w:b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>Részletes indokolás: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sz w:val="22"/>
          <w:szCs w:val="22"/>
        </w:rPr>
        <w:t>1. §-hoz: A mellékletek cseréjével a térítési díjak emelésére kerül sor.</w:t>
      </w:r>
    </w:p>
    <w:p w:rsid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sz w:val="22"/>
          <w:szCs w:val="22"/>
        </w:rPr>
        <w:t>2. §-hoz: Hatályba léptető rendelkezést tartalmaz.</w:t>
      </w:r>
    </w:p>
    <w:p w:rsid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0154E6" w:rsidRDefault="000154E6" w:rsidP="009134F3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0154E6" w:rsidRDefault="000154E6" w:rsidP="009134F3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0154E6" w:rsidRDefault="000154E6" w:rsidP="009134F3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9134F3" w:rsidRPr="009134F3" w:rsidRDefault="009134F3" w:rsidP="009134F3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9134F3">
        <w:rPr>
          <w:rFonts w:ascii="Arial" w:eastAsia="Calibri" w:hAnsi="Arial" w:cs="Arial"/>
          <w:b/>
          <w:i/>
          <w:sz w:val="22"/>
          <w:szCs w:val="22"/>
        </w:rPr>
        <w:t>HATÁSVIZSGÁLAT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Pr="009134F3">
        <w:rPr>
          <w:rFonts w:ascii="Arial" w:eastAsia="Calibri" w:hAnsi="Arial" w:cs="Arial"/>
          <w:sz w:val="22"/>
          <w:szCs w:val="22"/>
        </w:rPr>
        <w:t>nincs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 w:rsidRPr="009134F3">
        <w:rPr>
          <w:rFonts w:ascii="Arial" w:eastAsia="Calibri" w:hAnsi="Arial" w:cs="Arial"/>
          <w:sz w:val="22"/>
          <w:szCs w:val="22"/>
        </w:rPr>
        <w:t>a Konyhának többlet bevétele keletkezik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>Költségvetési hatása:</w:t>
      </w:r>
      <w:r w:rsidRPr="009134F3">
        <w:rPr>
          <w:rFonts w:ascii="Arial" w:eastAsia="Calibri" w:hAnsi="Arial" w:cs="Arial"/>
          <w:sz w:val="22"/>
          <w:szCs w:val="22"/>
        </w:rPr>
        <w:t xml:space="preserve"> a térítési díjak emelésével az önkormányzatnak kevesebb saját forrást kell fordítani az étkeztetésre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>Környezeti és egészségügyi következmények:</w:t>
      </w:r>
      <w:r w:rsidRPr="009134F3">
        <w:rPr>
          <w:rFonts w:ascii="Arial" w:eastAsia="Calibri" w:hAnsi="Arial" w:cs="Arial"/>
          <w:sz w:val="22"/>
          <w:szCs w:val="22"/>
        </w:rPr>
        <w:t xml:space="preserve"> nincs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 w:rsidRPr="009134F3">
        <w:rPr>
          <w:rFonts w:ascii="Arial" w:eastAsia="Calibri" w:hAnsi="Arial" w:cs="Arial"/>
          <w:sz w:val="22"/>
          <w:szCs w:val="22"/>
        </w:rPr>
        <w:t xml:space="preserve"> nincs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 w:rsidRPr="009134F3">
        <w:rPr>
          <w:rFonts w:ascii="Arial" w:eastAsia="Calibri" w:hAnsi="Arial" w:cs="Arial"/>
          <w:sz w:val="22"/>
          <w:szCs w:val="22"/>
        </w:rPr>
        <w:t>önkéntes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Pr="009134F3">
        <w:rPr>
          <w:rFonts w:ascii="Arial" w:eastAsia="Calibri" w:hAnsi="Arial" w:cs="Arial"/>
          <w:sz w:val="22"/>
          <w:szCs w:val="22"/>
        </w:rPr>
        <w:t>az önkormányzatnak kell a szükséges többletforrást a továbbiakban is biztosítani</w:t>
      </w: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jc w:val="both"/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9134F3">
        <w:rPr>
          <w:rFonts w:ascii="Arial" w:eastAsia="Calibri" w:hAnsi="Arial" w:cs="Arial"/>
          <w:sz w:val="22"/>
          <w:szCs w:val="22"/>
        </w:rPr>
        <w:t xml:space="preserve"> plusz feltételek biztosítására nincs szükség.</w:t>
      </w:r>
    </w:p>
    <w:p w:rsidR="009134F3" w:rsidRPr="009134F3" w:rsidRDefault="009134F3" w:rsidP="009134F3">
      <w:pPr>
        <w:rPr>
          <w:rFonts w:ascii="Arial" w:eastAsia="Calibri" w:hAnsi="Arial" w:cs="Arial"/>
          <w:sz w:val="22"/>
          <w:szCs w:val="22"/>
        </w:rPr>
      </w:pPr>
    </w:p>
    <w:p w:rsidR="009134F3" w:rsidRPr="009134F3" w:rsidRDefault="009134F3" w:rsidP="009134F3">
      <w:pPr>
        <w:rPr>
          <w:rFonts w:ascii="Arial" w:eastAsia="Calibri" w:hAnsi="Arial" w:cs="Arial"/>
          <w:sz w:val="22"/>
          <w:szCs w:val="22"/>
        </w:rPr>
      </w:pPr>
      <w:r w:rsidRPr="009134F3">
        <w:rPr>
          <w:rFonts w:ascii="Arial" w:eastAsia="Calibri" w:hAnsi="Arial" w:cs="Arial"/>
          <w:b/>
          <w:sz w:val="22"/>
          <w:szCs w:val="22"/>
        </w:rPr>
        <w:t>Véleményeztetés:</w:t>
      </w:r>
      <w:r w:rsidRPr="009134F3">
        <w:rPr>
          <w:rFonts w:ascii="Arial" w:eastAsia="Calibri" w:hAnsi="Arial" w:cs="Arial"/>
          <w:sz w:val="22"/>
          <w:szCs w:val="22"/>
        </w:rPr>
        <w:t xml:space="preserve"> </w:t>
      </w:r>
      <w:r w:rsidR="00B00288">
        <w:rPr>
          <w:rFonts w:ascii="Arial" w:eastAsia="Calibri" w:hAnsi="Arial" w:cs="Arial"/>
          <w:sz w:val="22"/>
          <w:szCs w:val="22"/>
        </w:rPr>
        <w:t>valamennyi bizottság</w:t>
      </w:r>
    </w:p>
    <w:p w:rsidR="009134F3" w:rsidRPr="009134F3" w:rsidRDefault="009134F3" w:rsidP="009134F3">
      <w:pPr>
        <w:spacing w:after="120"/>
        <w:rPr>
          <w:rFonts w:ascii="Arial" w:hAnsi="Arial" w:cs="Arial"/>
          <w:sz w:val="22"/>
          <w:szCs w:val="22"/>
        </w:rPr>
      </w:pPr>
    </w:p>
    <w:p w:rsidR="009134F3" w:rsidRPr="009134F3" w:rsidRDefault="009134F3" w:rsidP="009134F3">
      <w:pPr>
        <w:spacing w:after="120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54E6"/>
    <w:rsid w:val="00032A7E"/>
    <w:rsid w:val="00044EC9"/>
    <w:rsid w:val="00046BA8"/>
    <w:rsid w:val="00050077"/>
    <w:rsid w:val="000550E1"/>
    <w:rsid w:val="000E1B63"/>
    <w:rsid w:val="00107D8C"/>
    <w:rsid w:val="00113F0D"/>
    <w:rsid w:val="00143E1A"/>
    <w:rsid w:val="00173A28"/>
    <w:rsid w:val="001C3BC6"/>
    <w:rsid w:val="001C5D80"/>
    <w:rsid w:val="001C673F"/>
    <w:rsid w:val="001D3DD9"/>
    <w:rsid w:val="0021070F"/>
    <w:rsid w:val="00217B18"/>
    <w:rsid w:val="002654BE"/>
    <w:rsid w:val="002903B6"/>
    <w:rsid w:val="00310CE9"/>
    <w:rsid w:val="003132C1"/>
    <w:rsid w:val="0032605A"/>
    <w:rsid w:val="00332C16"/>
    <w:rsid w:val="003B0C67"/>
    <w:rsid w:val="003D774F"/>
    <w:rsid w:val="003F5633"/>
    <w:rsid w:val="00401152"/>
    <w:rsid w:val="00403A42"/>
    <w:rsid w:val="00405270"/>
    <w:rsid w:val="00425361"/>
    <w:rsid w:val="0042566B"/>
    <w:rsid w:val="00477418"/>
    <w:rsid w:val="004A2D1B"/>
    <w:rsid w:val="004E04CF"/>
    <w:rsid w:val="00500C8F"/>
    <w:rsid w:val="00511872"/>
    <w:rsid w:val="00523FB3"/>
    <w:rsid w:val="005250CB"/>
    <w:rsid w:val="00533C49"/>
    <w:rsid w:val="005477F6"/>
    <w:rsid w:val="00583BCD"/>
    <w:rsid w:val="00587ACF"/>
    <w:rsid w:val="005E220A"/>
    <w:rsid w:val="005E7A3E"/>
    <w:rsid w:val="00684476"/>
    <w:rsid w:val="006B5BFB"/>
    <w:rsid w:val="006C2F4C"/>
    <w:rsid w:val="006D5DC7"/>
    <w:rsid w:val="006E5141"/>
    <w:rsid w:val="007557E4"/>
    <w:rsid w:val="00787C9A"/>
    <w:rsid w:val="00796729"/>
    <w:rsid w:val="007B3058"/>
    <w:rsid w:val="007E5872"/>
    <w:rsid w:val="00823D6A"/>
    <w:rsid w:val="0085577E"/>
    <w:rsid w:val="00864B17"/>
    <w:rsid w:val="008C0E54"/>
    <w:rsid w:val="008D3905"/>
    <w:rsid w:val="009071CA"/>
    <w:rsid w:val="009134F3"/>
    <w:rsid w:val="00960DFB"/>
    <w:rsid w:val="009663F9"/>
    <w:rsid w:val="00996EB9"/>
    <w:rsid w:val="009D2D67"/>
    <w:rsid w:val="009E2AAA"/>
    <w:rsid w:val="009F7E14"/>
    <w:rsid w:val="00A32E7D"/>
    <w:rsid w:val="00A73F9F"/>
    <w:rsid w:val="00AB6520"/>
    <w:rsid w:val="00AC2A81"/>
    <w:rsid w:val="00AF525E"/>
    <w:rsid w:val="00AF7014"/>
    <w:rsid w:val="00B00288"/>
    <w:rsid w:val="00BB1F10"/>
    <w:rsid w:val="00BD6991"/>
    <w:rsid w:val="00BE1892"/>
    <w:rsid w:val="00C174CF"/>
    <w:rsid w:val="00C316A9"/>
    <w:rsid w:val="00C4593A"/>
    <w:rsid w:val="00CE1141"/>
    <w:rsid w:val="00CE7ED4"/>
    <w:rsid w:val="00CF0BCE"/>
    <w:rsid w:val="00D04C18"/>
    <w:rsid w:val="00D128CB"/>
    <w:rsid w:val="00DA5EEA"/>
    <w:rsid w:val="00DB70A1"/>
    <w:rsid w:val="00DD46BC"/>
    <w:rsid w:val="00E02960"/>
    <w:rsid w:val="00E14821"/>
    <w:rsid w:val="00E324A6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6FF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903B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134F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134F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995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40</cp:revision>
  <dcterms:created xsi:type="dcterms:W3CDTF">2020-08-05T07:06:00Z</dcterms:created>
  <dcterms:modified xsi:type="dcterms:W3CDTF">2022-06-16T09:29:00Z</dcterms:modified>
</cp:coreProperties>
</file>