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8194F" w14:textId="77777777" w:rsidR="006325C2" w:rsidRPr="00ED4DCE" w:rsidRDefault="006325C2" w:rsidP="00796729">
      <w:pPr>
        <w:rPr>
          <w:i/>
          <w:color w:val="3366FF"/>
          <w:sz w:val="20"/>
        </w:rPr>
      </w:pPr>
    </w:p>
    <w:p w14:paraId="691FC948" w14:textId="77777777" w:rsidR="006325C2" w:rsidRPr="00D50257" w:rsidRDefault="006325C2" w:rsidP="006325C2">
      <w:pPr>
        <w:jc w:val="right"/>
        <w:rPr>
          <w:i/>
          <w:color w:val="3366FF"/>
          <w:sz w:val="22"/>
          <w:szCs w:val="22"/>
          <w:highlight w:val="green"/>
        </w:rPr>
      </w:pPr>
      <w:r w:rsidRPr="00D50257">
        <w:rPr>
          <w:i/>
          <w:color w:val="3366FF"/>
          <w:sz w:val="22"/>
          <w:szCs w:val="22"/>
          <w:highlight w:val="green"/>
        </w:rPr>
        <w:t>A határozati javaslat elfogadásához</w:t>
      </w:r>
    </w:p>
    <w:p w14:paraId="0379CA58" w14:textId="77777777" w:rsidR="006325C2" w:rsidRPr="00D50257" w:rsidRDefault="006325C2" w:rsidP="006325C2">
      <w:pPr>
        <w:jc w:val="right"/>
        <w:rPr>
          <w:i/>
          <w:color w:val="3366FF"/>
          <w:sz w:val="22"/>
          <w:szCs w:val="22"/>
          <w:highlight w:val="green"/>
        </w:rPr>
      </w:pPr>
      <w:proofErr w:type="gramStart"/>
      <w:r w:rsidRPr="00D50257">
        <w:rPr>
          <w:b/>
          <w:bCs/>
          <w:i/>
          <w:color w:val="3366FF"/>
          <w:sz w:val="22"/>
          <w:szCs w:val="22"/>
          <w:highlight w:val="green"/>
          <w:u w:val="single"/>
        </w:rPr>
        <w:t>egyszerű</w:t>
      </w:r>
      <w:proofErr w:type="gramEnd"/>
      <w:r w:rsidRPr="00D50257">
        <w:rPr>
          <w:i/>
          <w:color w:val="3366FF"/>
          <w:sz w:val="22"/>
          <w:szCs w:val="22"/>
          <w:highlight w:val="green"/>
        </w:rPr>
        <w:t xml:space="preserve"> többség szükséges,</w:t>
      </w:r>
    </w:p>
    <w:p w14:paraId="725436C1" w14:textId="77777777" w:rsidR="006325C2" w:rsidRPr="00D50257" w:rsidRDefault="006325C2" w:rsidP="006325C2">
      <w:pPr>
        <w:jc w:val="right"/>
        <w:rPr>
          <w:i/>
          <w:color w:val="3366FF"/>
          <w:sz w:val="22"/>
          <w:szCs w:val="22"/>
          <w:highlight w:val="green"/>
        </w:rPr>
      </w:pPr>
      <w:proofErr w:type="gramStart"/>
      <w:r w:rsidRPr="00D50257">
        <w:rPr>
          <w:i/>
          <w:color w:val="3366FF"/>
          <w:sz w:val="22"/>
          <w:szCs w:val="22"/>
          <w:highlight w:val="green"/>
        </w:rPr>
        <w:t>a</w:t>
      </w:r>
      <w:proofErr w:type="gramEnd"/>
      <w:r w:rsidRPr="00D50257">
        <w:rPr>
          <w:i/>
          <w:color w:val="3366FF"/>
          <w:sz w:val="22"/>
          <w:szCs w:val="22"/>
          <w:highlight w:val="green"/>
        </w:rPr>
        <w:t xml:space="preserve"> rendelet tervezet elfogadásához</w:t>
      </w:r>
    </w:p>
    <w:p w14:paraId="23C59170" w14:textId="7237F06C" w:rsidR="006325C2" w:rsidRPr="00D50257" w:rsidRDefault="006325C2" w:rsidP="006325C2">
      <w:pPr>
        <w:jc w:val="right"/>
        <w:rPr>
          <w:i/>
          <w:color w:val="3366FF"/>
          <w:sz w:val="22"/>
          <w:szCs w:val="22"/>
          <w:highlight w:val="green"/>
        </w:rPr>
      </w:pPr>
      <w:proofErr w:type="gramStart"/>
      <w:r w:rsidRPr="00D50257">
        <w:rPr>
          <w:b/>
          <w:i/>
          <w:color w:val="3366FF"/>
          <w:sz w:val="22"/>
          <w:szCs w:val="22"/>
          <w:highlight w:val="green"/>
          <w:u w:val="single"/>
        </w:rPr>
        <w:t>az</w:t>
      </w:r>
      <w:proofErr w:type="gramEnd"/>
      <w:r w:rsidRPr="00D50257">
        <w:rPr>
          <w:b/>
          <w:i/>
          <w:color w:val="3366FF"/>
          <w:sz w:val="22"/>
          <w:szCs w:val="22"/>
          <w:highlight w:val="green"/>
          <w:u w:val="single"/>
        </w:rPr>
        <w:t xml:space="preserve"> </w:t>
      </w:r>
      <w:proofErr w:type="spellStart"/>
      <w:r w:rsidRPr="00D50257">
        <w:rPr>
          <w:b/>
          <w:i/>
          <w:color w:val="3366FF"/>
          <w:sz w:val="22"/>
          <w:szCs w:val="22"/>
          <w:highlight w:val="green"/>
          <w:u w:val="single"/>
        </w:rPr>
        <w:t>Mötv</w:t>
      </w:r>
      <w:proofErr w:type="spellEnd"/>
      <w:r w:rsidRPr="00D50257">
        <w:rPr>
          <w:b/>
          <w:i/>
          <w:color w:val="3366FF"/>
          <w:sz w:val="22"/>
          <w:szCs w:val="22"/>
          <w:highlight w:val="green"/>
          <w:u w:val="single"/>
        </w:rPr>
        <w:t>. 50. §-</w:t>
      </w:r>
      <w:proofErr w:type="gramStart"/>
      <w:r w:rsidRPr="00D50257">
        <w:rPr>
          <w:b/>
          <w:i/>
          <w:color w:val="3366FF"/>
          <w:sz w:val="22"/>
          <w:szCs w:val="22"/>
          <w:highlight w:val="green"/>
          <w:u w:val="single"/>
        </w:rPr>
        <w:t>a</w:t>
      </w:r>
      <w:proofErr w:type="gramEnd"/>
      <w:r w:rsidRPr="00D50257">
        <w:rPr>
          <w:b/>
          <w:i/>
          <w:color w:val="3366FF"/>
          <w:sz w:val="22"/>
          <w:szCs w:val="22"/>
          <w:highlight w:val="green"/>
          <w:u w:val="single"/>
        </w:rPr>
        <w:t xml:space="preserve"> alapján minősített </w:t>
      </w:r>
      <w:r w:rsidRPr="00D50257">
        <w:rPr>
          <w:i/>
          <w:color w:val="3366FF"/>
          <w:sz w:val="22"/>
          <w:szCs w:val="22"/>
          <w:highlight w:val="green"/>
        </w:rPr>
        <w:t>többség sz</w:t>
      </w:r>
      <w:r w:rsidR="000964AC" w:rsidRPr="00D50257">
        <w:rPr>
          <w:i/>
          <w:color w:val="3366FF"/>
          <w:sz w:val="22"/>
          <w:szCs w:val="22"/>
          <w:highlight w:val="green"/>
        </w:rPr>
        <w:t>ü</w:t>
      </w:r>
      <w:r w:rsidRPr="00D50257">
        <w:rPr>
          <w:i/>
          <w:color w:val="3366FF"/>
          <w:sz w:val="22"/>
          <w:szCs w:val="22"/>
          <w:highlight w:val="green"/>
        </w:rPr>
        <w:t>kséges,</w:t>
      </w:r>
    </w:p>
    <w:p w14:paraId="6D692AF6" w14:textId="77777777" w:rsidR="006325C2" w:rsidRDefault="006325C2" w:rsidP="006325C2">
      <w:pPr>
        <w:jc w:val="right"/>
        <w:rPr>
          <w:i/>
          <w:color w:val="3366FF"/>
          <w:sz w:val="22"/>
          <w:szCs w:val="22"/>
        </w:rPr>
      </w:pPr>
      <w:proofErr w:type="gramStart"/>
      <w:r w:rsidRPr="00D50257">
        <w:rPr>
          <w:i/>
          <w:color w:val="3366FF"/>
          <w:sz w:val="22"/>
          <w:szCs w:val="22"/>
          <w:highlight w:val="green"/>
        </w:rPr>
        <w:t>az</w:t>
      </w:r>
      <w:proofErr w:type="gramEnd"/>
      <w:r w:rsidRPr="00D50257">
        <w:rPr>
          <w:i/>
          <w:color w:val="3366FF"/>
          <w:sz w:val="22"/>
          <w:szCs w:val="22"/>
          <w:highlight w:val="green"/>
        </w:rPr>
        <w:t xml:space="preserve"> előterjesztés </w:t>
      </w:r>
      <w:r w:rsidRPr="00D50257">
        <w:rPr>
          <w:b/>
          <w:i/>
          <w:color w:val="3366FF"/>
          <w:sz w:val="22"/>
          <w:szCs w:val="22"/>
          <w:highlight w:val="green"/>
          <w:u w:val="single"/>
        </w:rPr>
        <w:t>nyilvános ülésen tárgyalható</w:t>
      </w:r>
      <w:r w:rsidRPr="00D50257">
        <w:rPr>
          <w:i/>
          <w:color w:val="3366FF"/>
          <w:sz w:val="22"/>
          <w:szCs w:val="22"/>
          <w:highlight w:val="green"/>
        </w:rPr>
        <w:t>!</w:t>
      </w:r>
      <w:bookmarkStart w:id="0" w:name="_GoBack"/>
      <w:bookmarkEnd w:id="0"/>
    </w:p>
    <w:p w14:paraId="76A1FED3" w14:textId="77777777" w:rsidR="006325C2" w:rsidRDefault="006325C2" w:rsidP="006325C2">
      <w:pPr>
        <w:jc w:val="both"/>
        <w:rPr>
          <w:color w:val="3366FF"/>
        </w:rPr>
      </w:pPr>
    </w:p>
    <w:p w14:paraId="562F1E1A" w14:textId="77777777" w:rsidR="006325C2" w:rsidRDefault="006325C2" w:rsidP="006325C2">
      <w:pPr>
        <w:jc w:val="both"/>
        <w:rPr>
          <w:color w:val="3366FF"/>
        </w:rPr>
      </w:pPr>
    </w:p>
    <w:p w14:paraId="68A2B47E" w14:textId="77777777" w:rsidR="006325C2" w:rsidRDefault="006325C2" w:rsidP="006325C2">
      <w:pPr>
        <w:jc w:val="center"/>
        <w:rPr>
          <w:rFonts w:ascii="Arial" w:hAnsi="Arial" w:cs="Arial"/>
          <w:bCs/>
          <w:i/>
          <w:color w:val="3366FF"/>
          <w:sz w:val="32"/>
          <w:szCs w:val="32"/>
          <w:u w:val="single"/>
        </w:rPr>
      </w:pPr>
      <w:r>
        <w:rPr>
          <w:rFonts w:ascii="Arial" w:hAnsi="Arial" w:cs="Arial"/>
          <w:bCs/>
          <w:i/>
          <w:color w:val="3366FF"/>
          <w:sz w:val="32"/>
          <w:szCs w:val="32"/>
          <w:u w:val="single"/>
        </w:rPr>
        <w:t>10. számú előterjesztés</w:t>
      </w:r>
    </w:p>
    <w:p w14:paraId="44F338F0" w14:textId="77777777" w:rsidR="006325C2" w:rsidRDefault="006325C2" w:rsidP="006325C2">
      <w:pPr>
        <w:jc w:val="center"/>
        <w:rPr>
          <w:rFonts w:ascii="Arial" w:hAnsi="Arial" w:cs="Arial"/>
          <w:i/>
          <w:iCs/>
          <w:color w:val="3366FF"/>
          <w:u w:val="single"/>
        </w:rPr>
      </w:pPr>
    </w:p>
    <w:p w14:paraId="41DC2FFF" w14:textId="77777777" w:rsidR="006325C2" w:rsidRDefault="006325C2" w:rsidP="006325C2">
      <w:pPr>
        <w:jc w:val="center"/>
        <w:rPr>
          <w:rFonts w:ascii="Arial" w:hAnsi="Arial" w:cs="Arial"/>
          <w:color w:val="3366FF"/>
          <w:sz w:val="22"/>
          <w:szCs w:val="22"/>
        </w:rPr>
      </w:pPr>
      <w:r>
        <w:rPr>
          <w:rFonts w:ascii="Arial" w:hAnsi="Arial" w:cs="Arial"/>
          <w:color w:val="3366FF"/>
          <w:sz w:val="22"/>
          <w:szCs w:val="22"/>
        </w:rPr>
        <w:t>Bátaszék Város Önkormányzata Képviselő-testületének 2023. február 15.-én,</w:t>
      </w:r>
    </w:p>
    <w:p w14:paraId="372A1730" w14:textId="77777777" w:rsidR="006325C2" w:rsidRDefault="006325C2" w:rsidP="006325C2">
      <w:pPr>
        <w:spacing w:before="120"/>
        <w:jc w:val="center"/>
        <w:rPr>
          <w:rFonts w:ascii="Arial" w:hAnsi="Arial" w:cs="Arial"/>
          <w:color w:val="3366FF"/>
          <w:sz w:val="22"/>
          <w:szCs w:val="22"/>
        </w:rPr>
      </w:pPr>
      <w:r>
        <w:rPr>
          <w:rFonts w:ascii="Arial" w:hAnsi="Arial" w:cs="Arial"/>
          <w:color w:val="3366FF"/>
          <w:sz w:val="22"/>
          <w:szCs w:val="22"/>
        </w:rPr>
        <w:t>16 órakor megtartandó</w:t>
      </w:r>
      <w:r>
        <w:rPr>
          <w:rFonts w:ascii="Arial" w:hAnsi="Arial" w:cs="Arial"/>
          <w:caps/>
          <w:color w:val="3366FF"/>
          <w:sz w:val="22"/>
          <w:szCs w:val="22"/>
        </w:rPr>
        <w:t xml:space="preserve"> </w:t>
      </w:r>
      <w:r>
        <w:rPr>
          <w:rFonts w:ascii="Arial" w:hAnsi="Arial" w:cs="Arial"/>
          <w:color w:val="3366FF"/>
          <w:sz w:val="22"/>
          <w:szCs w:val="22"/>
        </w:rPr>
        <w:t>ülésére</w:t>
      </w:r>
    </w:p>
    <w:p w14:paraId="64C86633" w14:textId="77777777" w:rsidR="006325C2" w:rsidRPr="00ED4DCE" w:rsidRDefault="006325C2" w:rsidP="006325C2">
      <w:pPr>
        <w:jc w:val="center"/>
        <w:rPr>
          <w:color w:val="3366FF"/>
        </w:rPr>
      </w:pPr>
    </w:p>
    <w:p w14:paraId="7705A397" w14:textId="5A40837F" w:rsidR="006325C2" w:rsidRPr="00357171" w:rsidRDefault="006325C2" w:rsidP="006325C2">
      <w:pPr>
        <w:widowControl w:val="0"/>
        <w:tabs>
          <w:tab w:val="left" w:pos="540"/>
        </w:tabs>
        <w:autoSpaceDE w:val="0"/>
        <w:autoSpaceDN w:val="0"/>
        <w:adjustRightInd w:val="0"/>
        <w:jc w:val="center"/>
        <w:rPr>
          <w:rFonts w:ascii="Arial" w:hAnsi="Arial" w:cs="Arial"/>
          <w:bCs/>
          <w:iCs/>
          <w:color w:val="3366FF"/>
          <w:sz w:val="32"/>
          <w:szCs w:val="32"/>
          <w:u w:val="single"/>
        </w:rPr>
      </w:pPr>
      <w:r w:rsidRPr="00357171">
        <w:rPr>
          <w:rFonts w:ascii="Arial" w:hAnsi="Arial" w:cs="Arial"/>
          <w:bCs/>
          <w:iCs/>
          <w:color w:val="3366FF"/>
          <w:sz w:val="32"/>
          <w:szCs w:val="32"/>
          <w:u w:val="single"/>
        </w:rPr>
        <w:t xml:space="preserve">Bátaszék Város </w:t>
      </w:r>
      <w:r w:rsidRPr="00383FBB">
        <w:rPr>
          <w:rFonts w:ascii="Arial" w:hAnsi="Arial" w:cs="Arial"/>
          <w:bCs/>
          <w:iCs/>
          <w:color w:val="3366FF"/>
          <w:sz w:val="32"/>
          <w:szCs w:val="32"/>
          <w:u w:val="single"/>
        </w:rPr>
        <w:t xml:space="preserve">Önkormányzata 2023. évi </w:t>
      </w:r>
      <w:r w:rsidR="00383FBB">
        <w:rPr>
          <w:rFonts w:ascii="Arial" w:hAnsi="Arial" w:cs="Arial"/>
          <w:bCs/>
          <w:iCs/>
          <w:color w:val="3366FF"/>
          <w:sz w:val="32"/>
          <w:szCs w:val="32"/>
          <w:u w:val="single"/>
        </w:rPr>
        <w:t>költségvetésének tárgyalása</w:t>
      </w:r>
    </w:p>
    <w:p w14:paraId="2E61DBBB" w14:textId="77777777" w:rsidR="006325C2" w:rsidRPr="00357171" w:rsidRDefault="006325C2" w:rsidP="006325C2">
      <w:pPr>
        <w:tabs>
          <w:tab w:val="left" w:pos="567"/>
          <w:tab w:val="left" w:pos="6237"/>
        </w:tabs>
        <w:ind w:left="3119"/>
        <w:jc w:val="both"/>
        <w:rPr>
          <w:rFonts w:ascii="Arial" w:hAnsi="Arial" w:cs="Arial"/>
          <w:bCs/>
          <w:i/>
          <w:iCs/>
          <w:color w:val="3366FF"/>
          <w:sz w:val="22"/>
          <w:szCs w:val="22"/>
          <w:u w:val="single"/>
        </w:rPr>
      </w:pPr>
    </w:p>
    <w:tbl>
      <w:tblPr>
        <w:tblW w:w="0" w:type="auto"/>
        <w:jc w:val="center"/>
        <w:tblLook w:val="0000" w:firstRow="0" w:lastRow="0" w:firstColumn="0" w:lastColumn="0" w:noHBand="0" w:noVBand="0"/>
      </w:tblPr>
      <w:tblGrid>
        <w:gridCol w:w="7236"/>
      </w:tblGrid>
      <w:tr w:rsidR="006325C2" w:rsidRPr="00ED4DCE" w14:paraId="2253C587" w14:textId="77777777" w:rsidTr="00294D69">
        <w:trPr>
          <w:trHeight w:val="2026"/>
          <w:jc w:val="center"/>
        </w:trPr>
        <w:tc>
          <w:tcPr>
            <w:tcW w:w="7236" w:type="dxa"/>
            <w:tcBorders>
              <w:top w:val="single" w:sz="18" w:space="0" w:color="auto"/>
              <w:left w:val="single" w:sz="18" w:space="0" w:color="auto"/>
              <w:bottom w:val="single" w:sz="18" w:space="0" w:color="auto"/>
              <w:right w:val="single" w:sz="18" w:space="0" w:color="auto"/>
            </w:tcBorders>
          </w:tcPr>
          <w:p w14:paraId="7B3762C8" w14:textId="77777777" w:rsidR="006325C2" w:rsidRPr="00ED4DCE" w:rsidRDefault="006325C2" w:rsidP="00294D69">
            <w:pPr>
              <w:tabs>
                <w:tab w:val="left" w:pos="1843"/>
              </w:tabs>
              <w:snapToGrid w:val="0"/>
              <w:jc w:val="both"/>
              <w:rPr>
                <w:rFonts w:ascii="Arial" w:hAnsi="Arial" w:cs="Arial"/>
                <w:b/>
                <w:bCs/>
                <w:color w:val="3366FF"/>
                <w:sz w:val="22"/>
                <w:szCs w:val="22"/>
                <w:u w:val="single"/>
              </w:rPr>
            </w:pPr>
          </w:p>
          <w:p w14:paraId="16D5884C" w14:textId="77777777" w:rsidR="006325C2" w:rsidRPr="00ED4DCE" w:rsidRDefault="006325C2" w:rsidP="00294D69">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Pr>
                <w:rFonts w:ascii="Arial" w:hAnsi="Arial" w:cs="Arial"/>
                <w:color w:val="3366FF"/>
                <w:sz w:val="22"/>
                <w:szCs w:val="22"/>
              </w:rPr>
              <w:t xml:space="preserve"> Dr. Bozsolik Róbert polgármester</w:t>
            </w:r>
          </w:p>
          <w:p w14:paraId="18DA85FB" w14:textId="77777777" w:rsidR="006325C2" w:rsidRPr="00ED4DCE" w:rsidRDefault="006325C2" w:rsidP="00294D69">
            <w:pPr>
              <w:rPr>
                <w:rFonts w:ascii="Arial" w:hAnsi="Arial" w:cs="Arial"/>
                <w:b/>
                <w:bCs/>
                <w:color w:val="3366FF"/>
                <w:sz w:val="22"/>
                <w:szCs w:val="22"/>
                <w:u w:val="single"/>
              </w:rPr>
            </w:pPr>
          </w:p>
          <w:p w14:paraId="1252B4C5" w14:textId="77777777" w:rsidR="006325C2" w:rsidRDefault="006325C2" w:rsidP="00294D69">
            <w:pPr>
              <w:rPr>
                <w:rFonts w:ascii="Arial" w:hAnsi="Arial" w:cs="Arial"/>
                <w:color w:val="3366FF"/>
                <w:sz w:val="22"/>
                <w:szCs w:val="22"/>
              </w:rPr>
            </w:pPr>
            <w:r w:rsidRPr="00ED4DCE">
              <w:rPr>
                <w:rFonts w:ascii="Arial" w:hAnsi="Arial" w:cs="Arial"/>
                <w:b/>
                <w:bCs/>
                <w:color w:val="3366FF"/>
                <w:sz w:val="22"/>
                <w:szCs w:val="22"/>
                <w:u w:val="single"/>
              </w:rPr>
              <w:t>Készítette</w:t>
            </w:r>
            <w:proofErr w:type="gramStart"/>
            <w:r w:rsidRPr="00ED4DCE">
              <w:rPr>
                <w:rFonts w:ascii="Arial" w:hAnsi="Arial" w:cs="Arial"/>
                <w:color w:val="3366FF"/>
                <w:sz w:val="22"/>
                <w:szCs w:val="22"/>
              </w:rPr>
              <w:t xml:space="preserve">:   </w:t>
            </w:r>
            <w:r>
              <w:rPr>
                <w:rFonts w:ascii="Arial" w:hAnsi="Arial" w:cs="Arial"/>
                <w:color w:val="3366FF"/>
                <w:sz w:val="22"/>
                <w:szCs w:val="22"/>
              </w:rPr>
              <w:t>Tóthné</w:t>
            </w:r>
            <w:proofErr w:type="gramEnd"/>
            <w:r>
              <w:rPr>
                <w:rFonts w:ascii="Arial" w:hAnsi="Arial" w:cs="Arial"/>
                <w:color w:val="3366FF"/>
                <w:sz w:val="22"/>
                <w:szCs w:val="22"/>
              </w:rPr>
              <w:t xml:space="preserve"> Lelkes Erika pénzügyi irodavezető</w:t>
            </w:r>
          </w:p>
          <w:p w14:paraId="09EDA118" w14:textId="7898F42D" w:rsidR="006325C2" w:rsidRDefault="006325C2" w:rsidP="00294D69">
            <w:pPr>
              <w:rPr>
                <w:rFonts w:ascii="Arial" w:hAnsi="Arial" w:cs="Arial"/>
                <w:color w:val="3366FF"/>
                <w:sz w:val="22"/>
                <w:szCs w:val="22"/>
              </w:rPr>
            </w:pPr>
            <w:r>
              <w:rPr>
                <w:rFonts w:ascii="Arial" w:hAnsi="Arial" w:cs="Arial"/>
                <w:color w:val="3366FF"/>
                <w:sz w:val="22"/>
                <w:szCs w:val="22"/>
              </w:rPr>
              <w:t xml:space="preserve">                     Adorján Viktória pénzügyi </w:t>
            </w:r>
            <w:r w:rsidR="006C513A">
              <w:rPr>
                <w:rFonts w:ascii="Arial" w:hAnsi="Arial" w:cs="Arial"/>
                <w:color w:val="3366FF"/>
                <w:sz w:val="22"/>
                <w:szCs w:val="22"/>
              </w:rPr>
              <w:t>ügyintéző</w:t>
            </w:r>
          </w:p>
          <w:p w14:paraId="7C49B9AE" w14:textId="77777777" w:rsidR="006325C2" w:rsidRPr="00ED4DCE" w:rsidRDefault="006325C2" w:rsidP="00294D69">
            <w:pPr>
              <w:rPr>
                <w:rFonts w:ascii="Arial" w:hAnsi="Arial" w:cs="Arial"/>
                <w:color w:val="3366FF"/>
                <w:sz w:val="22"/>
                <w:szCs w:val="22"/>
              </w:rPr>
            </w:pPr>
            <w:r w:rsidRPr="00ED4DCE">
              <w:rPr>
                <w:rFonts w:ascii="Arial" w:hAnsi="Arial" w:cs="Arial"/>
                <w:color w:val="3366FF"/>
                <w:sz w:val="22"/>
                <w:szCs w:val="22"/>
              </w:rPr>
              <w:t xml:space="preserve">                                       </w:t>
            </w:r>
          </w:p>
          <w:p w14:paraId="50ABCFD7" w14:textId="2CC5B2D4" w:rsidR="006325C2" w:rsidRDefault="006325C2" w:rsidP="00294D69">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Pr>
                <w:rFonts w:ascii="Arial" w:hAnsi="Arial" w:cs="Arial"/>
                <w:color w:val="3366FF"/>
                <w:sz w:val="22"/>
                <w:szCs w:val="22"/>
              </w:rPr>
              <w:t xml:space="preserve"> </w:t>
            </w:r>
            <w:r w:rsidR="00383FBB">
              <w:rPr>
                <w:rFonts w:ascii="Arial" w:hAnsi="Arial" w:cs="Arial"/>
                <w:color w:val="3366FF"/>
                <w:sz w:val="22"/>
                <w:szCs w:val="22"/>
              </w:rPr>
              <w:t xml:space="preserve">dr. </w:t>
            </w:r>
            <w:proofErr w:type="spellStart"/>
            <w:r>
              <w:rPr>
                <w:rFonts w:ascii="Arial" w:hAnsi="Arial" w:cs="Arial"/>
                <w:color w:val="3366FF"/>
                <w:sz w:val="22"/>
                <w:szCs w:val="22"/>
              </w:rPr>
              <w:t>Firle</w:t>
            </w:r>
            <w:proofErr w:type="spellEnd"/>
            <w:r>
              <w:rPr>
                <w:rFonts w:ascii="Arial" w:hAnsi="Arial" w:cs="Arial"/>
                <w:color w:val="3366FF"/>
                <w:sz w:val="22"/>
                <w:szCs w:val="22"/>
              </w:rPr>
              <w:t>-Paksi Anna aljegyző</w:t>
            </w:r>
          </w:p>
          <w:p w14:paraId="376A4449" w14:textId="77777777" w:rsidR="00383FBB" w:rsidRDefault="00383FBB" w:rsidP="00294D69">
            <w:pPr>
              <w:rPr>
                <w:rFonts w:ascii="Arial" w:hAnsi="Arial" w:cs="Arial"/>
                <w:color w:val="3366FF"/>
                <w:sz w:val="22"/>
                <w:szCs w:val="22"/>
              </w:rPr>
            </w:pPr>
          </w:p>
          <w:p w14:paraId="6A513F79" w14:textId="77777777" w:rsidR="006325C2" w:rsidRPr="00DD2AC2" w:rsidRDefault="006325C2" w:rsidP="00294D69">
            <w:pPr>
              <w:rPr>
                <w:rFonts w:ascii="Arial" w:hAnsi="Arial" w:cs="Arial"/>
                <w:b/>
                <w:color w:val="3366FF"/>
                <w:sz w:val="22"/>
                <w:szCs w:val="22"/>
                <w:u w:val="single"/>
              </w:rPr>
            </w:pPr>
            <w:r w:rsidRPr="00DD2AC2">
              <w:rPr>
                <w:rFonts w:ascii="Arial" w:hAnsi="Arial" w:cs="Arial"/>
                <w:b/>
                <w:color w:val="3366FF"/>
                <w:sz w:val="22"/>
                <w:szCs w:val="22"/>
                <w:u w:val="single"/>
              </w:rPr>
              <w:t>Tárgyalja:</w:t>
            </w:r>
          </w:p>
          <w:p w14:paraId="49FCF307" w14:textId="77777777" w:rsidR="006325C2" w:rsidRPr="00183685" w:rsidRDefault="006325C2" w:rsidP="00294D69">
            <w:pPr>
              <w:rPr>
                <w:rFonts w:ascii="Arial" w:hAnsi="Arial" w:cs="Arial"/>
                <w:color w:val="3366FF"/>
                <w:sz w:val="22"/>
                <w:szCs w:val="22"/>
              </w:rPr>
            </w:pPr>
            <w:r>
              <w:rPr>
                <w:rFonts w:ascii="Arial" w:hAnsi="Arial" w:cs="Arial"/>
                <w:color w:val="3366FF"/>
                <w:sz w:val="22"/>
                <w:szCs w:val="22"/>
              </w:rPr>
              <w:t>valamennyi bizottság</w:t>
            </w:r>
          </w:p>
          <w:p w14:paraId="080426DE" w14:textId="77777777" w:rsidR="006325C2" w:rsidRPr="00ED4DCE" w:rsidRDefault="006325C2" w:rsidP="00294D69">
            <w:pPr>
              <w:jc w:val="both"/>
              <w:rPr>
                <w:rFonts w:ascii="Arial" w:hAnsi="Arial" w:cs="Arial"/>
                <w:color w:val="3366FF"/>
                <w:sz w:val="22"/>
                <w:szCs w:val="22"/>
                <w:shd w:val="clear" w:color="auto" w:fill="FF0000"/>
              </w:rPr>
            </w:pPr>
          </w:p>
        </w:tc>
      </w:tr>
    </w:tbl>
    <w:p w14:paraId="02CD8C56" w14:textId="77777777" w:rsidR="00DA5EEA" w:rsidRPr="008D3905" w:rsidRDefault="00DA5EEA" w:rsidP="00DA5EEA">
      <w:pPr>
        <w:rPr>
          <w:rFonts w:ascii="Arial" w:hAnsi="Arial" w:cs="Arial"/>
          <w:sz w:val="20"/>
          <w:szCs w:val="20"/>
        </w:rPr>
      </w:pPr>
    </w:p>
    <w:p w14:paraId="228D6CE0" w14:textId="77777777" w:rsidR="006325C2" w:rsidRDefault="006325C2" w:rsidP="006325C2">
      <w:pPr>
        <w:pStyle w:val="Cmsor2"/>
        <w:rPr>
          <w:rFonts w:ascii="Arial" w:hAnsi="Arial" w:cs="Arial"/>
          <w:bCs w:val="0"/>
          <w:sz w:val="22"/>
          <w:szCs w:val="22"/>
        </w:rPr>
      </w:pPr>
      <w:r>
        <w:rPr>
          <w:rFonts w:ascii="Arial" w:hAnsi="Arial" w:cs="Arial"/>
          <w:bCs w:val="0"/>
          <w:sz w:val="22"/>
          <w:szCs w:val="22"/>
        </w:rPr>
        <w:t>Tisztelt Képviselő-testület!</w:t>
      </w:r>
    </w:p>
    <w:p w14:paraId="2696989B" w14:textId="77777777" w:rsidR="006325C2" w:rsidRDefault="006325C2" w:rsidP="006325C2">
      <w:pPr>
        <w:spacing w:line="276" w:lineRule="auto"/>
        <w:jc w:val="center"/>
        <w:rPr>
          <w:rFonts w:ascii="Arial" w:hAnsi="Arial" w:cs="Arial"/>
          <w:sz w:val="22"/>
          <w:szCs w:val="22"/>
        </w:rPr>
      </w:pPr>
    </w:p>
    <w:p w14:paraId="7A694ADF" w14:textId="3C2D04C6"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Az Országgyűlés a Magyarország 2023. évi központi költségvetéséről</w:t>
      </w:r>
      <w:r w:rsidR="00FA1699">
        <w:rPr>
          <w:rFonts w:ascii="Arial" w:hAnsi="Arial" w:cs="Arial"/>
          <w:sz w:val="22"/>
          <w:szCs w:val="22"/>
        </w:rPr>
        <w:t xml:space="preserve"> szóló 2022. évi XXV. </w:t>
      </w:r>
      <w:r w:rsidR="00FA1699" w:rsidRPr="00471F07">
        <w:rPr>
          <w:rFonts w:ascii="Arial" w:hAnsi="Arial" w:cs="Arial"/>
          <w:sz w:val="22"/>
          <w:szCs w:val="22"/>
        </w:rPr>
        <w:t>törvén</w:t>
      </w:r>
      <w:r w:rsidR="00471F07" w:rsidRPr="00471F07">
        <w:rPr>
          <w:rFonts w:ascii="Arial" w:hAnsi="Arial" w:cs="Arial"/>
          <w:sz w:val="22"/>
          <w:szCs w:val="22"/>
        </w:rPr>
        <w:t xml:space="preserve">nyel, valamint a Kormány a 613/2022. (XII. 29.) </w:t>
      </w:r>
      <w:r w:rsidR="00FA1699" w:rsidRPr="00471F07">
        <w:rPr>
          <w:rFonts w:ascii="Arial" w:hAnsi="Arial" w:cs="Arial"/>
          <w:sz w:val="22"/>
          <w:szCs w:val="22"/>
        </w:rPr>
        <w:t>kormányrendelettel</w:t>
      </w:r>
      <w:r w:rsidRPr="00F224A4">
        <w:rPr>
          <w:rFonts w:ascii="Arial" w:hAnsi="Arial" w:cs="Arial"/>
          <w:sz w:val="22"/>
          <w:szCs w:val="22"/>
        </w:rPr>
        <w:t xml:space="preserve"> döntött a helyi önkormányzatokat megillető támogatásokról is. A hatályos jogi szabályozásnak me</w:t>
      </w:r>
      <w:r>
        <w:rPr>
          <w:rFonts w:ascii="Arial" w:hAnsi="Arial" w:cs="Arial"/>
          <w:sz w:val="22"/>
          <w:szCs w:val="22"/>
        </w:rPr>
        <w:t xml:space="preserve">gfelelően a helyi önkormányzat </w:t>
      </w:r>
      <w:r w:rsidR="00FA1699">
        <w:rPr>
          <w:rFonts w:ascii="Arial" w:hAnsi="Arial" w:cs="Arial"/>
          <w:sz w:val="22"/>
          <w:szCs w:val="22"/>
        </w:rPr>
        <w:t>képviselő-</w:t>
      </w:r>
      <w:r>
        <w:rPr>
          <w:rFonts w:ascii="Arial" w:hAnsi="Arial" w:cs="Arial"/>
          <w:sz w:val="22"/>
          <w:szCs w:val="22"/>
        </w:rPr>
        <w:t>testülete</w:t>
      </w:r>
      <w:r w:rsidR="00F4646D">
        <w:rPr>
          <w:rFonts w:ascii="Arial" w:hAnsi="Arial" w:cs="Arial"/>
          <w:sz w:val="22"/>
          <w:szCs w:val="22"/>
        </w:rPr>
        <w:t xml:space="preserve"> elé a polgármesternek </w:t>
      </w:r>
      <w:proofErr w:type="gramStart"/>
      <w:r w:rsidR="00F4646D">
        <w:rPr>
          <w:rFonts w:ascii="Arial" w:hAnsi="Arial" w:cs="Arial"/>
          <w:sz w:val="22"/>
          <w:szCs w:val="22"/>
        </w:rPr>
        <w:t>2023</w:t>
      </w:r>
      <w:r w:rsidRPr="00F224A4">
        <w:rPr>
          <w:rFonts w:ascii="Arial" w:hAnsi="Arial" w:cs="Arial"/>
          <w:sz w:val="22"/>
          <w:szCs w:val="22"/>
        </w:rPr>
        <w:t xml:space="preserve"> február</w:t>
      </w:r>
      <w:proofErr w:type="gramEnd"/>
      <w:r w:rsidRPr="00F224A4">
        <w:rPr>
          <w:rFonts w:ascii="Arial" w:hAnsi="Arial" w:cs="Arial"/>
          <w:sz w:val="22"/>
          <w:szCs w:val="22"/>
        </w:rPr>
        <w:t xml:space="preserve"> 15-éig kell benyújtania a</w:t>
      </w:r>
      <w:r w:rsidR="00FA1699">
        <w:rPr>
          <w:rFonts w:ascii="Arial" w:hAnsi="Arial" w:cs="Arial"/>
          <w:sz w:val="22"/>
          <w:szCs w:val="22"/>
        </w:rPr>
        <w:t>z önkormányzat</w:t>
      </w:r>
      <w:r w:rsidRPr="00F224A4">
        <w:rPr>
          <w:rFonts w:ascii="Arial" w:hAnsi="Arial" w:cs="Arial"/>
          <w:sz w:val="22"/>
          <w:szCs w:val="22"/>
        </w:rPr>
        <w:t xml:space="preserve"> költségvetés tervezetét.</w:t>
      </w:r>
    </w:p>
    <w:p w14:paraId="346A41AD" w14:textId="77777777" w:rsidR="00F224A4" w:rsidRPr="00F224A4" w:rsidRDefault="00F224A4" w:rsidP="00F224A4">
      <w:pPr>
        <w:spacing w:line="276" w:lineRule="auto"/>
        <w:jc w:val="both"/>
        <w:rPr>
          <w:rFonts w:ascii="Arial" w:hAnsi="Arial" w:cs="Arial"/>
          <w:sz w:val="22"/>
          <w:szCs w:val="22"/>
        </w:rPr>
      </w:pPr>
    </w:p>
    <w:p w14:paraId="6B665CA4"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A rendelettervezet előkészítésekor figyelemmel voltunk a működésünket befolyásoló jogszabályokra, illetve azok változásaira, így többek között:</w:t>
      </w:r>
    </w:p>
    <w:p w14:paraId="50FCF4C4"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az államháztartásról szóló 2011. évi CXCV. törvény (a továbbiakban: Áht.);</w:t>
      </w:r>
    </w:p>
    <w:p w14:paraId="1346E058"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 xml:space="preserve">a közszolgálati tisztviselőkről szóló 2011. évi CXCIX. törvény;(a továbbiakban: </w:t>
      </w:r>
      <w:proofErr w:type="spellStart"/>
      <w:r w:rsidRPr="00F224A4">
        <w:rPr>
          <w:rFonts w:ascii="Arial" w:hAnsi="Arial" w:cs="Arial"/>
          <w:sz w:val="22"/>
          <w:szCs w:val="22"/>
        </w:rPr>
        <w:t>Kttv</w:t>
      </w:r>
      <w:proofErr w:type="spellEnd"/>
      <w:r w:rsidRPr="00F224A4">
        <w:rPr>
          <w:rFonts w:ascii="Arial" w:hAnsi="Arial" w:cs="Arial"/>
          <w:sz w:val="22"/>
          <w:szCs w:val="22"/>
        </w:rPr>
        <w:t>.)</w:t>
      </w:r>
    </w:p>
    <w:p w14:paraId="21193AFB"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 xml:space="preserve">a nemzetiségek jogairól szóló 2011. évi CLXXIX. törvény; (a továbbiakban: </w:t>
      </w:r>
      <w:proofErr w:type="spellStart"/>
      <w:r w:rsidRPr="00F224A4">
        <w:rPr>
          <w:rFonts w:ascii="Arial" w:hAnsi="Arial" w:cs="Arial"/>
          <w:sz w:val="22"/>
          <w:szCs w:val="22"/>
        </w:rPr>
        <w:t>Njt</w:t>
      </w:r>
      <w:proofErr w:type="spellEnd"/>
      <w:r w:rsidRPr="00F224A4">
        <w:rPr>
          <w:rFonts w:ascii="Arial" w:hAnsi="Arial" w:cs="Arial"/>
          <w:sz w:val="22"/>
          <w:szCs w:val="22"/>
        </w:rPr>
        <w:t>.)</w:t>
      </w:r>
    </w:p>
    <w:p w14:paraId="5FF86CB3" w14:textId="77777777" w:rsidR="00F224A4" w:rsidRPr="00F224A4" w:rsidRDefault="00F224A4" w:rsidP="00F224A4">
      <w:pPr>
        <w:spacing w:line="276" w:lineRule="auto"/>
        <w:jc w:val="both"/>
        <w:rPr>
          <w:rFonts w:ascii="Arial" w:hAnsi="Arial" w:cs="Arial"/>
          <w:sz w:val="22"/>
          <w:szCs w:val="22"/>
        </w:rPr>
      </w:pPr>
      <w:r w:rsidRPr="00F224A4">
        <w:rPr>
          <w:rFonts w:ascii="Arial" w:hAnsi="Arial" w:cs="Arial"/>
          <w:sz w:val="22"/>
          <w:szCs w:val="22"/>
        </w:rPr>
        <w:t>-</w:t>
      </w:r>
      <w:r w:rsidRPr="00F224A4">
        <w:rPr>
          <w:rFonts w:ascii="Arial" w:hAnsi="Arial" w:cs="Arial"/>
          <w:sz w:val="22"/>
          <w:szCs w:val="22"/>
        </w:rPr>
        <w:tab/>
        <w:t xml:space="preserve">Magyarország gazdasági </w:t>
      </w:r>
      <w:proofErr w:type="gramStart"/>
      <w:r w:rsidRPr="00F224A4">
        <w:rPr>
          <w:rFonts w:ascii="Arial" w:hAnsi="Arial" w:cs="Arial"/>
          <w:sz w:val="22"/>
          <w:szCs w:val="22"/>
        </w:rPr>
        <w:t>stabilitásáról</w:t>
      </w:r>
      <w:proofErr w:type="gramEnd"/>
      <w:r w:rsidRPr="00F224A4">
        <w:rPr>
          <w:rFonts w:ascii="Arial" w:hAnsi="Arial" w:cs="Arial"/>
          <w:sz w:val="22"/>
          <w:szCs w:val="22"/>
        </w:rPr>
        <w:t xml:space="preserve"> szóló 2011. évi CXCIV. törvény (a továbbiakban: </w:t>
      </w:r>
      <w:proofErr w:type="spellStart"/>
      <w:r w:rsidRPr="00F224A4">
        <w:rPr>
          <w:rFonts w:ascii="Arial" w:hAnsi="Arial" w:cs="Arial"/>
          <w:sz w:val="22"/>
          <w:szCs w:val="22"/>
        </w:rPr>
        <w:t>Gst</w:t>
      </w:r>
      <w:proofErr w:type="spellEnd"/>
      <w:r w:rsidRPr="00F224A4">
        <w:rPr>
          <w:rFonts w:ascii="Arial" w:hAnsi="Arial" w:cs="Arial"/>
          <w:sz w:val="22"/>
          <w:szCs w:val="22"/>
        </w:rPr>
        <w:t>.)</w:t>
      </w:r>
    </w:p>
    <w:p w14:paraId="586EEDBC" w14:textId="77777777" w:rsidR="00F224A4" w:rsidRPr="00F224A4" w:rsidRDefault="00F224A4" w:rsidP="00F224A4">
      <w:pPr>
        <w:spacing w:line="276" w:lineRule="auto"/>
        <w:jc w:val="both"/>
        <w:rPr>
          <w:rFonts w:ascii="Arial" w:hAnsi="Arial" w:cs="Arial"/>
          <w:sz w:val="22"/>
          <w:szCs w:val="22"/>
        </w:rPr>
      </w:pPr>
      <w:proofErr w:type="gramStart"/>
      <w:r w:rsidRPr="00F224A4">
        <w:rPr>
          <w:rFonts w:ascii="Arial" w:hAnsi="Arial" w:cs="Arial"/>
          <w:sz w:val="22"/>
          <w:szCs w:val="22"/>
        </w:rPr>
        <w:t>előírásaira</w:t>
      </w:r>
      <w:proofErr w:type="gramEnd"/>
      <w:r w:rsidRPr="00F224A4">
        <w:rPr>
          <w:rFonts w:ascii="Arial" w:hAnsi="Arial" w:cs="Arial"/>
          <w:sz w:val="22"/>
          <w:szCs w:val="22"/>
        </w:rPr>
        <w:t>.</w:t>
      </w:r>
    </w:p>
    <w:p w14:paraId="32A335EA" w14:textId="77777777" w:rsidR="00F224A4" w:rsidRPr="00F224A4" w:rsidRDefault="00F224A4" w:rsidP="00F224A4">
      <w:pPr>
        <w:spacing w:line="276" w:lineRule="auto"/>
        <w:jc w:val="both"/>
        <w:rPr>
          <w:rFonts w:ascii="Arial" w:hAnsi="Arial" w:cs="Arial"/>
          <w:sz w:val="22"/>
          <w:szCs w:val="22"/>
        </w:rPr>
      </w:pPr>
    </w:p>
    <w:p w14:paraId="7C286CEC" w14:textId="2F1C2912" w:rsidR="006325C2" w:rsidRPr="004D013C" w:rsidRDefault="00F224A4" w:rsidP="004D013C">
      <w:pPr>
        <w:spacing w:line="276" w:lineRule="auto"/>
        <w:jc w:val="both"/>
        <w:rPr>
          <w:rFonts w:ascii="Arial" w:hAnsi="Arial" w:cs="Arial"/>
          <w:sz w:val="22"/>
          <w:szCs w:val="22"/>
        </w:rPr>
      </w:pPr>
      <w:r w:rsidRPr="00F224A4">
        <w:rPr>
          <w:rFonts w:ascii="Arial" w:hAnsi="Arial" w:cs="Arial"/>
          <w:sz w:val="22"/>
          <w:szCs w:val="22"/>
        </w:rPr>
        <w:t>A rendelettervezet előkészítéséről a jegyző gondoskodott, az Áht. 29/</w:t>
      </w:r>
      <w:proofErr w:type="gramStart"/>
      <w:r w:rsidRPr="00F224A4">
        <w:rPr>
          <w:rFonts w:ascii="Arial" w:hAnsi="Arial" w:cs="Arial"/>
          <w:sz w:val="22"/>
          <w:szCs w:val="22"/>
        </w:rPr>
        <w:t>A.</w:t>
      </w:r>
      <w:proofErr w:type="gramEnd"/>
      <w:r w:rsidRPr="00F224A4">
        <w:rPr>
          <w:rFonts w:ascii="Arial" w:hAnsi="Arial" w:cs="Arial"/>
          <w:sz w:val="22"/>
          <w:szCs w:val="22"/>
        </w:rPr>
        <w:t xml:space="preserve"> §-a szerinti tervszámoknak megfelelően. A 2022-2024. évi tervszámok meghatározásakor hitel felvételével nem számoltunk, a költségvetés tervezete ezzel összhangban került </w:t>
      </w:r>
      <w:r w:rsidRPr="00F224A4">
        <w:rPr>
          <w:rFonts w:ascii="Arial" w:hAnsi="Arial" w:cs="Arial"/>
          <w:sz w:val="22"/>
          <w:szCs w:val="22"/>
        </w:rPr>
        <w:lastRenderedPageBreak/>
        <w:t xml:space="preserve">összeállításra. </w:t>
      </w:r>
      <w:r>
        <w:rPr>
          <w:rFonts w:ascii="Arial" w:hAnsi="Arial" w:cs="Arial"/>
          <w:sz w:val="22"/>
          <w:szCs w:val="22"/>
        </w:rPr>
        <w:t>A t</w:t>
      </w:r>
      <w:r w:rsidR="006325C2">
        <w:rPr>
          <w:rFonts w:ascii="Arial" w:hAnsi="Arial" w:cs="Arial"/>
          <w:sz w:val="22"/>
          <w:szCs w:val="22"/>
        </w:rPr>
        <w:t>ervezéskor figyelemmel v</w:t>
      </w:r>
      <w:r>
        <w:rPr>
          <w:rFonts w:ascii="Arial" w:hAnsi="Arial" w:cs="Arial"/>
          <w:sz w:val="22"/>
          <w:szCs w:val="22"/>
        </w:rPr>
        <w:t>oltunk a</w:t>
      </w:r>
      <w:r w:rsidR="006325C2">
        <w:rPr>
          <w:rFonts w:ascii="Arial" w:hAnsi="Arial" w:cs="Arial"/>
          <w:sz w:val="22"/>
          <w:szCs w:val="22"/>
        </w:rPr>
        <w:t xml:space="preserve"> vonatkozó központi</w:t>
      </w:r>
      <w:r>
        <w:rPr>
          <w:rFonts w:ascii="Arial" w:hAnsi="Arial" w:cs="Arial"/>
          <w:sz w:val="22"/>
          <w:szCs w:val="22"/>
        </w:rPr>
        <w:t xml:space="preserve"> jogszabályok mellett </w:t>
      </w:r>
      <w:r w:rsidR="006325C2">
        <w:rPr>
          <w:rFonts w:ascii="Arial" w:hAnsi="Arial" w:cs="Arial"/>
          <w:sz w:val="22"/>
          <w:szCs w:val="22"/>
        </w:rPr>
        <w:t>a helyi önkormányzati rendelet</w:t>
      </w:r>
      <w:r>
        <w:rPr>
          <w:rFonts w:ascii="Arial" w:hAnsi="Arial" w:cs="Arial"/>
          <w:sz w:val="22"/>
          <w:szCs w:val="22"/>
        </w:rPr>
        <w:t>ekben meghatározott előírásokra is.</w:t>
      </w:r>
    </w:p>
    <w:p w14:paraId="35E78F73" w14:textId="77777777" w:rsidR="00850FA2" w:rsidRDefault="00850FA2" w:rsidP="00CD3CA6">
      <w:pPr>
        <w:spacing w:line="240" w:lineRule="atLeast"/>
        <w:jc w:val="both"/>
        <w:rPr>
          <w:rFonts w:ascii="Arial" w:hAnsi="Arial" w:cs="Arial"/>
          <w:sz w:val="22"/>
          <w:szCs w:val="22"/>
        </w:rPr>
      </w:pPr>
    </w:p>
    <w:p w14:paraId="0F76F00B" w14:textId="77777777" w:rsidR="004A4AC4" w:rsidRPr="004A4AC4" w:rsidRDefault="004A4AC4" w:rsidP="004A4AC4">
      <w:pPr>
        <w:spacing w:line="240" w:lineRule="atLeast"/>
        <w:jc w:val="both"/>
        <w:rPr>
          <w:rFonts w:ascii="Arial" w:hAnsi="Arial" w:cs="Arial"/>
          <w:b/>
          <w:sz w:val="22"/>
          <w:szCs w:val="22"/>
          <w:u w:val="single"/>
        </w:rPr>
      </w:pPr>
      <w:r w:rsidRPr="004A4AC4">
        <w:rPr>
          <w:rFonts w:ascii="Arial" w:hAnsi="Arial" w:cs="Arial"/>
          <w:b/>
          <w:sz w:val="22"/>
          <w:szCs w:val="22"/>
          <w:u w:val="single"/>
        </w:rPr>
        <w:t xml:space="preserve">A 2023. évi Költségvetési törvényben meghatározott </w:t>
      </w:r>
      <w:r>
        <w:rPr>
          <w:rFonts w:ascii="Arial" w:hAnsi="Arial" w:cs="Arial"/>
          <w:b/>
          <w:sz w:val="22"/>
          <w:szCs w:val="22"/>
          <w:u w:val="single"/>
        </w:rPr>
        <w:t>önkormányzati</w:t>
      </w:r>
      <w:r w:rsidR="00B35481">
        <w:rPr>
          <w:rFonts w:ascii="Arial" w:hAnsi="Arial" w:cs="Arial"/>
          <w:b/>
          <w:sz w:val="22"/>
          <w:szCs w:val="22"/>
          <w:u w:val="single"/>
        </w:rPr>
        <w:t xml:space="preserve"> </w:t>
      </w:r>
      <w:r w:rsidRPr="004A4AC4">
        <w:rPr>
          <w:rFonts w:ascii="Arial" w:hAnsi="Arial" w:cs="Arial"/>
          <w:b/>
          <w:sz w:val="22"/>
          <w:szCs w:val="22"/>
          <w:u w:val="single"/>
        </w:rPr>
        <w:t xml:space="preserve">források köre, </w:t>
      </w:r>
      <w:r>
        <w:rPr>
          <w:rFonts w:ascii="Arial" w:hAnsi="Arial" w:cs="Arial"/>
          <w:b/>
          <w:sz w:val="22"/>
          <w:szCs w:val="22"/>
          <w:u w:val="single"/>
        </w:rPr>
        <w:t>a tervezést meghatározó jogszabályi keretek</w:t>
      </w:r>
    </w:p>
    <w:p w14:paraId="60E3917D" w14:textId="77777777" w:rsidR="004A4AC4" w:rsidRPr="004A4AC4" w:rsidRDefault="004A4AC4" w:rsidP="004A4AC4">
      <w:pPr>
        <w:spacing w:line="240" w:lineRule="atLeast"/>
        <w:jc w:val="both"/>
        <w:rPr>
          <w:rFonts w:ascii="Arial" w:hAnsi="Arial" w:cs="Arial"/>
          <w:sz w:val="22"/>
          <w:szCs w:val="22"/>
        </w:rPr>
      </w:pPr>
    </w:p>
    <w:p w14:paraId="15514ACB" w14:textId="77777777" w:rsidR="004A4AC4" w:rsidRPr="004D1BB5" w:rsidRDefault="004A4AC4" w:rsidP="004A4AC4">
      <w:pPr>
        <w:spacing w:line="240" w:lineRule="atLeast"/>
        <w:jc w:val="both"/>
        <w:rPr>
          <w:rFonts w:ascii="Arial" w:hAnsi="Arial" w:cs="Arial"/>
          <w:sz w:val="22"/>
          <w:szCs w:val="22"/>
        </w:rPr>
      </w:pPr>
      <w:r w:rsidRPr="004D1BB5">
        <w:rPr>
          <w:rFonts w:ascii="Arial" w:hAnsi="Arial" w:cs="Arial"/>
          <w:sz w:val="22"/>
          <w:szCs w:val="22"/>
        </w:rPr>
        <w:t>A 2023. évi központi költségvetéséről szóló 2022. évi XXV. törvény 2 mellékletének megfelelően Önkormányzatunk az alábbi köz</w:t>
      </w:r>
      <w:r w:rsidR="00B35481" w:rsidRPr="004D1BB5">
        <w:rPr>
          <w:rFonts w:ascii="Arial" w:hAnsi="Arial" w:cs="Arial"/>
          <w:sz w:val="22"/>
          <w:szCs w:val="22"/>
        </w:rPr>
        <w:t>ponti költségvetési forrásokkal</w:t>
      </w:r>
      <w:r w:rsidRPr="004D1BB5">
        <w:rPr>
          <w:rFonts w:ascii="Arial" w:hAnsi="Arial" w:cs="Arial"/>
          <w:sz w:val="22"/>
          <w:szCs w:val="22"/>
        </w:rPr>
        <w:t xml:space="preserve"> számolhat:</w:t>
      </w:r>
    </w:p>
    <w:p w14:paraId="6AAF142D" w14:textId="77777777" w:rsidR="00B35481" w:rsidRPr="004A4AC4" w:rsidRDefault="00B35481" w:rsidP="004A4AC4">
      <w:pPr>
        <w:spacing w:line="240" w:lineRule="atLeast"/>
        <w:jc w:val="both"/>
        <w:rPr>
          <w:rFonts w:ascii="Arial" w:hAnsi="Arial" w:cs="Arial"/>
          <w:sz w:val="22"/>
          <w:szCs w:val="22"/>
          <w:highlight w:val="yellow"/>
        </w:rPr>
      </w:pPr>
    </w:p>
    <w:p w14:paraId="59A5F8A8" w14:textId="7D5EC5A4" w:rsidR="004A4AC4" w:rsidRPr="004A4AC4" w:rsidRDefault="004A4AC4" w:rsidP="004A4AC4">
      <w:pPr>
        <w:spacing w:line="240" w:lineRule="atLeast"/>
        <w:jc w:val="both"/>
        <w:rPr>
          <w:rFonts w:ascii="Arial" w:hAnsi="Arial" w:cs="Arial"/>
          <w:sz w:val="22"/>
          <w:szCs w:val="22"/>
          <w:highlight w:val="yellow"/>
        </w:rPr>
      </w:pPr>
      <w:r w:rsidRPr="004202D5">
        <w:rPr>
          <w:rFonts w:ascii="Arial" w:hAnsi="Arial" w:cs="Arial"/>
          <w:sz w:val="22"/>
          <w:szCs w:val="22"/>
        </w:rPr>
        <w:t>-</w:t>
      </w:r>
      <w:r w:rsidRPr="004202D5">
        <w:rPr>
          <w:rFonts w:ascii="Arial" w:hAnsi="Arial" w:cs="Arial"/>
          <w:sz w:val="22"/>
          <w:szCs w:val="22"/>
        </w:rPr>
        <w:tab/>
      </w:r>
      <w:r w:rsidRPr="004202D5">
        <w:rPr>
          <w:rFonts w:ascii="Arial" w:hAnsi="Arial" w:cs="Arial"/>
          <w:b/>
          <w:sz w:val="22"/>
          <w:szCs w:val="22"/>
          <w:u w:val="single"/>
        </w:rPr>
        <w:t>Helyi önkormányzatok működésének általános támogatása</w:t>
      </w:r>
      <w:r w:rsidRPr="004202D5">
        <w:rPr>
          <w:rFonts w:ascii="Arial" w:hAnsi="Arial" w:cs="Arial"/>
          <w:sz w:val="22"/>
          <w:szCs w:val="22"/>
        </w:rPr>
        <w:t>, mely magába foglalja</w:t>
      </w:r>
      <w:r w:rsidR="004202D5" w:rsidRPr="004202D5">
        <w:rPr>
          <w:rFonts w:ascii="Arial" w:hAnsi="Arial" w:cs="Arial"/>
          <w:sz w:val="22"/>
          <w:szCs w:val="22"/>
        </w:rPr>
        <w:t xml:space="preserve"> a közös önkormányzati hivatal</w:t>
      </w:r>
      <w:r w:rsidRPr="004202D5">
        <w:rPr>
          <w:rFonts w:ascii="Arial" w:hAnsi="Arial" w:cs="Arial"/>
          <w:sz w:val="22"/>
          <w:szCs w:val="22"/>
        </w:rPr>
        <w:t xml:space="preserve"> működésének támogatását, a településüzemeltetéssel kapcsolatos támogatásokat (zöldterület gazdálkodás tám</w:t>
      </w:r>
      <w:r w:rsidR="00FA1699">
        <w:rPr>
          <w:rFonts w:ascii="Arial" w:hAnsi="Arial" w:cs="Arial"/>
          <w:sz w:val="22"/>
          <w:szCs w:val="22"/>
        </w:rPr>
        <w:t>ogatása, közvilágítás támogatását, köztemető támogatását</w:t>
      </w:r>
      <w:r w:rsidRPr="004202D5">
        <w:rPr>
          <w:rFonts w:ascii="Arial" w:hAnsi="Arial" w:cs="Arial"/>
          <w:sz w:val="22"/>
          <w:szCs w:val="22"/>
        </w:rPr>
        <w:t>, közutakkal kapc</w:t>
      </w:r>
      <w:r w:rsidR="00FA1699">
        <w:rPr>
          <w:rFonts w:ascii="Arial" w:hAnsi="Arial" w:cs="Arial"/>
          <w:sz w:val="22"/>
          <w:szCs w:val="22"/>
        </w:rPr>
        <w:t>solatos feladatok támogatását</w:t>
      </w:r>
      <w:r w:rsidRPr="004202D5">
        <w:rPr>
          <w:rFonts w:ascii="Arial" w:hAnsi="Arial" w:cs="Arial"/>
          <w:sz w:val="22"/>
          <w:szCs w:val="22"/>
        </w:rPr>
        <w:t>, egyéb önkormányzati</w:t>
      </w:r>
      <w:r w:rsidR="00FA1699">
        <w:rPr>
          <w:rFonts w:ascii="Arial" w:hAnsi="Arial" w:cs="Arial"/>
          <w:sz w:val="22"/>
          <w:szCs w:val="22"/>
        </w:rPr>
        <w:t xml:space="preserve"> feladatok támogatását</w:t>
      </w:r>
      <w:r w:rsidR="004202D5" w:rsidRPr="004202D5">
        <w:rPr>
          <w:rFonts w:ascii="Arial" w:hAnsi="Arial" w:cs="Arial"/>
          <w:sz w:val="22"/>
          <w:szCs w:val="22"/>
        </w:rPr>
        <w:t xml:space="preserve">, </w:t>
      </w:r>
      <w:r w:rsidRPr="004202D5">
        <w:rPr>
          <w:rFonts w:ascii="Arial" w:hAnsi="Arial" w:cs="Arial"/>
          <w:sz w:val="22"/>
          <w:szCs w:val="22"/>
        </w:rPr>
        <w:t xml:space="preserve">a lakott </w:t>
      </w:r>
      <w:r w:rsidR="004202D5" w:rsidRPr="004202D5">
        <w:rPr>
          <w:rFonts w:ascii="Arial" w:hAnsi="Arial" w:cs="Arial"/>
          <w:sz w:val="22"/>
          <w:szCs w:val="22"/>
        </w:rPr>
        <w:t>kül</w:t>
      </w:r>
      <w:r w:rsidRPr="004202D5">
        <w:rPr>
          <w:rFonts w:ascii="Arial" w:hAnsi="Arial" w:cs="Arial"/>
          <w:sz w:val="22"/>
          <w:szCs w:val="22"/>
        </w:rPr>
        <w:t>területtel kapcsolatos feladatok</w:t>
      </w:r>
      <w:r w:rsidR="00FA1699">
        <w:rPr>
          <w:rFonts w:ascii="Arial" w:hAnsi="Arial" w:cs="Arial"/>
          <w:sz w:val="22"/>
          <w:szCs w:val="22"/>
        </w:rPr>
        <w:t xml:space="preserve"> támogatását</w:t>
      </w:r>
      <w:r w:rsidR="004202D5" w:rsidRPr="004202D5">
        <w:rPr>
          <w:rFonts w:ascii="Arial" w:hAnsi="Arial" w:cs="Arial"/>
          <w:sz w:val="22"/>
          <w:szCs w:val="22"/>
        </w:rPr>
        <w:t xml:space="preserve">, valamint a közvilágítás kiegészítő </w:t>
      </w:r>
      <w:r w:rsidRPr="004202D5">
        <w:rPr>
          <w:rFonts w:ascii="Arial" w:hAnsi="Arial" w:cs="Arial"/>
          <w:sz w:val="22"/>
          <w:szCs w:val="22"/>
        </w:rPr>
        <w:t>támogatás</w:t>
      </w:r>
      <w:r w:rsidR="00FA1699">
        <w:rPr>
          <w:rFonts w:ascii="Arial" w:hAnsi="Arial" w:cs="Arial"/>
          <w:sz w:val="22"/>
          <w:szCs w:val="22"/>
        </w:rPr>
        <w:t>át</w:t>
      </w:r>
      <w:r w:rsidRPr="00D64A9C">
        <w:rPr>
          <w:rFonts w:ascii="Arial" w:hAnsi="Arial" w:cs="Arial"/>
          <w:sz w:val="22"/>
          <w:szCs w:val="22"/>
        </w:rPr>
        <w:t xml:space="preserve">. </w:t>
      </w:r>
    </w:p>
    <w:p w14:paraId="4F413DF7" w14:textId="77777777" w:rsidR="004A4AC4" w:rsidRPr="00D64A9C" w:rsidRDefault="004A4AC4" w:rsidP="004A4AC4">
      <w:pPr>
        <w:spacing w:line="240" w:lineRule="atLeast"/>
        <w:jc w:val="both"/>
        <w:rPr>
          <w:rFonts w:ascii="Arial" w:hAnsi="Arial" w:cs="Arial"/>
          <w:sz w:val="22"/>
          <w:szCs w:val="22"/>
        </w:rPr>
      </w:pPr>
      <w:r w:rsidRPr="00D64A9C">
        <w:rPr>
          <w:rFonts w:ascii="Arial" w:hAnsi="Arial" w:cs="Arial"/>
          <w:sz w:val="22"/>
          <w:szCs w:val="22"/>
        </w:rPr>
        <w:t>-</w:t>
      </w:r>
      <w:r w:rsidRPr="00D64A9C">
        <w:rPr>
          <w:rFonts w:ascii="Arial" w:hAnsi="Arial" w:cs="Arial"/>
          <w:sz w:val="22"/>
          <w:szCs w:val="22"/>
        </w:rPr>
        <w:tab/>
      </w:r>
      <w:r w:rsidRPr="00D64A9C">
        <w:rPr>
          <w:rFonts w:ascii="Arial" w:hAnsi="Arial" w:cs="Arial"/>
          <w:b/>
          <w:sz w:val="22"/>
          <w:szCs w:val="22"/>
          <w:u w:val="single"/>
        </w:rPr>
        <w:t>Önkormányzatok egyes köznevelési feladatainak támogatása</w:t>
      </w:r>
      <w:r w:rsidRPr="00D64A9C">
        <w:rPr>
          <w:rFonts w:ascii="Arial" w:hAnsi="Arial" w:cs="Arial"/>
          <w:sz w:val="22"/>
          <w:szCs w:val="22"/>
        </w:rPr>
        <w:t xml:space="preserve">, </w:t>
      </w:r>
      <w:r w:rsidR="004202D5" w:rsidRPr="00D64A9C">
        <w:rPr>
          <w:rFonts w:ascii="Arial" w:hAnsi="Arial" w:cs="Arial"/>
          <w:sz w:val="22"/>
          <w:szCs w:val="22"/>
        </w:rPr>
        <w:t xml:space="preserve">mely </w:t>
      </w:r>
      <w:r w:rsidRPr="00D64A9C">
        <w:rPr>
          <w:rFonts w:ascii="Arial" w:hAnsi="Arial" w:cs="Arial"/>
          <w:sz w:val="22"/>
          <w:szCs w:val="22"/>
        </w:rPr>
        <w:t xml:space="preserve">az óvodaműködtetési, az óvodában foglalkoztatott pedagógusok </w:t>
      </w:r>
      <w:r w:rsidR="004202D5" w:rsidRPr="00D64A9C">
        <w:rPr>
          <w:rFonts w:ascii="Arial" w:hAnsi="Arial" w:cs="Arial"/>
          <w:sz w:val="22"/>
          <w:szCs w:val="22"/>
        </w:rPr>
        <w:t>átlagbér alapú bértámogatását</w:t>
      </w:r>
      <w:r w:rsidRPr="00D64A9C">
        <w:rPr>
          <w:rFonts w:ascii="Arial" w:hAnsi="Arial" w:cs="Arial"/>
          <w:sz w:val="22"/>
          <w:szCs w:val="22"/>
        </w:rPr>
        <w:t>, a pedagógusok és pedagógus szakképzettséggel rendelkező segítők minősítéséből adódó többletkiadások</w:t>
      </w:r>
      <w:r w:rsidR="004202D5" w:rsidRPr="00D64A9C">
        <w:rPr>
          <w:rFonts w:ascii="Arial" w:hAnsi="Arial" w:cs="Arial"/>
          <w:sz w:val="22"/>
          <w:szCs w:val="22"/>
        </w:rPr>
        <w:t>ra biztosított kiegészítő támogatást</w:t>
      </w:r>
      <w:r w:rsidRPr="00D64A9C">
        <w:rPr>
          <w:rFonts w:ascii="Arial" w:hAnsi="Arial" w:cs="Arial"/>
          <w:sz w:val="22"/>
          <w:szCs w:val="22"/>
        </w:rPr>
        <w:t>, a nemzetiségi pótlék</w:t>
      </w:r>
      <w:r w:rsidR="004202D5" w:rsidRPr="00D64A9C">
        <w:rPr>
          <w:rFonts w:ascii="Arial" w:hAnsi="Arial" w:cs="Arial"/>
          <w:sz w:val="22"/>
          <w:szCs w:val="22"/>
        </w:rPr>
        <w:t>kal összefüggő támogatás, valamint</w:t>
      </w:r>
      <w:r w:rsidRPr="00D64A9C">
        <w:rPr>
          <w:rFonts w:ascii="Arial" w:hAnsi="Arial" w:cs="Arial"/>
          <w:sz w:val="22"/>
          <w:szCs w:val="22"/>
        </w:rPr>
        <w:t xml:space="preserve"> az óvodában foglalkoztatott pedagógusok munkáját közvetlenül segítők</w:t>
      </w:r>
      <w:r w:rsidR="004202D5" w:rsidRPr="00D64A9C">
        <w:rPr>
          <w:rFonts w:ascii="Arial" w:hAnsi="Arial" w:cs="Arial"/>
          <w:sz w:val="22"/>
          <w:szCs w:val="22"/>
        </w:rPr>
        <w:t xml:space="preserve"> átlagbéralapú</w:t>
      </w:r>
      <w:r w:rsidRPr="00D64A9C">
        <w:rPr>
          <w:rFonts w:ascii="Arial" w:hAnsi="Arial" w:cs="Arial"/>
          <w:sz w:val="22"/>
          <w:szCs w:val="22"/>
        </w:rPr>
        <w:t xml:space="preserve"> támogatása jelenti.</w:t>
      </w:r>
    </w:p>
    <w:p w14:paraId="14F30D04" w14:textId="77777777" w:rsidR="00DD4DCD" w:rsidRDefault="004A4AC4" w:rsidP="004A4AC4">
      <w:pPr>
        <w:spacing w:line="240" w:lineRule="atLeast"/>
        <w:jc w:val="both"/>
        <w:rPr>
          <w:rFonts w:ascii="Arial" w:hAnsi="Arial" w:cs="Arial"/>
          <w:sz w:val="22"/>
          <w:szCs w:val="22"/>
        </w:rPr>
      </w:pPr>
      <w:r w:rsidRPr="0098296C">
        <w:rPr>
          <w:rFonts w:ascii="Arial" w:hAnsi="Arial" w:cs="Arial"/>
          <w:sz w:val="22"/>
          <w:szCs w:val="22"/>
        </w:rPr>
        <w:t>-</w:t>
      </w:r>
      <w:r w:rsidRPr="0098296C">
        <w:rPr>
          <w:rFonts w:ascii="Arial" w:hAnsi="Arial" w:cs="Arial"/>
          <w:sz w:val="22"/>
          <w:szCs w:val="22"/>
        </w:rPr>
        <w:tab/>
      </w:r>
      <w:r w:rsidRPr="0098296C">
        <w:rPr>
          <w:rFonts w:ascii="Arial" w:hAnsi="Arial" w:cs="Arial"/>
          <w:b/>
          <w:sz w:val="22"/>
          <w:szCs w:val="22"/>
          <w:u w:val="single"/>
        </w:rPr>
        <w:t>Önkormányzatok szociális, gyermekjóléti feladatainak támogatása</w:t>
      </w:r>
      <w:r w:rsidRPr="0098296C">
        <w:rPr>
          <w:rFonts w:ascii="Arial" w:hAnsi="Arial" w:cs="Arial"/>
          <w:sz w:val="22"/>
          <w:szCs w:val="22"/>
        </w:rPr>
        <w:t xml:space="preserve"> jogcímen kerül </w:t>
      </w:r>
      <w:proofErr w:type="gramStart"/>
      <w:r w:rsidRPr="0098296C">
        <w:rPr>
          <w:rFonts w:ascii="Arial" w:hAnsi="Arial" w:cs="Arial"/>
          <w:sz w:val="22"/>
          <w:szCs w:val="22"/>
        </w:rPr>
        <w:t>finanszírozásra</w:t>
      </w:r>
      <w:proofErr w:type="gramEnd"/>
      <w:r w:rsidRPr="0098296C">
        <w:rPr>
          <w:rFonts w:ascii="Arial" w:hAnsi="Arial" w:cs="Arial"/>
          <w:sz w:val="22"/>
          <w:szCs w:val="22"/>
        </w:rPr>
        <w:t xml:space="preserve"> a települési önkormányzatok </w:t>
      </w:r>
      <w:r w:rsidR="0098296C">
        <w:rPr>
          <w:rFonts w:ascii="Arial" w:hAnsi="Arial" w:cs="Arial"/>
          <w:sz w:val="22"/>
          <w:szCs w:val="22"/>
        </w:rPr>
        <w:t>c</w:t>
      </w:r>
      <w:r w:rsidR="0098296C" w:rsidRPr="0098296C">
        <w:rPr>
          <w:rFonts w:ascii="Arial" w:hAnsi="Arial" w:cs="Arial"/>
          <w:sz w:val="22"/>
          <w:szCs w:val="22"/>
        </w:rPr>
        <w:t>salád- és gyermekjóléti szolgálat</w:t>
      </w:r>
      <w:r w:rsidR="0098296C">
        <w:rPr>
          <w:rFonts w:ascii="Arial" w:hAnsi="Arial" w:cs="Arial"/>
          <w:sz w:val="22"/>
          <w:szCs w:val="22"/>
        </w:rPr>
        <w:t xml:space="preserve">ára, a </w:t>
      </w:r>
      <w:r w:rsidR="0098296C" w:rsidRPr="0098296C">
        <w:rPr>
          <w:rFonts w:ascii="Arial" w:hAnsi="Arial" w:cs="Arial"/>
          <w:sz w:val="22"/>
          <w:szCs w:val="22"/>
        </w:rPr>
        <w:t>szociális étkeztetés</w:t>
      </w:r>
      <w:r w:rsidR="0098296C">
        <w:rPr>
          <w:rFonts w:ascii="Arial" w:hAnsi="Arial" w:cs="Arial"/>
          <w:sz w:val="22"/>
          <w:szCs w:val="22"/>
        </w:rPr>
        <w:t xml:space="preserve">re, a </w:t>
      </w:r>
      <w:r w:rsidR="0098296C" w:rsidRPr="0098296C">
        <w:rPr>
          <w:rFonts w:ascii="Arial" w:hAnsi="Arial" w:cs="Arial"/>
          <w:sz w:val="22"/>
          <w:szCs w:val="22"/>
        </w:rPr>
        <w:t>házi segítségnyújtás</w:t>
      </w:r>
      <w:r w:rsidR="0098296C">
        <w:rPr>
          <w:rFonts w:ascii="Arial" w:hAnsi="Arial" w:cs="Arial"/>
          <w:sz w:val="22"/>
          <w:szCs w:val="22"/>
        </w:rPr>
        <w:t>ra, az i</w:t>
      </w:r>
      <w:r w:rsidR="0098296C" w:rsidRPr="0098296C">
        <w:rPr>
          <w:rFonts w:ascii="Arial" w:hAnsi="Arial" w:cs="Arial"/>
          <w:sz w:val="22"/>
          <w:szCs w:val="22"/>
        </w:rPr>
        <w:t>dőskorúak nappali in</w:t>
      </w:r>
      <w:r w:rsidR="0098296C">
        <w:rPr>
          <w:rFonts w:ascii="Arial" w:hAnsi="Arial" w:cs="Arial"/>
          <w:sz w:val="22"/>
          <w:szCs w:val="22"/>
        </w:rPr>
        <w:t>tézményi ellátására, a b</w:t>
      </w:r>
      <w:r w:rsidR="0098296C" w:rsidRPr="0098296C">
        <w:rPr>
          <w:rFonts w:ascii="Arial" w:hAnsi="Arial" w:cs="Arial"/>
          <w:sz w:val="22"/>
          <w:szCs w:val="22"/>
        </w:rPr>
        <w:t>ölcsődei dajkák, középfokú végzettségű kisgyermeknevel</w:t>
      </w:r>
      <w:r w:rsidR="0098296C">
        <w:rPr>
          <w:rFonts w:ascii="Arial" w:hAnsi="Arial" w:cs="Arial"/>
          <w:sz w:val="22"/>
          <w:szCs w:val="22"/>
        </w:rPr>
        <w:t>ők, szaktanácsadók bértámogatására, a bölcsődei üzemeltetésre a központi költségvetésben rendelkezésre álló forrás.</w:t>
      </w:r>
      <w:r w:rsidR="0098296C" w:rsidRPr="0098296C">
        <w:rPr>
          <w:rFonts w:ascii="Arial" w:hAnsi="Arial" w:cs="Arial"/>
          <w:sz w:val="22"/>
          <w:szCs w:val="22"/>
        </w:rPr>
        <w:t xml:space="preserve"> </w:t>
      </w:r>
    </w:p>
    <w:p w14:paraId="4B471597" w14:textId="77777777" w:rsidR="004A4AC4" w:rsidRPr="00DD4DCD" w:rsidRDefault="0098296C" w:rsidP="004A4AC4">
      <w:pPr>
        <w:spacing w:line="240" w:lineRule="atLeast"/>
        <w:jc w:val="both"/>
        <w:rPr>
          <w:rFonts w:ascii="Arial" w:hAnsi="Arial" w:cs="Arial"/>
          <w:sz w:val="22"/>
          <w:szCs w:val="22"/>
        </w:rPr>
      </w:pPr>
      <w:r w:rsidRPr="0098296C">
        <w:rPr>
          <w:rFonts w:ascii="Arial" w:hAnsi="Arial" w:cs="Arial"/>
          <w:sz w:val="22"/>
          <w:szCs w:val="22"/>
        </w:rPr>
        <w:t xml:space="preserve"> </w:t>
      </w:r>
      <w:r w:rsidR="004A4AC4" w:rsidRPr="00DD4DCD">
        <w:rPr>
          <w:rFonts w:ascii="Arial" w:hAnsi="Arial" w:cs="Arial"/>
          <w:sz w:val="22"/>
          <w:szCs w:val="22"/>
        </w:rPr>
        <w:t>-</w:t>
      </w:r>
      <w:r w:rsidR="004A4AC4" w:rsidRPr="00DD4DCD">
        <w:rPr>
          <w:rFonts w:ascii="Arial" w:hAnsi="Arial" w:cs="Arial"/>
          <w:sz w:val="22"/>
          <w:szCs w:val="22"/>
        </w:rPr>
        <w:tab/>
      </w:r>
      <w:r w:rsidR="004A4AC4" w:rsidRPr="00DD4DCD">
        <w:rPr>
          <w:rFonts w:ascii="Arial" w:hAnsi="Arial" w:cs="Arial"/>
          <w:b/>
          <w:sz w:val="22"/>
          <w:szCs w:val="22"/>
          <w:u w:val="single"/>
        </w:rPr>
        <w:t>Önkormányzatok gyermekétkeztetési feladatainak támogatása</w:t>
      </w:r>
      <w:r w:rsidR="004A4AC4" w:rsidRPr="00DD4DCD">
        <w:rPr>
          <w:rFonts w:ascii="Arial" w:hAnsi="Arial" w:cs="Arial"/>
          <w:sz w:val="22"/>
          <w:szCs w:val="22"/>
        </w:rPr>
        <w:t xml:space="preserve"> jogcímen kerül </w:t>
      </w:r>
      <w:proofErr w:type="gramStart"/>
      <w:r w:rsidR="004A4AC4" w:rsidRPr="00DD4DCD">
        <w:rPr>
          <w:rFonts w:ascii="Arial" w:hAnsi="Arial" w:cs="Arial"/>
          <w:sz w:val="22"/>
          <w:szCs w:val="22"/>
        </w:rPr>
        <w:t>finanszírozásra</w:t>
      </w:r>
      <w:proofErr w:type="gramEnd"/>
      <w:r w:rsidR="004A4AC4" w:rsidRPr="00DD4DCD">
        <w:rPr>
          <w:rFonts w:ascii="Arial" w:hAnsi="Arial" w:cs="Arial"/>
          <w:sz w:val="22"/>
          <w:szCs w:val="22"/>
        </w:rPr>
        <w:t xml:space="preserve"> az intézményi </w:t>
      </w:r>
      <w:r w:rsidR="00DD4DCD" w:rsidRPr="00DD4DCD">
        <w:rPr>
          <w:rFonts w:ascii="Arial" w:hAnsi="Arial" w:cs="Arial"/>
          <w:sz w:val="22"/>
          <w:szCs w:val="22"/>
        </w:rPr>
        <w:t>gyermek</w:t>
      </w:r>
      <w:r w:rsidR="004A4AC4" w:rsidRPr="00DD4DCD">
        <w:rPr>
          <w:rFonts w:ascii="Arial" w:hAnsi="Arial" w:cs="Arial"/>
          <w:sz w:val="22"/>
          <w:szCs w:val="22"/>
        </w:rPr>
        <w:t xml:space="preserve">étkeztetés, </w:t>
      </w:r>
      <w:r w:rsidR="00DD4DCD" w:rsidRPr="00DD4DCD">
        <w:rPr>
          <w:rFonts w:ascii="Arial" w:hAnsi="Arial" w:cs="Arial"/>
          <w:sz w:val="22"/>
          <w:szCs w:val="22"/>
        </w:rPr>
        <w:t>az intézményi gyermekétkeztetés bértámogatása,</w:t>
      </w:r>
      <w:r w:rsidR="00DD4DCD" w:rsidRPr="00DD4DCD">
        <w:t xml:space="preserve"> </w:t>
      </w:r>
      <w:r w:rsidR="00DD4DCD" w:rsidRPr="00DD4DCD">
        <w:rPr>
          <w:rFonts w:ascii="Arial" w:hAnsi="Arial" w:cs="Arial"/>
          <w:sz w:val="22"/>
          <w:szCs w:val="22"/>
        </w:rPr>
        <w:t xml:space="preserve">az intézményi gyermekétkeztetés üzemeltetési támogatása, </w:t>
      </w:r>
      <w:r w:rsidR="004A4AC4" w:rsidRPr="00DD4DCD">
        <w:rPr>
          <w:rFonts w:ascii="Arial" w:hAnsi="Arial" w:cs="Arial"/>
          <w:sz w:val="22"/>
          <w:szCs w:val="22"/>
        </w:rPr>
        <w:t>valamint a diákok rész</w:t>
      </w:r>
      <w:r w:rsidR="00DD4DCD" w:rsidRPr="00DD4DCD">
        <w:rPr>
          <w:rFonts w:ascii="Arial" w:hAnsi="Arial" w:cs="Arial"/>
          <w:sz w:val="22"/>
          <w:szCs w:val="22"/>
        </w:rPr>
        <w:t xml:space="preserve">ére nyújtott </w:t>
      </w:r>
      <w:proofErr w:type="spellStart"/>
      <w:r w:rsidR="00DD4DCD" w:rsidRPr="00DD4DCD">
        <w:rPr>
          <w:rFonts w:ascii="Arial" w:hAnsi="Arial" w:cs="Arial"/>
          <w:sz w:val="22"/>
          <w:szCs w:val="22"/>
        </w:rPr>
        <w:t>szünidei</w:t>
      </w:r>
      <w:proofErr w:type="spellEnd"/>
      <w:r w:rsidR="00DD4DCD" w:rsidRPr="00DD4DCD">
        <w:rPr>
          <w:rFonts w:ascii="Arial" w:hAnsi="Arial" w:cs="Arial"/>
          <w:sz w:val="22"/>
          <w:szCs w:val="22"/>
        </w:rPr>
        <w:t xml:space="preserve"> étkezés támogatása</w:t>
      </w:r>
      <w:r w:rsidR="004A4AC4" w:rsidRPr="00DD4DCD">
        <w:rPr>
          <w:rFonts w:ascii="Arial" w:hAnsi="Arial" w:cs="Arial"/>
          <w:sz w:val="22"/>
          <w:szCs w:val="22"/>
        </w:rPr>
        <w:t>.</w:t>
      </w:r>
    </w:p>
    <w:p w14:paraId="0114121C" w14:textId="31F35EC1" w:rsidR="004A4AC4" w:rsidRPr="003D67D8" w:rsidRDefault="004A4AC4" w:rsidP="004A4AC4">
      <w:pPr>
        <w:spacing w:line="240" w:lineRule="atLeast"/>
        <w:jc w:val="both"/>
        <w:rPr>
          <w:rFonts w:ascii="Arial" w:hAnsi="Arial" w:cs="Arial"/>
          <w:sz w:val="22"/>
          <w:szCs w:val="22"/>
        </w:rPr>
      </w:pPr>
      <w:r w:rsidRPr="003D67D8">
        <w:rPr>
          <w:rFonts w:ascii="Arial" w:hAnsi="Arial" w:cs="Arial"/>
          <w:sz w:val="22"/>
          <w:szCs w:val="22"/>
        </w:rPr>
        <w:t>-</w:t>
      </w:r>
      <w:r w:rsidRPr="003D67D8">
        <w:rPr>
          <w:rFonts w:ascii="Arial" w:hAnsi="Arial" w:cs="Arial"/>
          <w:sz w:val="22"/>
          <w:szCs w:val="22"/>
        </w:rPr>
        <w:tab/>
      </w:r>
      <w:r w:rsidRPr="003D67D8">
        <w:rPr>
          <w:rFonts w:ascii="Arial" w:hAnsi="Arial" w:cs="Arial"/>
          <w:b/>
          <w:sz w:val="22"/>
          <w:szCs w:val="22"/>
          <w:u w:val="single"/>
        </w:rPr>
        <w:t>Önkormányzatok kulturális feladatainak támogatása</w:t>
      </w:r>
      <w:r w:rsidRPr="003D67D8">
        <w:rPr>
          <w:rFonts w:ascii="Arial" w:hAnsi="Arial" w:cs="Arial"/>
          <w:sz w:val="22"/>
          <w:szCs w:val="22"/>
        </w:rPr>
        <w:t xml:space="preserve"> a települési önkormányzat lakosságszámának alapján illeti meg az önkormányzatot.</w:t>
      </w:r>
      <w:r w:rsidR="003D67D8">
        <w:rPr>
          <w:rFonts w:ascii="Arial" w:hAnsi="Arial" w:cs="Arial"/>
          <w:sz w:val="22"/>
          <w:szCs w:val="22"/>
        </w:rPr>
        <w:t xml:space="preserve"> Ezen kívül e jogcímhez ez évben bérjellegű támogatás is kapcsolódik.</w:t>
      </w:r>
      <w:r w:rsidR="0046197C">
        <w:rPr>
          <w:rFonts w:ascii="Arial" w:hAnsi="Arial" w:cs="Arial"/>
          <w:sz w:val="22"/>
          <w:szCs w:val="22"/>
        </w:rPr>
        <w:t xml:space="preserve">  </w:t>
      </w:r>
    </w:p>
    <w:p w14:paraId="7A075DE3" w14:textId="77777777" w:rsidR="004A4AC4" w:rsidRPr="004A4AC4" w:rsidRDefault="004A4AC4" w:rsidP="004A4AC4">
      <w:pPr>
        <w:spacing w:line="240" w:lineRule="atLeast"/>
        <w:jc w:val="both"/>
        <w:rPr>
          <w:rFonts w:ascii="Arial" w:hAnsi="Arial" w:cs="Arial"/>
          <w:sz w:val="22"/>
          <w:szCs w:val="22"/>
        </w:rPr>
      </w:pPr>
    </w:p>
    <w:p w14:paraId="07A9C3A2" w14:textId="520EAF29" w:rsidR="004A4AC4" w:rsidRPr="004A4AC4" w:rsidRDefault="004A4AC4" w:rsidP="004A4AC4">
      <w:pPr>
        <w:spacing w:line="240" w:lineRule="atLeast"/>
        <w:jc w:val="both"/>
        <w:rPr>
          <w:rFonts w:ascii="Arial" w:hAnsi="Arial" w:cs="Arial"/>
          <w:b/>
          <w:sz w:val="22"/>
          <w:szCs w:val="22"/>
          <w:u w:val="single"/>
        </w:rPr>
      </w:pPr>
      <w:r w:rsidRPr="004A4AC4">
        <w:rPr>
          <w:rFonts w:ascii="Arial" w:hAnsi="Arial" w:cs="Arial"/>
          <w:b/>
          <w:sz w:val="22"/>
          <w:szCs w:val="22"/>
          <w:u w:val="single"/>
        </w:rPr>
        <w:t>A jogszabályi háttér</w:t>
      </w:r>
      <w:r w:rsidR="0046197C">
        <w:rPr>
          <w:rFonts w:ascii="Arial" w:hAnsi="Arial" w:cs="Arial"/>
          <w:b/>
          <w:sz w:val="22"/>
          <w:szCs w:val="22"/>
          <w:u w:val="single"/>
        </w:rPr>
        <w:t xml:space="preserve"> változásai</w:t>
      </w:r>
    </w:p>
    <w:p w14:paraId="16C2C7BD" w14:textId="77777777" w:rsidR="004A4AC4" w:rsidRPr="004A4AC4" w:rsidRDefault="004A4AC4" w:rsidP="004A4AC4">
      <w:pPr>
        <w:spacing w:line="240" w:lineRule="atLeast"/>
        <w:jc w:val="both"/>
        <w:rPr>
          <w:rFonts w:ascii="Arial" w:hAnsi="Arial" w:cs="Arial"/>
          <w:sz w:val="22"/>
          <w:szCs w:val="22"/>
        </w:rPr>
      </w:pPr>
    </w:p>
    <w:p w14:paraId="497565BE" w14:textId="77777777" w:rsidR="004A4AC4" w:rsidRPr="004A4AC4" w:rsidRDefault="004A4AC4" w:rsidP="004A4AC4">
      <w:pPr>
        <w:spacing w:line="240" w:lineRule="atLeast"/>
        <w:jc w:val="both"/>
        <w:rPr>
          <w:rFonts w:ascii="Arial" w:hAnsi="Arial" w:cs="Arial"/>
          <w:sz w:val="22"/>
          <w:szCs w:val="22"/>
        </w:rPr>
      </w:pPr>
      <w:proofErr w:type="gramStart"/>
      <w:r w:rsidRPr="004A4AC4">
        <w:rPr>
          <w:rFonts w:ascii="Arial" w:hAnsi="Arial" w:cs="Arial"/>
          <w:sz w:val="22"/>
          <w:szCs w:val="22"/>
        </w:rPr>
        <w:t>a</w:t>
      </w:r>
      <w:proofErr w:type="gramEnd"/>
      <w:r w:rsidRPr="004A4AC4">
        <w:rPr>
          <w:rFonts w:ascii="Arial" w:hAnsi="Arial" w:cs="Arial"/>
          <w:sz w:val="22"/>
          <w:szCs w:val="22"/>
        </w:rPr>
        <w:t>.)</w:t>
      </w:r>
      <w:r w:rsidRPr="004A4AC4">
        <w:rPr>
          <w:rFonts w:ascii="Arial" w:hAnsi="Arial" w:cs="Arial"/>
          <w:sz w:val="22"/>
          <w:szCs w:val="22"/>
        </w:rPr>
        <w:tab/>
      </w:r>
      <w:r w:rsidRPr="00B35481">
        <w:rPr>
          <w:rFonts w:ascii="Arial" w:hAnsi="Arial" w:cs="Arial"/>
          <w:b/>
          <w:sz w:val="22"/>
          <w:szCs w:val="22"/>
        </w:rPr>
        <w:t>Az iparűzési adó a 2023 évtől újra gyökeres átalakuláson ment keresztül</w:t>
      </w:r>
      <w:r w:rsidRPr="004A4AC4">
        <w:rPr>
          <w:rFonts w:ascii="Arial" w:hAnsi="Arial" w:cs="Arial"/>
          <w:sz w:val="22"/>
          <w:szCs w:val="22"/>
        </w:rPr>
        <w:t xml:space="preserve"> az adóalap egyszerűsített megállapítása tekintetében, a korábbi háromféle módszert egyféle adóalap-megállapítási mód váltotta fel. A továbbiakban nem alkalmazandó </w:t>
      </w:r>
      <w:r>
        <w:rPr>
          <w:rFonts w:ascii="Arial" w:hAnsi="Arial" w:cs="Arial"/>
          <w:sz w:val="22"/>
          <w:szCs w:val="22"/>
        </w:rPr>
        <w:t xml:space="preserve">- </w:t>
      </w:r>
      <w:r w:rsidRPr="004A4AC4">
        <w:rPr>
          <w:rFonts w:ascii="Arial" w:hAnsi="Arial" w:cs="Arial"/>
          <w:sz w:val="22"/>
          <w:szCs w:val="22"/>
        </w:rPr>
        <w:t>az 1%-</w:t>
      </w:r>
      <w:proofErr w:type="spellStart"/>
      <w:r w:rsidRPr="004A4AC4">
        <w:rPr>
          <w:rFonts w:ascii="Arial" w:hAnsi="Arial" w:cs="Arial"/>
          <w:sz w:val="22"/>
          <w:szCs w:val="22"/>
        </w:rPr>
        <w:t>ban</w:t>
      </w:r>
      <w:proofErr w:type="spellEnd"/>
      <w:r w:rsidRPr="004A4AC4">
        <w:rPr>
          <w:rFonts w:ascii="Arial" w:hAnsi="Arial" w:cs="Arial"/>
          <w:sz w:val="22"/>
          <w:szCs w:val="22"/>
        </w:rPr>
        <w:t xml:space="preserve"> maximal</w:t>
      </w:r>
      <w:r>
        <w:rPr>
          <w:rFonts w:ascii="Arial" w:hAnsi="Arial" w:cs="Arial"/>
          <w:sz w:val="22"/>
          <w:szCs w:val="22"/>
        </w:rPr>
        <w:t xml:space="preserve">izált - </w:t>
      </w:r>
      <w:r w:rsidRPr="004A4AC4">
        <w:rPr>
          <w:rFonts w:ascii="Arial" w:hAnsi="Arial" w:cs="Arial"/>
          <w:sz w:val="22"/>
          <w:szCs w:val="22"/>
        </w:rPr>
        <w:t>adókulcs</w:t>
      </w:r>
      <w:r>
        <w:rPr>
          <w:rFonts w:ascii="Arial" w:hAnsi="Arial" w:cs="Arial"/>
          <w:sz w:val="22"/>
          <w:szCs w:val="22"/>
        </w:rPr>
        <w:t xml:space="preserve"> </w:t>
      </w:r>
      <w:r w:rsidRPr="004A4AC4">
        <w:rPr>
          <w:rFonts w:ascii="Arial" w:hAnsi="Arial" w:cs="Arial"/>
          <w:sz w:val="22"/>
          <w:szCs w:val="22"/>
        </w:rPr>
        <w:t xml:space="preserve">a </w:t>
      </w:r>
      <w:proofErr w:type="spellStart"/>
      <w:r w:rsidRPr="004A4AC4">
        <w:rPr>
          <w:rFonts w:ascii="Arial" w:hAnsi="Arial" w:cs="Arial"/>
          <w:sz w:val="22"/>
          <w:szCs w:val="22"/>
        </w:rPr>
        <w:t>pandémia</w:t>
      </w:r>
      <w:proofErr w:type="spellEnd"/>
      <w:r w:rsidRPr="004A4AC4">
        <w:rPr>
          <w:rFonts w:ascii="Arial" w:hAnsi="Arial" w:cs="Arial"/>
          <w:sz w:val="22"/>
          <w:szCs w:val="22"/>
        </w:rPr>
        <w:t xml:space="preserve"> előtti szabályok értelmében</w:t>
      </w:r>
      <w:r>
        <w:rPr>
          <w:rFonts w:ascii="Arial" w:hAnsi="Arial" w:cs="Arial"/>
          <w:sz w:val="22"/>
          <w:szCs w:val="22"/>
        </w:rPr>
        <w:t>,</w:t>
      </w:r>
      <w:r w:rsidRPr="004A4AC4">
        <w:rPr>
          <w:rFonts w:ascii="Arial" w:hAnsi="Arial" w:cs="Arial"/>
          <w:sz w:val="22"/>
          <w:szCs w:val="22"/>
        </w:rPr>
        <w:t xml:space="preserve"> az iparűzési adó mértéke visszatér a 2%-</w:t>
      </w:r>
      <w:proofErr w:type="spellStart"/>
      <w:r w:rsidRPr="004A4AC4">
        <w:rPr>
          <w:rFonts w:ascii="Arial" w:hAnsi="Arial" w:cs="Arial"/>
          <w:sz w:val="22"/>
          <w:szCs w:val="22"/>
        </w:rPr>
        <w:t>os</w:t>
      </w:r>
      <w:proofErr w:type="spellEnd"/>
      <w:r w:rsidRPr="004A4AC4">
        <w:rPr>
          <w:rFonts w:ascii="Arial" w:hAnsi="Arial" w:cs="Arial"/>
          <w:sz w:val="22"/>
          <w:szCs w:val="22"/>
        </w:rPr>
        <w:t xml:space="preserve"> kulcshoz. Az új szabályzás 2023. január 1-től lépett hatályba (2022. évi XLV. törvény 64. §-</w:t>
      </w:r>
      <w:proofErr w:type="gramStart"/>
      <w:r w:rsidRPr="004A4AC4">
        <w:rPr>
          <w:rFonts w:ascii="Arial" w:hAnsi="Arial" w:cs="Arial"/>
          <w:sz w:val="22"/>
          <w:szCs w:val="22"/>
        </w:rPr>
        <w:t>a</w:t>
      </w:r>
      <w:proofErr w:type="gramEnd"/>
      <w:r w:rsidRPr="004A4AC4">
        <w:rPr>
          <w:rFonts w:ascii="Arial" w:hAnsi="Arial" w:cs="Arial"/>
          <w:sz w:val="22"/>
          <w:szCs w:val="22"/>
        </w:rPr>
        <w:t xml:space="preserve"> alapján), az újonnan bevezetett adóalanyi kategóriák a kisvállal</w:t>
      </w:r>
      <w:r>
        <w:rPr>
          <w:rFonts w:ascii="Arial" w:hAnsi="Arial" w:cs="Arial"/>
          <w:sz w:val="22"/>
          <w:szCs w:val="22"/>
        </w:rPr>
        <w:t>kozókat érintik. M</w:t>
      </w:r>
      <w:r w:rsidRPr="004A4AC4">
        <w:rPr>
          <w:rFonts w:ascii="Arial" w:hAnsi="Arial" w:cs="Arial"/>
          <w:sz w:val="22"/>
          <w:szCs w:val="22"/>
        </w:rPr>
        <w:t xml:space="preserve">inden olyan vállalkozó érintett, akinek az éves bevétele nem haladja meg a 25 millió Ft-ot, az átalányadózó kereskedők esetében pedig a 120 millió Ft-ot.  A 2023. évtől választható a bevételi sávokon alapuló, tételes adóalap-meghatározás, évi egyszeri fizetési kötelezettséggel, adóbevallást sem kell benyújtani, kivéve a </w:t>
      </w:r>
      <w:proofErr w:type="gramStart"/>
      <w:r w:rsidRPr="004A4AC4">
        <w:rPr>
          <w:rFonts w:ascii="Arial" w:hAnsi="Arial" w:cs="Arial"/>
          <w:sz w:val="22"/>
          <w:szCs w:val="22"/>
        </w:rPr>
        <w:t>speciális</w:t>
      </w:r>
      <w:proofErr w:type="gramEnd"/>
      <w:r w:rsidRPr="004A4AC4">
        <w:rPr>
          <w:rFonts w:ascii="Arial" w:hAnsi="Arial" w:cs="Arial"/>
          <w:sz w:val="22"/>
          <w:szCs w:val="22"/>
        </w:rPr>
        <w:t xml:space="preserve"> eseteket. A törvénymódosítás rögzíti, hogy aki az egyszerűsített, új tételes adóalap-megállapítást alkalmazza, 2023-tól nem lesz jogosult sem törvényi, sem önkormányzati adókedvezményre, adómentességre, adócsökkentése. Az új szabályok szerint egységesebb és egyszerűbb lesz az adózás és az </w:t>
      </w:r>
      <w:proofErr w:type="gramStart"/>
      <w:r w:rsidRPr="004A4AC4">
        <w:rPr>
          <w:rFonts w:ascii="Arial" w:hAnsi="Arial" w:cs="Arial"/>
          <w:sz w:val="22"/>
          <w:szCs w:val="22"/>
        </w:rPr>
        <w:t>adminisztráció</w:t>
      </w:r>
      <w:proofErr w:type="gramEnd"/>
      <w:r w:rsidRPr="004A4AC4">
        <w:rPr>
          <w:rFonts w:ascii="Arial" w:hAnsi="Arial" w:cs="Arial"/>
          <w:sz w:val="22"/>
          <w:szCs w:val="22"/>
        </w:rPr>
        <w:t>, mind a magánszemélyek, mind a társaságok esetében. Az előzőekben részletezettek szerint az előző</w:t>
      </w:r>
      <w:r w:rsidR="006804C6">
        <w:rPr>
          <w:rFonts w:ascii="Arial" w:hAnsi="Arial" w:cs="Arial"/>
          <w:sz w:val="22"/>
          <w:szCs w:val="22"/>
        </w:rPr>
        <w:t xml:space="preserve"> évben a kieső helyi iparűzési </w:t>
      </w:r>
      <w:r w:rsidRPr="004A4AC4">
        <w:rPr>
          <w:rFonts w:ascii="Arial" w:hAnsi="Arial" w:cs="Arial"/>
          <w:sz w:val="22"/>
          <w:szCs w:val="22"/>
        </w:rPr>
        <w:t>adóbevétel összegével megegyező mértékben kapott költségvetési támogatás értelemszerűen megszűnik.</w:t>
      </w:r>
    </w:p>
    <w:p w14:paraId="37CCF9D3" w14:textId="77777777" w:rsidR="004A4AC4" w:rsidRPr="004A4AC4" w:rsidRDefault="004A4AC4" w:rsidP="004A4AC4">
      <w:pPr>
        <w:spacing w:line="240" w:lineRule="atLeast"/>
        <w:jc w:val="both"/>
        <w:rPr>
          <w:rFonts w:ascii="Arial" w:hAnsi="Arial" w:cs="Arial"/>
          <w:sz w:val="22"/>
          <w:szCs w:val="22"/>
        </w:rPr>
      </w:pPr>
    </w:p>
    <w:p w14:paraId="4D98D849" w14:textId="77777777" w:rsidR="004A4AC4" w:rsidRPr="004A4AC4" w:rsidRDefault="004A4AC4" w:rsidP="004A4AC4">
      <w:pPr>
        <w:spacing w:line="240" w:lineRule="atLeast"/>
        <w:jc w:val="both"/>
        <w:rPr>
          <w:rFonts w:ascii="Arial" w:hAnsi="Arial" w:cs="Arial"/>
          <w:sz w:val="22"/>
          <w:szCs w:val="22"/>
        </w:rPr>
      </w:pPr>
      <w:r w:rsidRPr="004A4AC4">
        <w:rPr>
          <w:rFonts w:ascii="Arial" w:hAnsi="Arial" w:cs="Arial"/>
          <w:sz w:val="22"/>
          <w:szCs w:val="22"/>
        </w:rPr>
        <w:lastRenderedPageBreak/>
        <w:t>b.)</w:t>
      </w:r>
      <w:r w:rsidRPr="004A4AC4">
        <w:rPr>
          <w:rFonts w:ascii="Arial" w:hAnsi="Arial" w:cs="Arial"/>
          <w:sz w:val="22"/>
          <w:szCs w:val="22"/>
        </w:rPr>
        <w:tab/>
        <w:t xml:space="preserve">2023. január 1-től változik a </w:t>
      </w:r>
      <w:r w:rsidRPr="00B35481">
        <w:rPr>
          <w:rFonts w:ascii="Arial" w:hAnsi="Arial" w:cs="Arial"/>
          <w:b/>
          <w:sz w:val="22"/>
          <w:szCs w:val="22"/>
        </w:rPr>
        <w:t xml:space="preserve">minimálbér és a </w:t>
      </w:r>
      <w:proofErr w:type="gramStart"/>
      <w:r w:rsidRPr="00B35481">
        <w:rPr>
          <w:rFonts w:ascii="Arial" w:hAnsi="Arial" w:cs="Arial"/>
          <w:b/>
          <w:sz w:val="22"/>
          <w:szCs w:val="22"/>
        </w:rPr>
        <w:t>garantált</w:t>
      </w:r>
      <w:proofErr w:type="gramEnd"/>
      <w:r w:rsidRPr="00B35481">
        <w:rPr>
          <w:rFonts w:ascii="Arial" w:hAnsi="Arial" w:cs="Arial"/>
          <w:b/>
          <w:sz w:val="22"/>
          <w:szCs w:val="22"/>
        </w:rPr>
        <w:t xml:space="preserve"> bérminimum</w:t>
      </w:r>
      <w:r w:rsidRPr="004A4AC4">
        <w:rPr>
          <w:rFonts w:ascii="Arial" w:hAnsi="Arial" w:cs="Arial"/>
          <w:sz w:val="22"/>
          <w:szCs w:val="22"/>
        </w:rPr>
        <w:t xml:space="preserve">. A minimálbér  a korábbi bruttó 200.000 Ft-ról 232 000 Ft-ra nő, a </w:t>
      </w:r>
      <w:proofErr w:type="gramStart"/>
      <w:r w:rsidRPr="004A4AC4">
        <w:rPr>
          <w:rFonts w:ascii="Arial" w:hAnsi="Arial" w:cs="Arial"/>
          <w:sz w:val="22"/>
          <w:szCs w:val="22"/>
        </w:rPr>
        <w:t>garantált</w:t>
      </w:r>
      <w:proofErr w:type="gramEnd"/>
      <w:r w:rsidRPr="004A4AC4">
        <w:rPr>
          <w:rFonts w:ascii="Arial" w:hAnsi="Arial" w:cs="Arial"/>
          <w:sz w:val="22"/>
          <w:szCs w:val="22"/>
        </w:rPr>
        <w:t xml:space="preserve"> bérminimum pedig a tavalyi 260.000 Ft-ról 296 400 Ft-ra változik. A szociális hozzájárulási adó mértéke változatlanul 13%.</w:t>
      </w:r>
    </w:p>
    <w:p w14:paraId="7BAE510B" w14:textId="77777777" w:rsidR="004A4AC4" w:rsidRPr="004A4AC4" w:rsidRDefault="004A4AC4" w:rsidP="004A4AC4">
      <w:pPr>
        <w:spacing w:line="240" w:lineRule="atLeast"/>
        <w:jc w:val="both"/>
        <w:rPr>
          <w:rFonts w:ascii="Arial" w:hAnsi="Arial" w:cs="Arial"/>
          <w:sz w:val="22"/>
          <w:szCs w:val="22"/>
        </w:rPr>
      </w:pPr>
    </w:p>
    <w:p w14:paraId="6967FBBE" w14:textId="77777777" w:rsidR="004A4AC4" w:rsidRPr="004A4AC4" w:rsidRDefault="004A4AC4" w:rsidP="004A4AC4">
      <w:pPr>
        <w:spacing w:line="240" w:lineRule="atLeast"/>
        <w:jc w:val="both"/>
        <w:rPr>
          <w:rFonts w:ascii="Arial" w:hAnsi="Arial" w:cs="Arial"/>
          <w:sz w:val="22"/>
          <w:szCs w:val="22"/>
        </w:rPr>
      </w:pPr>
      <w:proofErr w:type="gramStart"/>
      <w:r w:rsidRPr="004A4AC4">
        <w:rPr>
          <w:rFonts w:ascii="Arial" w:hAnsi="Arial" w:cs="Arial"/>
          <w:sz w:val="22"/>
          <w:szCs w:val="22"/>
        </w:rPr>
        <w:t>c.</w:t>
      </w:r>
      <w:proofErr w:type="gramEnd"/>
      <w:r w:rsidRPr="004A4AC4">
        <w:rPr>
          <w:rFonts w:ascii="Arial" w:hAnsi="Arial" w:cs="Arial"/>
          <w:sz w:val="22"/>
          <w:szCs w:val="22"/>
        </w:rPr>
        <w:t>)</w:t>
      </w:r>
      <w:r w:rsidRPr="004A4AC4">
        <w:rPr>
          <w:rFonts w:ascii="Arial" w:hAnsi="Arial" w:cs="Arial"/>
          <w:sz w:val="22"/>
          <w:szCs w:val="22"/>
        </w:rPr>
        <w:tab/>
        <w:t xml:space="preserve">2022-ben változatlan a közalkalmazotti illetményalap, a köztisztviselői illetményalap is 38.650 Ft maradt a törvény szerint. A jogalkotó ez évben is lehetőséget biztosít, hogy a 62. § (6) bekezdésében szereplő összegtől a Képviselő-testület magasabb összeget állapíthasson meg a polgármesteri hivatal, közös önkormányzati hivatal közszolgálati tisztviselőire vonatkozóan. </w:t>
      </w:r>
      <w:r w:rsidRPr="00B35481">
        <w:rPr>
          <w:rFonts w:ascii="Arial" w:hAnsi="Arial" w:cs="Arial"/>
          <w:b/>
          <w:sz w:val="22"/>
          <w:szCs w:val="22"/>
        </w:rPr>
        <w:t>Bátaszék Város Képviselő-testülete ezt a 16/2022. (XI.30.) önkormányzati rendeletében a 2023. évre vonatkozóan - az előző évi mértékkel azonos összegben - 50.000 Ft-ban határozta meg</w:t>
      </w:r>
      <w:r w:rsidRPr="004A4AC4">
        <w:rPr>
          <w:rFonts w:ascii="Arial" w:hAnsi="Arial" w:cs="Arial"/>
          <w:sz w:val="22"/>
          <w:szCs w:val="22"/>
        </w:rPr>
        <w:t xml:space="preserve">. </w:t>
      </w:r>
    </w:p>
    <w:p w14:paraId="5531A5D4" w14:textId="77777777" w:rsidR="004A4AC4" w:rsidRPr="004A4AC4" w:rsidRDefault="004A4AC4" w:rsidP="004A4AC4">
      <w:pPr>
        <w:spacing w:line="240" w:lineRule="atLeast"/>
        <w:jc w:val="both"/>
        <w:rPr>
          <w:rFonts w:ascii="Arial" w:hAnsi="Arial" w:cs="Arial"/>
          <w:sz w:val="22"/>
          <w:szCs w:val="22"/>
        </w:rPr>
      </w:pPr>
    </w:p>
    <w:p w14:paraId="6CB38EE1" w14:textId="77777777" w:rsidR="004A4AC4" w:rsidRPr="004A4AC4" w:rsidRDefault="004A4AC4" w:rsidP="004A4AC4">
      <w:pPr>
        <w:spacing w:line="240" w:lineRule="atLeast"/>
        <w:jc w:val="both"/>
        <w:rPr>
          <w:rFonts w:ascii="Arial" w:hAnsi="Arial" w:cs="Arial"/>
          <w:sz w:val="22"/>
          <w:szCs w:val="22"/>
        </w:rPr>
      </w:pPr>
      <w:r w:rsidRPr="004A4AC4">
        <w:rPr>
          <w:rFonts w:ascii="Arial" w:hAnsi="Arial" w:cs="Arial"/>
          <w:sz w:val="22"/>
          <w:szCs w:val="22"/>
        </w:rPr>
        <w:t>d.)</w:t>
      </w:r>
      <w:r w:rsidRPr="004A4AC4">
        <w:rPr>
          <w:rFonts w:ascii="Arial" w:hAnsi="Arial" w:cs="Arial"/>
          <w:sz w:val="22"/>
          <w:szCs w:val="22"/>
        </w:rPr>
        <w:tab/>
        <w:t xml:space="preserve">A Magyarország helyi önkormányzatairól szóló 2011. évi CLXXXIX. törvény 2022. január 1. napjától hatályos módosítása szerint megállapított </w:t>
      </w:r>
      <w:r w:rsidRPr="00B35481">
        <w:rPr>
          <w:rFonts w:ascii="Arial" w:hAnsi="Arial" w:cs="Arial"/>
          <w:b/>
          <w:sz w:val="22"/>
          <w:szCs w:val="22"/>
        </w:rPr>
        <w:t>polgármesteri díjazás mértéke</w:t>
      </w:r>
      <w:r w:rsidRPr="004A4AC4">
        <w:rPr>
          <w:rFonts w:ascii="Arial" w:hAnsi="Arial" w:cs="Arial"/>
          <w:sz w:val="22"/>
          <w:szCs w:val="22"/>
        </w:rPr>
        <w:t xml:space="preserve"> nem változott, az 5000 fő alatti népességszámú települések esetén biztosított csak az előző évi emelés </w:t>
      </w:r>
      <w:proofErr w:type="gramStart"/>
      <w:r w:rsidRPr="004A4AC4">
        <w:rPr>
          <w:rFonts w:ascii="Arial" w:hAnsi="Arial" w:cs="Arial"/>
          <w:sz w:val="22"/>
          <w:szCs w:val="22"/>
        </w:rPr>
        <w:t>finanszírozására</w:t>
      </w:r>
      <w:proofErr w:type="gramEnd"/>
      <w:r w:rsidRPr="004A4AC4">
        <w:rPr>
          <w:rFonts w:ascii="Arial" w:hAnsi="Arial" w:cs="Arial"/>
          <w:sz w:val="22"/>
          <w:szCs w:val="22"/>
        </w:rPr>
        <w:t xml:space="preserve"> központi költségvetési fedezet.</w:t>
      </w:r>
    </w:p>
    <w:p w14:paraId="3F7D37E9" w14:textId="77777777" w:rsidR="004A4AC4" w:rsidRPr="004A4AC4" w:rsidRDefault="004A4AC4" w:rsidP="004A4AC4">
      <w:pPr>
        <w:spacing w:line="240" w:lineRule="atLeast"/>
        <w:jc w:val="both"/>
        <w:rPr>
          <w:rFonts w:ascii="Arial" w:hAnsi="Arial" w:cs="Arial"/>
          <w:sz w:val="22"/>
          <w:szCs w:val="22"/>
        </w:rPr>
      </w:pPr>
    </w:p>
    <w:p w14:paraId="41D6CE52" w14:textId="77777777" w:rsidR="004A4AC4" w:rsidRPr="004A4AC4" w:rsidRDefault="004A4AC4" w:rsidP="004A4AC4">
      <w:pPr>
        <w:spacing w:line="240" w:lineRule="atLeast"/>
        <w:jc w:val="both"/>
        <w:rPr>
          <w:rFonts w:ascii="Arial" w:hAnsi="Arial" w:cs="Arial"/>
          <w:sz w:val="22"/>
          <w:szCs w:val="22"/>
        </w:rPr>
      </w:pPr>
      <w:proofErr w:type="gramStart"/>
      <w:r w:rsidRPr="004A4AC4">
        <w:rPr>
          <w:rFonts w:ascii="Arial" w:hAnsi="Arial" w:cs="Arial"/>
          <w:sz w:val="22"/>
          <w:szCs w:val="22"/>
        </w:rPr>
        <w:t>e</w:t>
      </w:r>
      <w:proofErr w:type="gramEnd"/>
      <w:r w:rsidRPr="004A4AC4">
        <w:rPr>
          <w:rFonts w:ascii="Arial" w:hAnsi="Arial" w:cs="Arial"/>
          <w:sz w:val="22"/>
          <w:szCs w:val="22"/>
        </w:rPr>
        <w:t>.)</w:t>
      </w:r>
      <w:r w:rsidRPr="004A4AC4">
        <w:rPr>
          <w:rFonts w:ascii="Arial" w:hAnsi="Arial" w:cs="Arial"/>
          <w:sz w:val="22"/>
          <w:szCs w:val="22"/>
        </w:rPr>
        <w:tab/>
        <w:t xml:space="preserve">A </w:t>
      </w:r>
      <w:proofErr w:type="spellStart"/>
      <w:r w:rsidRPr="00B35481">
        <w:rPr>
          <w:rFonts w:ascii="Arial" w:hAnsi="Arial" w:cs="Arial"/>
          <w:b/>
          <w:sz w:val="22"/>
          <w:szCs w:val="22"/>
        </w:rPr>
        <w:t>cafetéria</w:t>
      </w:r>
      <w:proofErr w:type="spellEnd"/>
      <w:r w:rsidRPr="004A4AC4">
        <w:rPr>
          <w:rFonts w:ascii="Arial" w:hAnsi="Arial" w:cs="Arial"/>
          <w:sz w:val="22"/>
          <w:szCs w:val="22"/>
        </w:rPr>
        <w:t xml:space="preserve"> juttatás tekintetében a 2023. évre a hatályos jogszabály szerint adható maximális összeg 450 000 Ft/fő/év, de nem lehet alacsonyabb az évre megállapított illetmény alap ötszörösénél, ami </w:t>
      </w:r>
      <w:r w:rsidRPr="00120D14">
        <w:rPr>
          <w:rFonts w:ascii="Arial" w:hAnsi="Arial" w:cs="Arial"/>
          <w:b/>
          <w:sz w:val="22"/>
          <w:szCs w:val="22"/>
        </w:rPr>
        <w:t>bruttó 250.000 Ft-ot</w:t>
      </w:r>
      <w:r w:rsidRPr="004A4AC4">
        <w:rPr>
          <w:rFonts w:ascii="Arial" w:hAnsi="Arial" w:cs="Arial"/>
          <w:sz w:val="22"/>
          <w:szCs w:val="22"/>
        </w:rPr>
        <w:t xml:space="preserve"> jelent. </w:t>
      </w:r>
    </w:p>
    <w:p w14:paraId="68B5F01C" w14:textId="77777777" w:rsidR="004A4AC4" w:rsidRPr="004A4AC4" w:rsidRDefault="004A4AC4" w:rsidP="004A4AC4">
      <w:pPr>
        <w:spacing w:line="240" w:lineRule="atLeast"/>
        <w:jc w:val="both"/>
        <w:rPr>
          <w:rFonts w:ascii="Arial" w:hAnsi="Arial" w:cs="Arial"/>
          <w:sz w:val="22"/>
          <w:szCs w:val="22"/>
        </w:rPr>
      </w:pPr>
    </w:p>
    <w:p w14:paraId="26C95796" w14:textId="77777777" w:rsidR="004A4AC4" w:rsidRDefault="004A4AC4" w:rsidP="004A4AC4">
      <w:pPr>
        <w:spacing w:line="240" w:lineRule="atLeast"/>
        <w:jc w:val="both"/>
        <w:rPr>
          <w:rFonts w:ascii="Arial" w:hAnsi="Arial" w:cs="Arial"/>
          <w:sz w:val="22"/>
          <w:szCs w:val="22"/>
        </w:rPr>
      </w:pPr>
      <w:proofErr w:type="gramStart"/>
      <w:r w:rsidRPr="004A4AC4">
        <w:rPr>
          <w:rFonts w:ascii="Arial" w:hAnsi="Arial" w:cs="Arial"/>
          <w:sz w:val="22"/>
          <w:szCs w:val="22"/>
        </w:rPr>
        <w:t>f</w:t>
      </w:r>
      <w:proofErr w:type="gramEnd"/>
      <w:r w:rsidRPr="004A4AC4">
        <w:rPr>
          <w:rFonts w:ascii="Arial" w:hAnsi="Arial" w:cs="Arial"/>
          <w:sz w:val="22"/>
          <w:szCs w:val="22"/>
        </w:rPr>
        <w:t>.)</w:t>
      </w:r>
      <w:r w:rsidRPr="004A4AC4">
        <w:rPr>
          <w:rFonts w:ascii="Arial" w:hAnsi="Arial" w:cs="Arial"/>
          <w:sz w:val="22"/>
          <w:szCs w:val="22"/>
        </w:rPr>
        <w:tab/>
        <w:t>A közbeszerzési értékhatárok az előző évhez képest nem módosultak.</w:t>
      </w:r>
    </w:p>
    <w:p w14:paraId="1531E12C" w14:textId="77777777" w:rsidR="00B35481" w:rsidRDefault="00B35481" w:rsidP="004A4AC4">
      <w:pPr>
        <w:spacing w:line="240" w:lineRule="atLeast"/>
        <w:jc w:val="both"/>
        <w:rPr>
          <w:rFonts w:ascii="Arial" w:hAnsi="Arial" w:cs="Arial"/>
          <w:sz w:val="22"/>
          <w:szCs w:val="22"/>
        </w:rPr>
      </w:pPr>
    </w:p>
    <w:p w14:paraId="359819FF" w14:textId="77777777" w:rsidR="00D46251" w:rsidRDefault="009E7BF8" w:rsidP="00CD3CA6">
      <w:pPr>
        <w:spacing w:line="240" w:lineRule="atLeast"/>
        <w:jc w:val="both"/>
        <w:rPr>
          <w:rFonts w:ascii="Arial" w:hAnsi="Arial" w:cs="Arial"/>
          <w:sz w:val="22"/>
          <w:szCs w:val="22"/>
        </w:rPr>
      </w:pPr>
      <w:r>
        <w:rPr>
          <w:rFonts w:ascii="Arial" w:hAnsi="Arial" w:cs="Arial"/>
          <w:sz w:val="22"/>
          <w:szCs w:val="22"/>
          <w:u w:val="single"/>
        </w:rPr>
        <w:t xml:space="preserve">Az önkormányzatok központi </w:t>
      </w:r>
      <w:proofErr w:type="gramStart"/>
      <w:r w:rsidR="00D46251" w:rsidRPr="00596F63">
        <w:rPr>
          <w:rFonts w:ascii="Arial" w:hAnsi="Arial" w:cs="Arial"/>
          <w:sz w:val="22"/>
          <w:szCs w:val="22"/>
          <w:u w:val="single"/>
        </w:rPr>
        <w:t>finanszírozása</w:t>
      </w:r>
      <w:proofErr w:type="gramEnd"/>
      <w:r>
        <w:rPr>
          <w:rFonts w:ascii="Arial" w:hAnsi="Arial" w:cs="Arial"/>
          <w:sz w:val="22"/>
          <w:szCs w:val="22"/>
        </w:rPr>
        <w:t xml:space="preserve"> </w:t>
      </w:r>
      <w:r w:rsidR="00D46251" w:rsidRPr="00D46251">
        <w:rPr>
          <w:rFonts w:ascii="Arial" w:hAnsi="Arial" w:cs="Arial"/>
          <w:sz w:val="22"/>
          <w:szCs w:val="22"/>
        </w:rPr>
        <w:t>az elmúlt évek gyakorlatának megfelelően a 2023. évben is az önkormányzati feladatellátáshoz igazodó, feladattípusú támogatási rendszerben történik. Az önkormányzatok kötelező feladatai továbbra is a törvényi előírások alapján, az önkormányzatok eltérő adottságait is figyelem</w:t>
      </w:r>
      <w:r>
        <w:rPr>
          <w:rFonts w:ascii="Arial" w:hAnsi="Arial" w:cs="Arial"/>
          <w:sz w:val="22"/>
          <w:szCs w:val="22"/>
        </w:rPr>
        <w:t>be véve kerülnek meghatározásra</w:t>
      </w:r>
      <w:r w:rsidR="00D46251" w:rsidRPr="00D46251">
        <w:rPr>
          <w:rFonts w:ascii="Arial" w:hAnsi="Arial" w:cs="Arial"/>
          <w:sz w:val="22"/>
          <w:szCs w:val="22"/>
        </w:rPr>
        <w:t>.</w:t>
      </w:r>
    </w:p>
    <w:p w14:paraId="272A0A47" w14:textId="77777777" w:rsidR="00D84974" w:rsidRDefault="00D84974" w:rsidP="00CD3CA6">
      <w:pPr>
        <w:spacing w:line="240" w:lineRule="atLeast"/>
        <w:jc w:val="both"/>
        <w:rPr>
          <w:rFonts w:ascii="Arial" w:hAnsi="Arial" w:cs="Arial"/>
          <w:sz w:val="22"/>
          <w:szCs w:val="22"/>
        </w:rPr>
      </w:pPr>
    </w:p>
    <w:p w14:paraId="759F8D60" w14:textId="67267441" w:rsidR="00D84974" w:rsidRDefault="00D84974" w:rsidP="00CD3CA6">
      <w:pPr>
        <w:spacing w:line="240" w:lineRule="atLeast"/>
        <w:jc w:val="both"/>
        <w:rPr>
          <w:rFonts w:ascii="Arial" w:hAnsi="Arial" w:cs="Arial"/>
          <w:b/>
          <w:sz w:val="22"/>
          <w:szCs w:val="22"/>
          <w:u w:val="single"/>
        </w:rPr>
      </w:pPr>
    </w:p>
    <w:p w14:paraId="04FF9A5C" w14:textId="77777777" w:rsidR="00D84974" w:rsidRPr="00D84974" w:rsidRDefault="00D84974" w:rsidP="00CD3CA6">
      <w:pPr>
        <w:spacing w:line="240" w:lineRule="atLeast"/>
        <w:jc w:val="both"/>
        <w:rPr>
          <w:rFonts w:ascii="Arial" w:hAnsi="Arial" w:cs="Arial"/>
          <w:b/>
          <w:sz w:val="22"/>
          <w:szCs w:val="22"/>
          <w:u w:val="single"/>
        </w:rPr>
      </w:pPr>
      <w:r w:rsidRPr="00D84974">
        <w:rPr>
          <w:rFonts w:ascii="Arial" w:hAnsi="Arial" w:cs="Arial"/>
          <w:b/>
          <w:sz w:val="22"/>
          <w:szCs w:val="22"/>
          <w:u w:val="single"/>
        </w:rPr>
        <w:t>A 2023. évi költségvetés összeállítását meghatározó körülmények</w:t>
      </w:r>
    </w:p>
    <w:p w14:paraId="5CD15FE9" w14:textId="77777777" w:rsidR="006325C2" w:rsidRPr="00D84974" w:rsidRDefault="006325C2" w:rsidP="006325C2">
      <w:pPr>
        <w:spacing w:line="240" w:lineRule="atLeast"/>
        <w:jc w:val="both"/>
        <w:rPr>
          <w:rFonts w:ascii="Arial" w:hAnsi="Arial" w:cs="Arial"/>
          <w:b/>
          <w:sz w:val="22"/>
          <w:szCs w:val="22"/>
          <w:u w:val="single"/>
        </w:rPr>
      </w:pPr>
    </w:p>
    <w:p w14:paraId="67595917" w14:textId="6784104C" w:rsidR="00F433BA" w:rsidRDefault="006325C2" w:rsidP="00EC58FA">
      <w:pPr>
        <w:spacing w:line="240" w:lineRule="atLeast"/>
        <w:jc w:val="both"/>
        <w:rPr>
          <w:rFonts w:ascii="Arial" w:hAnsi="Arial" w:cs="Arial"/>
          <w:sz w:val="22"/>
          <w:szCs w:val="22"/>
        </w:rPr>
      </w:pPr>
      <w:r w:rsidRPr="00A626A9">
        <w:rPr>
          <w:rFonts w:ascii="Arial" w:hAnsi="Arial" w:cs="Arial"/>
          <w:b/>
          <w:sz w:val="22"/>
          <w:szCs w:val="22"/>
        </w:rPr>
        <w:t xml:space="preserve">A helyi önkormányzatok számára </w:t>
      </w:r>
      <w:r w:rsidR="00596F63" w:rsidRPr="00A626A9">
        <w:rPr>
          <w:rFonts w:ascii="Arial" w:hAnsi="Arial" w:cs="Arial"/>
          <w:b/>
          <w:sz w:val="22"/>
          <w:szCs w:val="22"/>
        </w:rPr>
        <w:t xml:space="preserve">előírt kötelező feladatok köre az előző </w:t>
      </w:r>
      <w:r w:rsidR="009E7BF8" w:rsidRPr="00A626A9">
        <w:rPr>
          <w:rFonts w:ascii="Arial" w:hAnsi="Arial" w:cs="Arial"/>
          <w:b/>
          <w:sz w:val="22"/>
          <w:szCs w:val="22"/>
        </w:rPr>
        <w:t>időszakhoz képest nem változott, ugyanakkor a</w:t>
      </w:r>
      <w:r w:rsidR="00CF5AFA" w:rsidRPr="00A626A9">
        <w:rPr>
          <w:rFonts w:ascii="Arial" w:hAnsi="Arial" w:cs="Arial"/>
          <w:b/>
          <w:sz w:val="22"/>
          <w:szCs w:val="22"/>
        </w:rPr>
        <w:t>z</w:t>
      </w:r>
      <w:r w:rsidR="00D84974">
        <w:rPr>
          <w:rFonts w:ascii="Arial" w:hAnsi="Arial" w:cs="Arial"/>
          <w:b/>
          <w:sz w:val="22"/>
          <w:szCs w:val="22"/>
        </w:rPr>
        <w:t xml:space="preserve"> idei költségvetés összeállítását rendkívü</w:t>
      </w:r>
      <w:r w:rsidR="00CA3EDE">
        <w:rPr>
          <w:rFonts w:ascii="Arial" w:hAnsi="Arial" w:cs="Arial"/>
          <w:b/>
          <w:sz w:val="22"/>
          <w:szCs w:val="22"/>
        </w:rPr>
        <w:t xml:space="preserve">li, az önkormányzattól függetlenül bekövetkezett kedvezőtlen pénzügyi </w:t>
      </w:r>
      <w:proofErr w:type="gramStart"/>
      <w:r w:rsidR="00CA3EDE">
        <w:rPr>
          <w:rFonts w:ascii="Arial" w:hAnsi="Arial" w:cs="Arial"/>
          <w:b/>
          <w:sz w:val="22"/>
          <w:szCs w:val="22"/>
        </w:rPr>
        <w:t>kondíciók</w:t>
      </w:r>
      <w:proofErr w:type="gramEnd"/>
      <w:r w:rsidR="00CA3EDE">
        <w:rPr>
          <w:rFonts w:ascii="Arial" w:hAnsi="Arial" w:cs="Arial"/>
          <w:b/>
          <w:sz w:val="22"/>
          <w:szCs w:val="22"/>
        </w:rPr>
        <w:t xml:space="preserve"> mellett kell biztosítani. </w:t>
      </w:r>
      <w:r w:rsidR="00CF5AFA" w:rsidRPr="00120D14">
        <w:rPr>
          <w:rFonts w:ascii="Arial" w:hAnsi="Arial" w:cs="Arial"/>
          <w:b/>
          <w:sz w:val="22"/>
          <w:szCs w:val="22"/>
        </w:rPr>
        <w:t xml:space="preserve">Az önkormányzati feladatellátás </w:t>
      </w:r>
      <w:r w:rsidR="00A626A9" w:rsidRPr="00120D14">
        <w:rPr>
          <w:rFonts w:ascii="Arial" w:hAnsi="Arial" w:cs="Arial"/>
          <w:b/>
          <w:sz w:val="22"/>
          <w:szCs w:val="22"/>
        </w:rPr>
        <w:t xml:space="preserve">forrásigénye </w:t>
      </w:r>
      <w:r w:rsidR="009E7BF8" w:rsidRPr="00120D14">
        <w:rPr>
          <w:rFonts w:ascii="Arial" w:hAnsi="Arial" w:cs="Arial"/>
          <w:b/>
          <w:sz w:val="22"/>
          <w:szCs w:val="22"/>
        </w:rPr>
        <w:t xml:space="preserve">- alapvetően </w:t>
      </w:r>
      <w:r w:rsidR="00CF5AFA" w:rsidRPr="00120D14">
        <w:rPr>
          <w:rFonts w:ascii="Arial" w:hAnsi="Arial" w:cs="Arial"/>
          <w:b/>
          <w:sz w:val="22"/>
          <w:szCs w:val="22"/>
        </w:rPr>
        <w:t xml:space="preserve">az előző évben bekövetkezett </w:t>
      </w:r>
      <w:proofErr w:type="gramStart"/>
      <w:r w:rsidR="00A626A9" w:rsidRPr="00120D14">
        <w:rPr>
          <w:rFonts w:ascii="Arial" w:hAnsi="Arial" w:cs="Arial"/>
          <w:b/>
          <w:sz w:val="22"/>
          <w:szCs w:val="22"/>
        </w:rPr>
        <w:t>drasztikus</w:t>
      </w:r>
      <w:proofErr w:type="gramEnd"/>
      <w:r w:rsidR="00A626A9" w:rsidRPr="00120D14">
        <w:rPr>
          <w:rFonts w:ascii="Arial" w:hAnsi="Arial" w:cs="Arial"/>
          <w:b/>
          <w:sz w:val="22"/>
          <w:szCs w:val="22"/>
        </w:rPr>
        <w:t xml:space="preserve"> energia</w:t>
      </w:r>
      <w:r w:rsidR="009E7BF8" w:rsidRPr="00120D14">
        <w:rPr>
          <w:rFonts w:ascii="Arial" w:hAnsi="Arial" w:cs="Arial"/>
          <w:b/>
          <w:sz w:val="22"/>
          <w:szCs w:val="22"/>
        </w:rPr>
        <w:t xml:space="preserve">- és élelmezési nyersanyagár </w:t>
      </w:r>
      <w:r w:rsidR="00EC58FA" w:rsidRPr="00120D14">
        <w:rPr>
          <w:rFonts w:ascii="Arial" w:hAnsi="Arial" w:cs="Arial"/>
          <w:b/>
          <w:sz w:val="22"/>
          <w:szCs w:val="22"/>
        </w:rPr>
        <w:t xml:space="preserve">emelkedés </w:t>
      </w:r>
      <w:r w:rsidR="009E7BF8" w:rsidRPr="00120D14">
        <w:rPr>
          <w:rFonts w:ascii="Arial" w:hAnsi="Arial" w:cs="Arial"/>
          <w:b/>
          <w:sz w:val="22"/>
          <w:szCs w:val="22"/>
        </w:rPr>
        <w:t xml:space="preserve">következtében – </w:t>
      </w:r>
      <w:r w:rsidR="000026C4" w:rsidRPr="00120D14">
        <w:rPr>
          <w:rFonts w:ascii="Arial" w:hAnsi="Arial" w:cs="Arial"/>
          <w:b/>
          <w:sz w:val="22"/>
          <w:szCs w:val="22"/>
        </w:rPr>
        <w:t xml:space="preserve">nagyságrendekkel </w:t>
      </w:r>
      <w:r w:rsidR="00F433BA" w:rsidRPr="00120D14">
        <w:rPr>
          <w:rFonts w:ascii="Arial" w:hAnsi="Arial" w:cs="Arial"/>
          <w:b/>
          <w:sz w:val="22"/>
          <w:szCs w:val="22"/>
        </w:rPr>
        <w:t xml:space="preserve">meghaladja </w:t>
      </w:r>
      <w:r w:rsidR="00A626A9" w:rsidRPr="00120D14">
        <w:rPr>
          <w:rFonts w:ascii="Arial" w:hAnsi="Arial" w:cs="Arial"/>
          <w:b/>
          <w:sz w:val="22"/>
          <w:szCs w:val="22"/>
        </w:rPr>
        <w:t xml:space="preserve">az eddigi </w:t>
      </w:r>
      <w:r w:rsidR="00F433BA" w:rsidRPr="00120D14">
        <w:rPr>
          <w:rFonts w:ascii="Arial" w:hAnsi="Arial" w:cs="Arial"/>
          <w:b/>
          <w:sz w:val="22"/>
          <w:szCs w:val="22"/>
        </w:rPr>
        <w:t>mértéket.</w:t>
      </w:r>
      <w:r w:rsidR="00F433BA">
        <w:rPr>
          <w:rFonts w:ascii="Arial" w:hAnsi="Arial" w:cs="Arial"/>
          <w:sz w:val="22"/>
          <w:szCs w:val="22"/>
        </w:rPr>
        <w:t xml:space="preserve"> E </w:t>
      </w:r>
      <w:r w:rsidR="00EC58FA">
        <w:rPr>
          <w:rFonts w:ascii="Arial" w:hAnsi="Arial" w:cs="Arial"/>
          <w:sz w:val="22"/>
          <w:szCs w:val="22"/>
        </w:rPr>
        <w:t xml:space="preserve">kedvezőtlen folyamat az előző év </w:t>
      </w:r>
      <w:r w:rsidR="00F433BA">
        <w:rPr>
          <w:rFonts w:ascii="Arial" w:hAnsi="Arial" w:cs="Arial"/>
          <w:sz w:val="22"/>
          <w:szCs w:val="22"/>
        </w:rPr>
        <w:t>második felében már ismert</w:t>
      </w:r>
      <w:r w:rsidR="00786A55">
        <w:rPr>
          <w:rFonts w:ascii="Arial" w:hAnsi="Arial" w:cs="Arial"/>
          <w:sz w:val="22"/>
          <w:szCs w:val="22"/>
        </w:rPr>
        <w:t xml:space="preserve">té vált, ezért Önkormányzatunk </w:t>
      </w:r>
      <w:r w:rsidR="00F433BA">
        <w:rPr>
          <w:rFonts w:ascii="Arial" w:hAnsi="Arial" w:cs="Arial"/>
          <w:sz w:val="22"/>
          <w:szCs w:val="22"/>
        </w:rPr>
        <w:t>augusztus hónaptól foglalkozott</w:t>
      </w:r>
      <w:r w:rsidR="00EC58FA">
        <w:rPr>
          <w:rFonts w:ascii="Arial" w:hAnsi="Arial" w:cs="Arial"/>
          <w:sz w:val="22"/>
          <w:szCs w:val="22"/>
        </w:rPr>
        <w:t xml:space="preserve"> </w:t>
      </w:r>
      <w:r w:rsidR="00195BC2">
        <w:rPr>
          <w:rFonts w:ascii="Arial" w:hAnsi="Arial" w:cs="Arial"/>
          <w:sz w:val="22"/>
          <w:szCs w:val="22"/>
        </w:rPr>
        <w:t xml:space="preserve">a </w:t>
      </w:r>
      <w:proofErr w:type="gramStart"/>
      <w:r w:rsidR="00F433BA">
        <w:rPr>
          <w:rFonts w:ascii="Arial" w:hAnsi="Arial" w:cs="Arial"/>
          <w:sz w:val="22"/>
          <w:szCs w:val="22"/>
        </w:rPr>
        <w:t>prognosztizálható</w:t>
      </w:r>
      <w:proofErr w:type="gramEnd"/>
      <w:r w:rsidR="00F433BA">
        <w:rPr>
          <w:rFonts w:ascii="Arial" w:hAnsi="Arial" w:cs="Arial"/>
          <w:sz w:val="22"/>
          <w:szCs w:val="22"/>
        </w:rPr>
        <w:t xml:space="preserve"> </w:t>
      </w:r>
      <w:r w:rsidR="00EC58FA" w:rsidRPr="00EC58FA">
        <w:rPr>
          <w:rFonts w:ascii="Arial" w:hAnsi="Arial" w:cs="Arial"/>
          <w:sz w:val="22"/>
          <w:szCs w:val="22"/>
        </w:rPr>
        <w:t>többletkiadások vizsgálatával</w:t>
      </w:r>
      <w:r w:rsidR="00A9093B">
        <w:rPr>
          <w:rFonts w:ascii="Arial" w:hAnsi="Arial" w:cs="Arial"/>
          <w:sz w:val="22"/>
          <w:szCs w:val="22"/>
        </w:rPr>
        <w:t xml:space="preserve">, </w:t>
      </w:r>
      <w:r w:rsidR="00F433BA">
        <w:rPr>
          <w:rFonts w:ascii="Arial" w:hAnsi="Arial" w:cs="Arial"/>
          <w:sz w:val="22"/>
          <w:szCs w:val="22"/>
        </w:rPr>
        <w:t xml:space="preserve">ezzel összefüggésben a költségcsökkentés kérdésével. </w:t>
      </w:r>
    </w:p>
    <w:p w14:paraId="69BBB353" w14:textId="77777777" w:rsidR="00F433BA" w:rsidRDefault="00F433BA" w:rsidP="00EC58FA">
      <w:pPr>
        <w:spacing w:line="240" w:lineRule="atLeast"/>
        <w:jc w:val="both"/>
        <w:rPr>
          <w:rFonts w:ascii="Arial" w:hAnsi="Arial" w:cs="Arial"/>
          <w:sz w:val="22"/>
          <w:szCs w:val="22"/>
        </w:rPr>
      </w:pPr>
    </w:p>
    <w:p w14:paraId="60DB6D8A" w14:textId="77777777" w:rsidR="00EC58FA" w:rsidRDefault="00EC58FA" w:rsidP="00EC58FA">
      <w:pPr>
        <w:spacing w:line="240" w:lineRule="atLeast"/>
        <w:jc w:val="both"/>
        <w:rPr>
          <w:rFonts w:ascii="Arial" w:hAnsi="Arial" w:cs="Arial"/>
          <w:sz w:val="22"/>
          <w:szCs w:val="22"/>
        </w:rPr>
      </w:pPr>
      <w:r w:rsidRPr="00EC58FA">
        <w:rPr>
          <w:rFonts w:ascii="Arial" w:hAnsi="Arial" w:cs="Arial"/>
          <w:sz w:val="22"/>
          <w:szCs w:val="22"/>
        </w:rPr>
        <w:t>A költségemelkedésről készített becslések szerint</w:t>
      </w:r>
      <w:r w:rsidR="004D4F1C">
        <w:rPr>
          <w:rFonts w:ascii="Arial" w:hAnsi="Arial" w:cs="Arial"/>
          <w:sz w:val="22"/>
          <w:szCs w:val="22"/>
        </w:rPr>
        <w:t xml:space="preserve">i többletforrás igény kezelhetősége érdekében </w:t>
      </w:r>
      <w:r w:rsidRPr="00EC58FA">
        <w:rPr>
          <w:rFonts w:ascii="Arial" w:hAnsi="Arial" w:cs="Arial"/>
          <w:sz w:val="22"/>
          <w:szCs w:val="22"/>
        </w:rPr>
        <w:t>a</w:t>
      </w:r>
      <w:r w:rsidR="00F433BA">
        <w:rPr>
          <w:rFonts w:ascii="Arial" w:hAnsi="Arial" w:cs="Arial"/>
          <w:sz w:val="22"/>
          <w:szCs w:val="22"/>
        </w:rPr>
        <w:t xml:space="preserve">z alábbi intézkedések </w:t>
      </w:r>
      <w:r w:rsidRPr="00EC58FA">
        <w:rPr>
          <w:rFonts w:ascii="Arial" w:hAnsi="Arial" w:cs="Arial"/>
          <w:sz w:val="22"/>
          <w:szCs w:val="22"/>
        </w:rPr>
        <w:t xml:space="preserve">történtek: </w:t>
      </w:r>
    </w:p>
    <w:p w14:paraId="5D0620AC" w14:textId="77777777" w:rsidR="00F433BA" w:rsidRPr="00EC58FA" w:rsidRDefault="00F433BA" w:rsidP="00EC58FA">
      <w:pPr>
        <w:spacing w:line="240" w:lineRule="atLeast"/>
        <w:jc w:val="both"/>
        <w:rPr>
          <w:rFonts w:ascii="Arial" w:hAnsi="Arial" w:cs="Arial"/>
          <w:sz w:val="22"/>
          <w:szCs w:val="22"/>
        </w:rPr>
      </w:pPr>
    </w:p>
    <w:p w14:paraId="4F2042A5" w14:textId="7FF238EB" w:rsidR="00EC58FA" w:rsidRPr="004D4F1C" w:rsidRDefault="00EC58FA" w:rsidP="00EC58FA">
      <w:pPr>
        <w:spacing w:line="240" w:lineRule="atLeast"/>
        <w:jc w:val="both"/>
        <w:rPr>
          <w:rFonts w:ascii="Arial" w:hAnsi="Arial" w:cs="Arial"/>
          <w:b/>
          <w:sz w:val="22"/>
          <w:szCs w:val="22"/>
        </w:rPr>
      </w:pPr>
      <w:r w:rsidRPr="009B3B1E">
        <w:rPr>
          <w:rFonts w:ascii="Arial" w:hAnsi="Arial" w:cs="Arial"/>
          <w:sz w:val="22"/>
          <w:szCs w:val="22"/>
        </w:rPr>
        <w:t>•</w:t>
      </w:r>
      <w:r w:rsidRPr="009B3B1E">
        <w:rPr>
          <w:rFonts w:ascii="Arial" w:hAnsi="Arial" w:cs="Arial"/>
          <w:sz w:val="22"/>
          <w:szCs w:val="22"/>
        </w:rPr>
        <w:tab/>
        <w:t>A Képviselő-testület a települési támogatásról és egyéb szociális ellátásokról szóló 1/2019. (I. 31.) önkormányzati rendelet módosításáról szóló 9/2022. (VI. 27.) önkormányzati rendeletével és a helyi gyermekvédelmi ellátásokról szóló 9/2021. (VII. 2.) önkormányzati rendelet módosításáról szóló 8/2022. (VI. 24.) önkormányzati rendeletéve</w:t>
      </w:r>
      <w:r w:rsidR="009B3B1E" w:rsidRPr="009B3B1E">
        <w:rPr>
          <w:rFonts w:ascii="Arial" w:hAnsi="Arial" w:cs="Arial"/>
          <w:sz w:val="22"/>
          <w:szCs w:val="22"/>
        </w:rPr>
        <w:t xml:space="preserve">l, valamint </w:t>
      </w:r>
      <w:r w:rsidR="009B3B1E" w:rsidRPr="009B3B1E">
        <w:rPr>
          <w:rFonts w:ascii="Arial" w:hAnsi="Arial" w:cs="Arial"/>
          <w:b/>
          <w:sz w:val="22"/>
          <w:szCs w:val="22"/>
        </w:rPr>
        <w:t xml:space="preserve">a </w:t>
      </w:r>
      <w:r w:rsidR="009B3B1E" w:rsidRPr="00BE1C7D">
        <w:rPr>
          <w:rFonts w:ascii="Arial" w:hAnsi="Arial" w:cs="Arial"/>
          <w:sz w:val="22"/>
          <w:szCs w:val="22"/>
        </w:rPr>
        <w:t xml:space="preserve">22/2022.(XII. 10.) </w:t>
      </w:r>
      <w:r w:rsidR="00597CDD" w:rsidRPr="00BE1C7D">
        <w:rPr>
          <w:rFonts w:ascii="Arial" w:hAnsi="Arial" w:cs="Arial"/>
          <w:sz w:val="22"/>
          <w:szCs w:val="22"/>
        </w:rPr>
        <w:t>rendeletével</w:t>
      </w:r>
      <w:r w:rsidR="00597CDD" w:rsidRPr="00522C29">
        <w:rPr>
          <w:rFonts w:ascii="Arial" w:hAnsi="Arial" w:cs="Arial"/>
          <w:b/>
          <w:sz w:val="22"/>
          <w:szCs w:val="22"/>
        </w:rPr>
        <w:t xml:space="preserve"> </w:t>
      </w:r>
      <w:r w:rsidRPr="009B3B1E">
        <w:rPr>
          <w:rFonts w:ascii="Arial" w:hAnsi="Arial" w:cs="Arial"/>
          <w:b/>
          <w:sz w:val="22"/>
          <w:szCs w:val="22"/>
        </w:rPr>
        <w:t xml:space="preserve">az étkeztetés intézményi térítési díjait </w:t>
      </w:r>
      <w:r w:rsidR="00597CDD" w:rsidRPr="009B3B1E">
        <w:rPr>
          <w:rFonts w:ascii="Arial" w:hAnsi="Arial" w:cs="Arial"/>
          <w:b/>
          <w:sz w:val="22"/>
          <w:szCs w:val="22"/>
        </w:rPr>
        <w:t xml:space="preserve">két alkalommal is </w:t>
      </w:r>
      <w:r w:rsidRPr="009B3B1E">
        <w:rPr>
          <w:rFonts w:ascii="Arial" w:hAnsi="Arial" w:cs="Arial"/>
          <w:b/>
          <w:sz w:val="22"/>
          <w:szCs w:val="22"/>
        </w:rPr>
        <w:t>megemelte.</w:t>
      </w:r>
    </w:p>
    <w:p w14:paraId="23A99DD1" w14:textId="77777777" w:rsidR="00EC58FA" w:rsidRPr="00EC58FA" w:rsidRDefault="00EC58FA" w:rsidP="00EC58FA">
      <w:pPr>
        <w:spacing w:line="240" w:lineRule="atLeast"/>
        <w:jc w:val="both"/>
        <w:rPr>
          <w:rFonts w:ascii="Arial" w:hAnsi="Arial" w:cs="Arial"/>
          <w:sz w:val="22"/>
          <w:szCs w:val="22"/>
        </w:rPr>
      </w:pPr>
      <w:r w:rsidRPr="00EC58FA">
        <w:rPr>
          <w:rFonts w:ascii="Arial" w:hAnsi="Arial" w:cs="Arial"/>
          <w:sz w:val="22"/>
          <w:szCs w:val="22"/>
        </w:rPr>
        <w:t>•</w:t>
      </w:r>
      <w:r w:rsidRPr="00EC58FA">
        <w:rPr>
          <w:rFonts w:ascii="Arial" w:hAnsi="Arial" w:cs="Arial"/>
          <w:sz w:val="22"/>
          <w:szCs w:val="22"/>
        </w:rPr>
        <w:tab/>
        <w:t xml:space="preserve">A Képviselő-testület foglalkozott </w:t>
      </w:r>
      <w:r>
        <w:rPr>
          <w:rFonts w:ascii="Arial" w:hAnsi="Arial" w:cs="Arial"/>
          <w:sz w:val="22"/>
          <w:szCs w:val="22"/>
        </w:rPr>
        <w:t xml:space="preserve">az </w:t>
      </w:r>
      <w:r w:rsidRPr="00EC58FA">
        <w:rPr>
          <w:rFonts w:ascii="Arial" w:hAnsi="Arial" w:cs="Arial"/>
          <w:sz w:val="22"/>
          <w:szCs w:val="22"/>
        </w:rPr>
        <w:t>energiabeszerzésre irányuló közbeszerzés kérdéskörével, de azt a fennálló bizonytalan kimenetelű helyzet miatt elvetette.</w:t>
      </w:r>
    </w:p>
    <w:p w14:paraId="3D1827A7" w14:textId="77777777" w:rsidR="00EC58FA" w:rsidRPr="00EC58FA" w:rsidRDefault="00EC58FA" w:rsidP="00EC58FA">
      <w:pPr>
        <w:spacing w:line="240" w:lineRule="atLeast"/>
        <w:jc w:val="both"/>
        <w:rPr>
          <w:rFonts w:ascii="Arial" w:hAnsi="Arial" w:cs="Arial"/>
          <w:sz w:val="22"/>
          <w:szCs w:val="22"/>
        </w:rPr>
      </w:pPr>
      <w:r w:rsidRPr="00EC58FA">
        <w:rPr>
          <w:rFonts w:ascii="Arial" w:hAnsi="Arial" w:cs="Arial"/>
          <w:sz w:val="22"/>
          <w:szCs w:val="22"/>
        </w:rPr>
        <w:t>•</w:t>
      </w:r>
      <w:r w:rsidRPr="00EC58FA">
        <w:rPr>
          <w:rFonts w:ascii="Arial" w:hAnsi="Arial" w:cs="Arial"/>
          <w:sz w:val="22"/>
          <w:szCs w:val="22"/>
        </w:rPr>
        <w:tab/>
        <w:t xml:space="preserve">A Képviselő-testület 181/2022.(VIII.31.) önkormányzati határozatával döntött a </w:t>
      </w:r>
      <w:r w:rsidRPr="004D4F1C">
        <w:rPr>
          <w:rFonts w:ascii="Arial" w:hAnsi="Arial" w:cs="Arial"/>
          <w:b/>
          <w:sz w:val="22"/>
          <w:szCs w:val="22"/>
        </w:rPr>
        <w:t>Bátaszéki Tanuszoda üzemeltetése Magyar Állam részére történő átadásának kezdeményezéséről.</w:t>
      </w:r>
    </w:p>
    <w:p w14:paraId="62B60B81" w14:textId="77777777" w:rsidR="00EC58FA" w:rsidRPr="00F433BA" w:rsidRDefault="00EC58FA" w:rsidP="00EC58FA">
      <w:pPr>
        <w:spacing w:line="240" w:lineRule="atLeast"/>
        <w:jc w:val="both"/>
        <w:rPr>
          <w:rFonts w:ascii="Arial" w:hAnsi="Arial" w:cs="Arial"/>
          <w:b/>
          <w:sz w:val="22"/>
          <w:szCs w:val="22"/>
        </w:rPr>
      </w:pPr>
      <w:r w:rsidRPr="00EC58FA">
        <w:rPr>
          <w:rFonts w:ascii="Arial" w:hAnsi="Arial" w:cs="Arial"/>
          <w:sz w:val="22"/>
          <w:szCs w:val="22"/>
        </w:rPr>
        <w:t>•</w:t>
      </w:r>
      <w:r w:rsidRPr="00EC58FA">
        <w:rPr>
          <w:rFonts w:ascii="Arial" w:hAnsi="Arial" w:cs="Arial"/>
          <w:sz w:val="22"/>
          <w:szCs w:val="22"/>
        </w:rPr>
        <w:tab/>
        <w:t>A Képviselő-testület 216/2022.(IX.19.) önkor</w:t>
      </w:r>
      <w:r w:rsidR="004D4F1C">
        <w:rPr>
          <w:rFonts w:ascii="Arial" w:hAnsi="Arial" w:cs="Arial"/>
          <w:sz w:val="22"/>
          <w:szCs w:val="22"/>
        </w:rPr>
        <w:t>mányzati határozatával a</w:t>
      </w:r>
      <w:r w:rsidRPr="00EC58FA">
        <w:rPr>
          <w:rFonts w:ascii="Arial" w:hAnsi="Arial" w:cs="Arial"/>
          <w:sz w:val="22"/>
          <w:szCs w:val="22"/>
        </w:rPr>
        <w:t>z</w:t>
      </w:r>
      <w:r w:rsidR="004D4F1C">
        <w:rPr>
          <w:rFonts w:ascii="Arial" w:hAnsi="Arial" w:cs="Arial"/>
          <w:sz w:val="22"/>
          <w:szCs w:val="22"/>
        </w:rPr>
        <w:t xml:space="preserve"> elektromos áram felhasználás </w:t>
      </w:r>
      <w:r w:rsidRPr="00EC58FA">
        <w:rPr>
          <w:rFonts w:ascii="Arial" w:hAnsi="Arial" w:cs="Arial"/>
          <w:sz w:val="22"/>
          <w:szCs w:val="22"/>
        </w:rPr>
        <w:t>csökkentés</w:t>
      </w:r>
      <w:r w:rsidR="004D4F1C">
        <w:rPr>
          <w:rFonts w:ascii="Arial" w:hAnsi="Arial" w:cs="Arial"/>
          <w:sz w:val="22"/>
          <w:szCs w:val="22"/>
        </w:rPr>
        <w:t>e</w:t>
      </w:r>
      <w:r w:rsidR="00161C9C">
        <w:rPr>
          <w:rFonts w:ascii="Arial" w:hAnsi="Arial" w:cs="Arial"/>
          <w:sz w:val="22"/>
          <w:szCs w:val="22"/>
        </w:rPr>
        <w:t xml:space="preserve"> érdekében</w:t>
      </w:r>
      <w:r w:rsidRPr="00EC58FA">
        <w:rPr>
          <w:rFonts w:ascii="Arial" w:hAnsi="Arial" w:cs="Arial"/>
          <w:sz w:val="22"/>
          <w:szCs w:val="22"/>
        </w:rPr>
        <w:t xml:space="preserve"> az </w:t>
      </w:r>
      <w:r w:rsidRPr="00F433BA">
        <w:rPr>
          <w:rFonts w:ascii="Arial" w:hAnsi="Arial" w:cs="Arial"/>
          <w:b/>
          <w:sz w:val="22"/>
          <w:szCs w:val="22"/>
        </w:rPr>
        <w:t>önkormányzati fenntartású intézmények napi</w:t>
      </w:r>
      <w:r w:rsidR="00F433BA">
        <w:rPr>
          <w:rFonts w:ascii="Arial" w:hAnsi="Arial" w:cs="Arial"/>
          <w:b/>
          <w:sz w:val="22"/>
          <w:szCs w:val="22"/>
        </w:rPr>
        <w:t xml:space="preserve"> nyitva tartásának rövidítéséről</w:t>
      </w:r>
      <w:r w:rsidRPr="00F433BA">
        <w:rPr>
          <w:rFonts w:ascii="Arial" w:hAnsi="Arial" w:cs="Arial"/>
          <w:b/>
          <w:sz w:val="22"/>
          <w:szCs w:val="22"/>
        </w:rPr>
        <w:t>, vagy a nyitvatartási idő hosszá</w:t>
      </w:r>
      <w:r w:rsidR="00161C9C" w:rsidRPr="00F433BA">
        <w:rPr>
          <w:rFonts w:ascii="Arial" w:hAnsi="Arial" w:cs="Arial"/>
          <w:b/>
          <w:sz w:val="22"/>
          <w:szCs w:val="22"/>
        </w:rPr>
        <w:t>nak napszakon belüli eltolásáról</w:t>
      </w:r>
      <w:r w:rsidR="00161C9C">
        <w:rPr>
          <w:rFonts w:ascii="Arial" w:hAnsi="Arial" w:cs="Arial"/>
          <w:sz w:val="22"/>
          <w:szCs w:val="22"/>
        </w:rPr>
        <w:t xml:space="preserve"> döntött. </w:t>
      </w:r>
      <w:r w:rsidRPr="00EC58FA">
        <w:rPr>
          <w:rFonts w:ascii="Arial" w:hAnsi="Arial" w:cs="Arial"/>
          <w:sz w:val="22"/>
          <w:szCs w:val="22"/>
        </w:rPr>
        <w:t xml:space="preserve">A földgáz vonatkozásában </w:t>
      </w:r>
      <w:r w:rsidRPr="00F433BA">
        <w:rPr>
          <w:rFonts w:ascii="Arial" w:hAnsi="Arial" w:cs="Arial"/>
          <w:b/>
          <w:sz w:val="22"/>
          <w:szCs w:val="22"/>
        </w:rPr>
        <w:t>a helyiségek léghőmérsékletének 1-3 Celsius fokkal t</w:t>
      </w:r>
      <w:r w:rsidR="00161C9C" w:rsidRPr="00F433BA">
        <w:rPr>
          <w:rFonts w:ascii="Arial" w:hAnsi="Arial" w:cs="Arial"/>
          <w:b/>
          <w:sz w:val="22"/>
          <w:szCs w:val="22"/>
        </w:rPr>
        <w:t>örténő csökkentésére hozott döntést</w:t>
      </w:r>
      <w:r>
        <w:rPr>
          <w:rFonts w:ascii="Arial" w:hAnsi="Arial" w:cs="Arial"/>
          <w:sz w:val="22"/>
          <w:szCs w:val="22"/>
        </w:rPr>
        <w:t xml:space="preserve"> a</w:t>
      </w:r>
      <w:r w:rsidRPr="00EC58FA">
        <w:rPr>
          <w:rFonts w:ascii="Arial" w:hAnsi="Arial" w:cs="Arial"/>
          <w:sz w:val="22"/>
          <w:szCs w:val="22"/>
        </w:rPr>
        <w:t xml:space="preserve"> szakma szabályai szerint megkövetelt minimum értkékek figyelembevételével. </w:t>
      </w:r>
      <w:r w:rsidRPr="00F433BA">
        <w:rPr>
          <w:rFonts w:ascii="Arial" w:hAnsi="Arial" w:cs="Arial"/>
          <w:b/>
          <w:sz w:val="22"/>
          <w:szCs w:val="22"/>
        </w:rPr>
        <w:t xml:space="preserve">Módosított nyitvatartási időt fogadott el a Testület a Bátaszéki Közös Önkormányzati Hivatal, a Bátaszéki </w:t>
      </w:r>
      <w:proofErr w:type="spellStart"/>
      <w:r w:rsidRPr="00F433BA">
        <w:rPr>
          <w:rFonts w:ascii="Arial" w:hAnsi="Arial" w:cs="Arial"/>
          <w:b/>
          <w:sz w:val="22"/>
          <w:szCs w:val="22"/>
        </w:rPr>
        <w:t>Mikrotérségi</w:t>
      </w:r>
      <w:proofErr w:type="spellEnd"/>
      <w:r w:rsidRPr="00F433BA">
        <w:rPr>
          <w:rFonts w:ascii="Arial" w:hAnsi="Arial" w:cs="Arial"/>
          <w:b/>
          <w:sz w:val="22"/>
          <w:szCs w:val="22"/>
        </w:rPr>
        <w:t xml:space="preserve"> Óvoda, Bölcsőde és Konyha, a Keresztély Gyula Városi Könyvtár, a Bátaszéki Tanuszoda, és a Városi Sportcsarnok esetében is.</w:t>
      </w:r>
    </w:p>
    <w:p w14:paraId="7CE44BE5" w14:textId="77777777" w:rsidR="00EC58FA" w:rsidRPr="00F433BA" w:rsidRDefault="00EC58FA" w:rsidP="00EC58FA">
      <w:pPr>
        <w:spacing w:line="240" w:lineRule="atLeast"/>
        <w:jc w:val="both"/>
        <w:rPr>
          <w:rFonts w:ascii="Arial" w:hAnsi="Arial" w:cs="Arial"/>
          <w:b/>
          <w:sz w:val="22"/>
          <w:szCs w:val="22"/>
        </w:rPr>
      </w:pPr>
      <w:r w:rsidRPr="00EC58FA">
        <w:rPr>
          <w:rFonts w:ascii="Arial" w:hAnsi="Arial" w:cs="Arial"/>
          <w:sz w:val="22"/>
          <w:szCs w:val="22"/>
        </w:rPr>
        <w:t>•</w:t>
      </w:r>
      <w:r w:rsidRPr="00EC58FA">
        <w:rPr>
          <w:rFonts w:ascii="Arial" w:hAnsi="Arial" w:cs="Arial"/>
          <w:sz w:val="22"/>
          <w:szCs w:val="22"/>
        </w:rPr>
        <w:tab/>
        <w:t xml:space="preserve">A Képviselő-testület 210/2022.(IX.19.) önkormányzati határozatával </w:t>
      </w:r>
      <w:r w:rsidRPr="00F433BA">
        <w:rPr>
          <w:rFonts w:ascii="Arial" w:hAnsi="Arial" w:cs="Arial"/>
          <w:b/>
          <w:sz w:val="22"/>
          <w:szCs w:val="22"/>
        </w:rPr>
        <w:t>a Tanuszoda belépőjegyek díját és a használati díjakat 2022. szeptember 20. napjától megemelte.</w:t>
      </w:r>
    </w:p>
    <w:p w14:paraId="5D408FF1" w14:textId="77777777" w:rsidR="00EC58FA" w:rsidRPr="00F433BA" w:rsidRDefault="00EC58FA" w:rsidP="00EC58FA">
      <w:pPr>
        <w:spacing w:line="240" w:lineRule="atLeast"/>
        <w:jc w:val="both"/>
        <w:rPr>
          <w:rFonts w:ascii="Arial" w:hAnsi="Arial" w:cs="Arial"/>
          <w:b/>
          <w:sz w:val="22"/>
          <w:szCs w:val="22"/>
        </w:rPr>
      </w:pPr>
      <w:r w:rsidRPr="00EC58FA">
        <w:rPr>
          <w:rFonts w:ascii="Arial" w:hAnsi="Arial" w:cs="Arial"/>
          <w:sz w:val="22"/>
          <w:szCs w:val="22"/>
        </w:rPr>
        <w:t>•</w:t>
      </w:r>
      <w:r w:rsidRPr="00EC58FA">
        <w:rPr>
          <w:rFonts w:ascii="Arial" w:hAnsi="Arial" w:cs="Arial"/>
          <w:sz w:val="22"/>
          <w:szCs w:val="22"/>
        </w:rPr>
        <w:tab/>
        <w:t xml:space="preserve">A Képviselő-testület 212/2022.(IX.19.) önkormányzati határozatával </w:t>
      </w:r>
      <w:r w:rsidRPr="00F433BA">
        <w:rPr>
          <w:rFonts w:ascii="Arial" w:hAnsi="Arial" w:cs="Arial"/>
          <w:b/>
          <w:sz w:val="22"/>
          <w:szCs w:val="22"/>
        </w:rPr>
        <w:t>a Városi Sportcsarnok használati díját megemelte.</w:t>
      </w:r>
    </w:p>
    <w:p w14:paraId="10DF0538" w14:textId="77777777" w:rsidR="00EC58FA" w:rsidRPr="00F433BA" w:rsidRDefault="00EC58FA" w:rsidP="00EC58FA">
      <w:pPr>
        <w:spacing w:line="240" w:lineRule="atLeast"/>
        <w:jc w:val="both"/>
        <w:rPr>
          <w:rFonts w:ascii="Arial" w:hAnsi="Arial" w:cs="Arial"/>
          <w:b/>
          <w:sz w:val="22"/>
          <w:szCs w:val="22"/>
        </w:rPr>
      </w:pPr>
      <w:r w:rsidRPr="00EC58FA">
        <w:rPr>
          <w:rFonts w:ascii="Arial" w:hAnsi="Arial" w:cs="Arial"/>
          <w:sz w:val="22"/>
          <w:szCs w:val="22"/>
        </w:rPr>
        <w:t>•</w:t>
      </w:r>
      <w:r w:rsidRPr="00EC58FA">
        <w:rPr>
          <w:rFonts w:ascii="Arial" w:hAnsi="Arial" w:cs="Arial"/>
          <w:sz w:val="22"/>
          <w:szCs w:val="22"/>
        </w:rPr>
        <w:tab/>
        <w:t xml:space="preserve">A Képviselő-testület a helyi önkormányzati képviselők és bizottsági tagok tiszteletdíjairól és egyéb juttatásairól szóló 14/2014. (XI. 17.) önkormányzati rendelet módosításáról szóló 17/2022. (IX. 30.) önkormányzati rendeletével úgy döntött, hogy a </w:t>
      </w:r>
      <w:r w:rsidRPr="00F433BA">
        <w:rPr>
          <w:rFonts w:ascii="Arial" w:hAnsi="Arial" w:cs="Arial"/>
          <w:b/>
          <w:sz w:val="22"/>
          <w:szCs w:val="22"/>
        </w:rPr>
        <w:t>2022. október 1. napjától 2024. szeptember 30. napjáig a képviselőket és a nem képviselő bizottsági tagokat tiszteletdíj nem illeti meg, az nem kerül számfejtésre és kifizetésre.</w:t>
      </w:r>
    </w:p>
    <w:p w14:paraId="56D7E1B3" w14:textId="77777777" w:rsidR="00EC58FA" w:rsidRPr="00EC58FA" w:rsidRDefault="00EC58FA" w:rsidP="00EC58FA">
      <w:pPr>
        <w:spacing w:line="240" w:lineRule="atLeast"/>
        <w:jc w:val="both"/>
        <w:rPr>
          <w:rFonts w:ascii="Arial" w:hAnsi="Arial" w:cs="Arial"/>
          <w:sz w:val="22"/>
          <w:szCs w:val="22"/>
        </w:rPr>
      </w:pPr>
      <w:r w:rsidRPr="00EC58FA">
        <w:rPr>
          <w:rFonts w:ascii="Arial" w:hAnsi="Arial" w:cs="Arial"/>
          <w:sz w:val="22"/>
          <w:szCs w:val="22"/>
        </w:rPr>
        <w:t>•</w:t>
      </w:r>
      <w:r w:rsidRPr="00EC58FA">
        <w:rPr>
          <w:rFonts w:ascii="Arial" w:hAnsi="Arial" w:cs="Arial"/>
          <w:sz w:val="22"/>
          <w:szCs w:val="22"/>
        </w:rPr>
        <w:tab/>
        <w:t xml:space="preserve">A Képviselő-testület 253/2022. (X.26.) önkormányzati határozatával döntött - a kormányzati igazgatási szünet és a rendkívüli iskolai téli szünet időtartamához igazodva - </w:t>
      </w:r>
      <w:r w:rsidRPr="00F433BA">
        <w:rPr>
          <w:rFonts w:ascii="Arial" w:hAnsi="Arial" w:cs="Arial"/>
          <w:b/>
          <w:sz w:val="22"/>
          <w:szCs w:val="22"/>
        </w:rPr>
        <w:t>2022. december 23. napjától 2023. január 6. napjáig tartó hivatali iga</w:t>
      </w:r>
      <w:r w:rsidR="008A7F08" w:rsidRPr="00F433BA">
        <w:rPr>
          <w:rFonts w:ascii="Arial" w:hAnsi="Arial" w:cs="Arial"/>
          <w:b/>
          <w:sz w:val="22"/>
          <w:szCs w:val="22"/>
        </w:rPr>
        <w:t>zgatási szünet elrendeléséről</w:t>
      </w:r>
      <w:r w:rsidR="008A7F08">
        <w:rPr>
          <w:rFonts w:ascii="Arial" w:hAnsi="Arial" w:cs="Arial"/>
          <w:sz w:val="22"/>
          <w:szCs w:val="22"/>
        </w:rPr>
        <w:t>.</w:t>
      </w:r>
    </w:p>
    <w:p w14:paraId="4ECA1825" w14:textId="77777777" w:rsidR="007B1DC6" w:rsidRDefault="007B1DC6" w:rsidP="00EC58FA">
      <w:pPr>
        <w:spacing w:line="240" w:lineRule="atLeast"/>
        <w:jc w:val="both"/>
        <w:rPr>
          <w:rFonts w:ascii="Arial" w:hAnsi="Arial" w:cs="Arial"/>
          <w:sz w:val="22"/>
          <w:szCs w:val="22"/>
        </w:rPr>
      </w:pPr>
    </w:p>
    <w:p w14:paraId="3A0D1471" w14:textId="77777777" w:rsidR="004D4F1C" w:rsidRDefault="004D4F1C" w:rsidP="00EC58FA">
      <w:pPr>
        <w:spacing w:line="240" w:lineRule="atLeast"/>
        <w:jc w:val="both"/>
        <w:rPr>
          <w:rFonts w:ascii="Arial" w:hAnsi="Arial" w:cs="Arial"/>
          <w:sz w:val="22"/>
          <w:szCs w:val="22"/>
        </w:rPr>
      </w:pPr>
      <w:r>
        <w:rPr>
          <w:rFonts w:ascii="Arial" w:hAnsi="Arial" w:cs="Arial"/>
          <w:sz w:val="22"/>
          <w:szCs w:val="22"/>
        </w:rPr>
        <w:t xml:space="preserve">A 2022. évi többletkiadásokat Önkormányzatunk az előzőekben részletezett intézkedések </w:t>
      </w:r>
      <w:r w:rsidR="00F433BA">
        <w:rPr>
          <w:rFonts w:ascii="Arial" w:hAnsi="Arial" w:cs="Arial"/>
          <w:sz w:val="22"/>
          <w:szCs w:val="22"/>
        </w:rPr>
        <w:t>meghozatala mellett belső átcsoportosítás</w:t>
      </w:r>
      <w:r w:rsidR="00E346DE">
        <w:rPr>
          <w:rFonts w:ascii="Arial" w:hAnsi="Arial" w:cs="Arial"/>
          <w:sz w:val="22"/>
          <w:szCs w:val="22"/>
        </w:rPr>
        <w:t>s</w:t>
      </w:r>
      <w:r w:rsidR="00F433BA">
        <w:rPr>
          <w:rFonts w:ascii="Arial" w:hAnsi="Arial" w:cs="Arial"/>
          <w:sz w:val="22"/>
          <w:szCs w:val="22"/>
        </w:rPr>
        <w:t>a</w:t>
      </w:r>
      <w:r w:rsidR="00E346DE">
        <w:rPr>
          <w:rFonts w:ascii="Arial" w:hAnsi="Arial" w:cs="Arial"/>
          <w:sz w:val="22"/>
          <w:szCs w:val="22"/>
        </w:rPr>
        <w:t>l</w:t>
      </w:r>
      <w:r>
        <w:rPr>
          <w:rFonts w:ascii="Arial" w:hAnsi="Arial" w:cs="Arial"/>
          <w:sz w:val="22"/>
          <w:szCs w:val="22"/>
        </w:rPr>
        <w:t>, a tartalékok igénybe vételével kezelni tudta.</w:t>
      </w:r>
    </w:p>
    <w:p w14:paraId="22D5F417" w14:textId="77777777" w:rsidR="00382091" w:rsidRDefault="00382091" w:rsidP="00EC58FA">
      <w:pPr>
        <w:spacing w:line="240" w:lineRule="atLeast"/>
        <w:jc w:val="both"/>
        <w:rPr>
          <w:rFonts w:ascii="Arial" w:hAnsi="Arial" w:cs="Arial"/>
          <w:sz w:val="22"/>
          <w:szCs w:val="22"/>
        </w:rPr>
      </w:pPr>
    </w:p>
    <w:p w14:paraId="0501E350" w14:textId="09137786" w:rsidR="00BF3088" w:rsidRDefault="00597CDD" w:rsidP="00EC58FA">
      <w:pPr>
        <w:spacing w:line="240" w:lineRule="atLeast"/>
        <w:jc w:val="both"/>
        <w:rPr>
          <w:rFonts w:ascii="Arial" w:hAnsi="Arial" w:cs="Arial"/>
          <w:b/>
          <w:sz w:val="22"/>
          <w:szCs w:val="22"/>
        </w:rPr>
      </w:pPr>
      <w:r w:rsidRPr="00F433BA">
        <w:rPr>
          <w:rFonts w:ascii="Arial" w:hAnsi="Arial" w:cs="Arial"/>
          <w:b/>
          <w:sz w:val="22"/>
          <w:szCs w:val="22"/>
        </w:rPr>
        <w:t xml:space="preserve">Az idei év költségvetésének összeállításánál </w:t>
      </w:r>
      <w:r w:rsidR="002A5941" w:rsidRPr="002A5941">
        <w:rPr>
          <w:rFonts w:ascii="Arial" w:hAnsi="Arial" w:cs="Arial"/>
          <w:b/>
          <w:sz w:val="22"/>
          <w:szCs w:val="22"/>
        </w:rPr>
        <w:t>674 575</w:t>
      </w:r>
      <w:r w:rsidR="002A5941">
        <w:rPr>
          <w:rFonts w:ascii="Arial" w:hAnsi="Arial" w:cs="Arial"/>
          <w:b/>
          <w:sz w:val="22"/>
          <w:szCs w:val="22"/>
        </w:rPr>
        <w:t> </w:t>
      </w:r>
      <w:r w:rsidR="002A5941" w:rsidRPr="002A5941">
        <w:rPr>
          <w:rFonts w:ascii="Arial" w:hAnsi="Arial" w:cs="Arial"/>
          <w:b/>
          <w:sz w:val="22"/>
          <w:szCs w:val="22"/>
        </w:rPr>
        <w:t>246</w:t>
      </w:r>
      <w:r w:rsidR="002A5941">
        <w:rPr>
          <w:rFonts w:ascii="Arial" w:hAnsi="Arial" w:cs="Arial"/>
          <w:b/>
          <w:sz w:val="22"/>
          <w:szCs w:val="22"/>
        </w:rPr>
        <w:t xml:space="preserve"> Ft összegű központi költségvetési forrással számolhatunk, mely </w:t>
      </w:r>
      <w:r w:rsidR="002A5941" w:rsidRPr="002A5941">
        <w:rPr>
          <w:rFonts w:ascii="Arial" w:hAnsi="Arial" w:cs="Arial"/>
          <w:b/>
          <w:sz w:val="22"/>
          <w:szCs w:val="22"/>
        </w:rPr>
        <w:t>45 230</w:t>
      </w:r>
      <w:r w:rsidR="002A5941">
        <w:rPr>
          <w:rFonts w:ascii="Arial" w:hAnsi="Arial" w:cs="Arial"/>
          <w:b/>
          <w:sz w:val="22"/>
          <w:szCs w:val="22"/>
        </w:rPr>
        <w:t> </w:t>
      </w:r>
      <w:r w:rsidR="002A5941" w:rsidRPr="002A5941">
        <w:rPr>
          <w:rFonts w:ascii="Arial" w:hAnsi="Arial" w:cs="Arial"/>
          <w:b/>
          <w:sz w:val="22"/>
          <w:szCs w:val="22"/>
        </w:rPr>
        <w:t>586</w:t>
      </w:r>
      <w:r w:rsidR="002A5941">
        <w:rPr>
          <w:rFonts w:ascii="Arial" w:hAnsi="Arial" w:cs="Arial"/>
          <w:b/>
          <w:sz w:val="22"/>
          <w:szCs w:val="22"/>
        </w:rPr>
        <w:t xml:space="preserve"> Ft-tal több az előző év</w:t>
      </w:r>
      <w:r w:rsidR="0074084C">
        <w:rPr>
          <w:rFonts w:ascii="Arial" w:hAnsi="Arial" w:cs="Arial"/>
          <w:b/>
          <w:sz w:val="22"/>
          <w:szCs w:val="22"/>
        </w:rPr>
        <w:t>ben</w:t>
      </w:r>
      <w:r w:rsidR="002A5941">
        <w:rPr>
          <w:rFonts w:ascii="Arial" w:hAnsi="Arial" w:cs="Arial"/>
          <w:b/>
          <w:sz w:val="22"/>
          <w:szCs w:val="22"/>
        </w:rPr>
        <w:t xml:space="preserve"> ténylegesen rendelkezésünkre bocsátott összegnél. Emellett a szolidaritási hozzájárulási kötelezettségünk </w:t>
      </w:r>
      <w:r w:rsidR="002A5941" w:rsidRPr="002A5941">
        <w:rPr>
          <w:rFonts w:ascii="Arial" w:hAnsi="Arial" w:cs="Arial"/>
          <w:b/>
          <w:sz w:val="22"/>
          <w:szCs w:val="22"/>
        </w:rPr>
        <w:t>46 210 600</w:t>
      </w:r>
      <w:r w:rsidR="002A5941">
        <w:rPr>
          <w:rFonts w:ascii="Arial" w:hAnsi="Arial" w:cs="Arial"/>
          <w:b/>
          <w:sz w:val="22"/>
          <w:szCs w:val="22"/>
        </w:rPr>
        <w:t xml:space="preserve"> Ft-ról </w:t>
      </w:r>
      <w:r w:rsidR="002A5941" w:rsidRPr="002A5941">
        <w:rPr>
          <w:rFonts w:ascii="Arial" w:hAnsi="Arial" w:cs="Arial"/>
          <w:b/>
          <w:sz w:val="22"/>
          <w:szCs w:val="22"/>
        </w:rPr>
        <w:t>23 951</w:t>
      </w:r>
      <w:r w:rsidR="002A5941">
        <w:rPr>
          <w:rFonts w:ascii="Arial" w:hAnsi="Arial" w:cs="Arial"/>
          <w:b/>
          <w:sz w:val="22"/>
          <w:szCs w:val="22"/>
        </w:rPr>
        <w:t> </w:t>
      </w:r>
      <w:r w:rsidR="002A5941" w:rsidRPr="002A5941">
        <w:rPr>
          <w:rFonts w:ascii="Arial" w:hAnsi="Arial" w:cs="Arial"/>
          <w:b/>
          <w:sz w:val="22"/>
          <w:szCs w:val="22"/>
        </w:rPr>
        <w:t>645</w:t>
      </w:r>
      <w:r w:rsidR="002A5941">
        <w:rPr>
          <w:rFonts w:ascii="Arial" w:hAnsi="Arial" w:cs="Arial"/>
          <w:b/>
          <w:sz w:val="22"/>
          <w:szCs w:val="22"/>
        </w:rPr>
        <w:t xml:space="preserve"> Ft-ra mérséklődött, így az eredeti előirányzat szintjén </w:t>
      </w:r>
      <w:r w:rsidR="002A5941" w:rsidRPr="002A5941">
        <w:rPr>
          <w:rFonts w:ascii="Arial" w:hAnsi="Arial" w:cs="Arial"/>
          <w:b/>
          <w:sz w:val="22"/>
          <w:szCs w:val="22"/>
        </w:rPr>
        <w:t>67 489</w:t>
      </w:r>
      <w:r w:rsidR="001E4102">
        <w:rPr>
          <w:rFonts w:ascii="Arial" w:hAnsi="Arial" w:cs="Arial"/>
          <w:b/>
          <w:sz w:val="22"/>
          <w:szCs w:val="22"/>
        </w:rPr>
        <w:t> </w:t>
      </w:r>
      <w:r w:rsidR="002A5941" w:rsidRPr="002A5941">
        <w:rPr>
          <w:rFonts w:ascii="Arial" w:hAnsi="Arial" w:cs="Arial"/>
          <w:b/>
          <w:sz w:val="22"/>
          <w:szCs w:val="22"/>
        </w:rPr>
        <w:t>541</w:t>
      </w:r>
      <w:r w:rsidR="001E4102">
        <w:rPr>
          <w:rFonts w:ascii="Arial" w:hAnsi="Arial" w:cs="Arial"/>
          <w:b/>
          <w:sz w:val="22"/>
          <w:szCs w:val="22"/>
        </w:rPr>
        <w:t xml:space="preserve"> Ft többlettel </w:t>
      </w:r>
      <w:proofErr w:type="gramStart"/>
      <w:r w:rsidR="001E4102">
        <w:rPr>
          <w:rFonts w:ascii="Arial" w:hAnsi="Arial" w:cs="Arial"/>
          <w:b/>
          <w:sz w:val="22"/>
          <w:szCs w:val="22"/>
        </w:rPr>
        <w:t>kalkulálhatunk</w:t>
      </w:r>
      <w:proofErr w:type="gramEnd"/>
      <w:r w:rsidR="0074084C">
        <w:rPr>
          <w:rFonts w:ascii="Arial" w:hAnsi="Arial" w:cs="Arial"/>
          <w:b/>
          <w:sz w:val="22"/>
          <w:szCs w:val="22"/>
        </w:rPr>
        <w:t>.</w:t>
      </w:r>
      <w:r w:rsidR="00517357">
        <w:rPr>
          <w:rFonts w:ascii="Arial" w:hAnsi="Arial" w:cs="Arial"/>
          <w:b/>
          <w:sz w:val="22"/>
          <w:szCs w:val="22"/>
        </w:rPr>
        <w:t xml:space="preserve"> </w:t>
      </w:r>
      <w:r w:rsidR="001E4102">
        <w:rPr>
          <w:rFonts w:ascii="Arial" w:hAnsi="Arial" w:cs="Arial"/>
          <w:b/>
          <w:sz w:val="22"/>
          <w:szCs w:val="22"/>
        </w:rPr>
        <w:t xml:space="preserve">Ugyanakkor a központi béremelkedések kötelező végrehajtásából jelentkező kiadási többletre, valamint a rezsiköltségemelkedés jelentős részére a központi költségvetésből a tervezési időszakban </w:t>
      </w:r>
      <w:r w:rsidR="00BF3088">
        <w:rPr>
          <w:rFonts w:ascii="Arial" w:hAnsi="Arial" w:cs="Arial"/>
          <w:b/>
          <w:sz w:val="22"/>
          <w:szCs w:val="22"/>
        </w:rPr>
        <w:t xml:space="preserve">nem biztosított </w:t>
      </w:r>
      <w:r w:rsidR="009E2E30">
        <w:rPr>
          <w:rFonts w:ascii="Arial" w:hAnsi="Arial" w:cs="Arial"/>
          <w:b/>
          <w:sz w:val="22"/>
          <w:szCs w:val="22"/>
        </w:rPr>
        <w:t xml:space="preserve">a </w:t>
      </w:r>
      <w:r w:rsidR="001E4102">
        <w:rPr>
          <w:rFonts w:ascii="Arial" w:hAnsi="Arial" w:cs="Arial"/>
          <w:b/>
          <w:sz w:val="22"/>
          <w:szCs w:val="22"/>
        </w:rPr>
        <w:t xml:space="preserve">fedezet. </w:t>
      </w:r>
    </w:p>
    <w:p w14:paraId="347A1615" w14:textId="77777777" w:rsidR="00BF3088" w:rsidRDefault="00BF3088" w:rsidP="00EC58FA">
      <w:pPr>
        <w:spacing w:line="240" w:lineRule="atLeast"/>
        <w:jc w:val="both"/>
        <w:rPr>
          <w:rFonts w:ascii="Arial" w:hAnsi="Arial" w:cs="Arial"/>
          <w:b/>
          <w:sz w:val="22"/>
          <w:szCs w:val="22"/>
        </w:rPr>
      </w:pPr>
    </w:p>
    <w:p w14:paraId="4AADE8F0" w14:textId="1821EE91" w:rsidR="00B752E5" w:rsidRPr="00B752E5" w:rsidRDefault="00B752E5" w:rsidP="00B752E5">
      <w:pPr>
        <w:spacing w:line="240" w:lineRule="atLeast"/>
        <w:jc w:val="both"/>
        <w:rPr>
          <w:rFonts w:ascii="Arial" w:hAnsi="Arial" w:cs="Arial"/>
          <w:b/>
          <w:sz w:val="22"/>
          <w:szCs w:val="22"/>
        </w:rPr>
      </w:pPr>
      <w:r>
        <w:rPr>
          <w:rFonts w:ascii="Arial" w:hAnsi="Arial" w:cs="Arial"/>
          <w:b/>
          <w:sz w:val="22"/>
          <w:szCs w:val="22"/>
        </w:rPr>
        <w:t xml:space="preserve">Az előzőekben részletezettek alapján </w:t>
      </w:r>
      <w:r w:rsidR="00BF3088">
        <w:rPr>
          <w:rFonts w:ascii="Arial" w:hAnsi="Arial" w:cs="Arial"/>
          <w:b/>
          <w:sz w:val="22"/>
          <w:szCs w:val="22"/>
        </w:rPr>
        <w:t>Önkormányzatunk</w:t>
      </w:r>
      <w:r w:rsidR="001E4102">
        <w:rPr>
          <w:rFonts w:ascii="Arial" w:hAnsi="Arial" w:cs="Arial"/>
          <w:b/>
          <w:sz w:val="22"/>
          <w:szCs w:val="22"/>
        </w:rPr>
        <w:t xml:space="preserve"> 2023. évi költségvetési javaslat</w:t>
      </w:r>
      <w:r w:rsidR="00BF3088">
        <w:rPr>
          <w:rFonts w:ascii="Arial" w:hAnsi="Arial" w:cs="Arial"/>
          <w:b/>
          <w:sz w:val="22"/>
          <w:szCs w:val="22"/>
        </w:rPr>
        <w:t>a</w:t>
      </w:r>
      <w:r w:rsidR="001E4102">
        <w:rPr>
          <w:rFonts w:ascii="Arial" w:hAnsi="Arial" w:cs="Arial"/>
          <w:b/>
          <w:sz w:val="22"/>
          <w:szCs w:val="22"/>
        </w:rPr>
        <w:t xml:space="preserve"> a</w:t>
      </w:r>
      <w:r w:rsidR="00BF3088">
        <w:rPr>
          <w:rFonts w:ascii="Arial" w:hAnsi="Arial" w:cs="Arial"/>
          <w:b/>
          <w:sz w:val="22"/>
          <w:szCs w:val="22"/>
        </w:rPr>
        <w:t>z alábbi elvek, pr</w:t>
      </w:r>
      <w:r w:rsidR="006F4395">
        <w:rPr>
          <w:rFonts w:ascii="Arial" w:hAnsi="Arial" w:cs="Arial"/>
          <w:b/>
          <w:sz w:val="22"/>
          <w:szCs w:val="22"/>
        </w:rPr>
        <w:t xml:space="preserve">ioritások szerint </w:t>
      </w:r>
      <w:r w:rsidR="00BF3088">
        <w:rPr>
          <w:rFonts w:ascii="Arial" w:hAnsi="Arial" w:cs="Arial"/>
          <w:b/>
          <w:sz w:val="22"/>
          <w:szCs w:val="22"/>
        </w:rPr>
        <w:t>kerü</w:t>
      </w:r>
      <w:r>
        <w:rPr>
          <w:rFonts w:ascii="Arial" w:hAnsi="Arial" w:cs="Arial"/>
          <w:b/>
          <w:sz w:val="22"/>
          <w:szCs w:val="22"/>
        </w:rPr>
        <w:t>lt összeállításra:</w:t>
      </w:r>
    </w:p>
    <w:p w14:paraId="0CCE19B4" w14:textId="77777777" w:rsidR="00B752E5" w:rsidRPr="00B752E5" w:rsidRDefault="00B752E5" w:rsidP="00B752E5">
      <w:pPr>
        <w:spacing w:line="240" w:lineRule="atLeast"/>
        <w:jc w:val="both"/>
        <w:rPr>
          <w:rFonts w:ascii="Arial" w:hAnsi="Arial" w:cs="Arial"/>
          <w:b/>
          <w:sz w:val="22"/>
          <w:szCs w:val="22"/>
        </w:rPr>
      </w:pPr>
    </w:p>
    <w:p w14:paraId="59BCD20D" w14:textId="6CD4B34A" w:rsidR="00B752E5" w:rsidRDefault="00B752E5" w:rsidP="0074084C">
      <w:pPr>
        <w:pStyle w:val="Listaszerbekezds"/>
        <w:numPr>
          <w:ilvl w:val="0"/>
          <w:numId w:val="20"/>
        </w:numPr>
        <w:spacing w:line="240" w:lineRule="atLeast"/>
        <w:jc w:val="both"/>
        <w:rPr>
          <w:rFonts w:ascii="Arial" w:hAnsi="Arial" w:cs="Arial"/>
          <w:b/>
          <w:sz w:val="22"/>
          <w:szCs w:val="22"/>
        </w:rPr>
      </w:pPr>
      <w:r w:rsidRPr="0074084C">
        <w:rPr>
          <w:rFonts w:ascii="Arial" w:hAnsi="Arial" w:cs="Arial"/>
          <w:b/>
          <w:sz w:val="22"/>
          <w:szCs w:val="22"/>
        </w:rPr>
        <w:t xml:space="preserve">A kötelező feladatok ellátásához szükséges </w:t>
      </w:r>
      <w:r w:rsidR="0043390E">
        <w:rPr>
          <w:rFonts w:ascii="Arial" w:hAnsi="Arial" w:cs="Arial"/>
          <w:b/>
          <w:sz w:val="22"/>
          <w:szCs w:val="22"/>
        </w:rPr>
        <w:t xml:space="preserve">működési </w:t>
      </w:r>
      <w:r w:rsidRPr="0074084C">
        <w:rPr>
          <w:rFonts w:ascii="Arial" w:hAnsi="Arial" w:cs="Arial"/>
          <w:b/>
          <w:sz w:val="22"/>
          <w:szCs w:val="22"/>
        </w:rPr>
        <w:t>fedezet biztosítása a személyi állományt érintő bérintézkedések végrehajtása mellett.</w:t>
      </w:r>
    </w:p>
    <w:p w14:paraId="3BD31763" w14:textId="77777777" w:rsidR="00B36FEE" w:rsidRDefault="00B36FEE" w:rsidP="0074084C">
      <w:pPr>
        <w:pStyle w:val="Listaszerbekezds"/>
        <w:numPr>
          <w:ilvl w:val="0"/>
          <w:numId w:val="20"/>
        </w:numPr>
        <w:spacing w:line="240" w:lineRule="atLeast"/>
        <w:jc w:val="both"/>
        <w:rPr>
          <w:rFonts w:ascii="Arial" w:hAnsi="Arial" w:cs="Arial"/>
          <w:b/>
          <w:sz w:val="22"/>
          <w:szCs w:val="22"/>
        </w:rPr>
      </w:pPr>
      <w:r>
        <w:rPr>
          <w:rFonts w:ascii="Arial" w:hAnsi="Arial" w:cs="Arial"/>
          <w:b/>
          <w:sz w:val="22"/>
          <w:szCs w:val="22"/>
        </w:rPr>
        <w:t>A dologi kiadások vonatkozásában inflációkövető emelés figyelembe vétele, a rezsiköltségek vonatkozásában az ismert költségek szerinti tervezés.</w:t>
      </w:r>
    </w:p>
    <w:p w14:paraId="2C350290" w14:textId="77777777" w:rsidR="005728EF" w:rsidRDefault="00C434B2" w:rsidP="00C434B2">
      <w:pPr>
        <w:pStyle w:val="Listaszerbekezds"/>
        <w:numPr>
          <w:ilvl w:val="0"/>
          <w:numId w:val="20"/>
        </w:numPr>
        <w:spacing w:line="240" w:lineRule="atLeast"/>
        <w:jc w:val="both"/>
        <w:rPr>
          <w:rFonts w:ascii="Arial" w:hAnsi="Arial" w:cs="Arial"/>
          <w:b/>
          <w:sz w:val="22"/>
          <w:szCs w:val="22"/>
        </w:rPr>
      </w:pPr>
      <w:r w:rsidRPr="00C434B2">
        <w:rPr>
          <w:rFonts w:ascii="Arial" w:hAnsi="Arial" w:cs="Arial"/>
          <w:b/>
          <w:sz w:val="22"/>
          <w:szCs w:val="22"/>
        </w:rPr>
        <w:t>Szoc</w:t>
      </w:r>
      <w:r>
        <w:rPr>
          <w:rFonts w:ascii="Arial" w:hAnsi="Arial" w:cs="Arial"/>
          <w:b/>
          <w:sz w:val="22"/>
          <w:szCs w:val="22"/>
        </w:rPr>
        <w:t xml:space="preserve">iális támogatások, </w:t>
      </w:r>
      <w:r w:rsidRPr="00C434B2">
        <w:rPr>
          <w:rFonts w:ascii="Arial" w:hAnsi="Arial" w:cs="Arial"/>
          <w:b/>
          <w:sz w:val="22"/>
          <w:szCs w:val="22"/>
        </w:rPr>
        <w:t>ösztöndíj</w:t>
      </w:r>
      <w:r>
        <w:rPr>
          <w:rFonts w:ascii="Arial" w:hAnsi="Arial" w:cs="Arial"/>
          <w:b/>
          <w:sz w:val="22"/>
          <w:szCs w:val="22"/>
        </w:rPr>
        <w:t xml:space="preserve"> támogatások legalább az előző évi tényszámoknak megfelelő biztosítása.</w:t>
      </w:r>
    </w:p>
    <w:p w14:paraId="08B020BD" w14:textId="732DE0D1" w:rsidR="00AE7B18" w:rsidRDefault="00AE7B18" w:rsidP="00AE7B18">
      <w:pPr>
        <w:pStyle w:val="Listaszerbekezds"/>
        <w:numPr>
          <w:ilvl w:val="0"/>
          <w:numId w:val="20"/>
        </w:numPr>
        <w:spacing w:line="240" w:lineRule="atLeast"/>
        <w:jc w:val="both"/>
        <w:rPr>
          <w:rFonts w:ascii="Arial" w:hAnsi="Arial" w:cs="Arial"/>
          <w:b/>
          <w:sz w:val="22"/>
          <w:szCs w:val="22"/>
        </w:rPr>
      </w:pPr>
      <w:r>
        <w:rPr>
          <w:rFonts w:ascii="Arial" w:hAnsi="Arial" w:cs="Arial"/>
          <w:b/>
          <w:sz w:val="22"/>
          <w:szCs w:val="22"/>
        </w:rPr>
        <w:t>A dologi kiadások között a v</w:t>
      </w:r>
      <w:r w:rsidRPr="00AE7B18">
        <w:rPr>
          <w:rFonts w:ascii="Arial" w:hAnsi="Arial" w:cs="Arial"/>
          <w:b/>
          <w:sz w:val="22"/>
          <w:szCs w:val="22"/>
        </w:rPr>
        <w:t>árosüzemeltetés</w:t>
      </w:r>
      <w:r>
        <w:rPr>
          <w:rFonts w:ascii="Arial" w:hAnsi="Arial" w:cs="Arial"/>
          <w:b/>
          <w:sz w:val="22"/>
          <w:szCs w:val="22"/>
        </w:rPr>
        <w:t xml:space="preserve">i </w:t>
      </w:r>
      <w:r w:rsidR="00AD3A9A">
        <w:rPr>
          <w:rFonts w:ascii="Arial" w:hAnsi="Arial" w:cs="Arial"/>
          <w:b/>
          <w:sz w:val="22"/>
          <w:szCs w:val="22"/>
        </w:rPr>
        <w:t xml:space="preserve">feladatokhoz kapcsolódóan a folyamatos üzemeléshez, az alap feladatokhoz szükséges forrás biztosítása, </w:t>
      </w:r>
    </w:p>
    <w:p w14:paraId="48A6EB52" w14:textId="7605BC9E" w:rsidR="005728EF" w:rsidRPr="006F4395" w:rsidRDefault="00AE7B18" w:rsidP="006F4395">
      <w:pPr>
        <w:pStyle w:val="Listaszerbekezds"/>
        <w:numPr>
          <w:ilvl w:val="0"/>
          <w:numId w:val="20"/>
        </w:numPr>
        <w:spacing w:line="240" w:lineRule="atLeast"/>
        <w:jc w:val="both"/>
        <w:rPr>
          <w:rFonts w:ascii="Arial" w:hAnsi="Arial" w:cs="Arial"/>
          <w:b/>
          <w:sz w:val="22"/>
          <w:szCs w:val="22"/>
        </w:rPr>
      </w:pPr>
      <w:r w:rsidRPr="00AE7B18">
        <w:rPr>
          <w:rFonts w:ascii="Arial" w:hAnsi="Arial" w:cs="Arial"/>
          <w:b/>
          <w:sz w:val="22"/>
          <w:szCs w:val="22"/>
        </w:rPr>
        <w:t>A 2022</w:t>
      </w:r>
      <w:r>
        <w:rPr>
          <w:rFonts w:ascii="Arial" w:hAnsi="Arial" w:cs="Arial"/>
          <w:b/>
          <w:sz w:val="22"/>
          <w:szCs w:val="22"/>
        </w:rPr>
        <w:t xml:space="preserve">. évben már vállalt, a </w:t>
      </w:r>
      <w:r w:rsidRPr="00AE7B18">
        <w:rPr>
          <w:rFonts w:ascii="Arial" w:hAnsi="Arial" w:cs="Arial"/>
          <w:b/>
          <w:sz w:val="22"/>
          <w:szCs w:val="22"/>
        </w:rPr>
        <w:t>2023</w:t>
      </w:r>
      <w:r>
        <w:rPr>
          <w:rFonts w:ascii="Arial" w:hAnsi="Arial" w:cs="Arial"/>
          <w:b/>
          <w:sz w:val="22"/>
          <w:szCs w:val="22"/>
        </w:rPr>
        <w:t>. évre áthúzódó kötelezettségek fedezetének b</w:t>
      </w:r>
      <w:r w:rsidR="006F4395">
        <w:rPr>
          <w:rFonts w:ascii="Arial" w:hAnsi="Arial" w:cs="Arial"/>
          <w:b/>
          <w:sz w:val="22"/>
          <w:szCs w:val="22"/>
        </w:rPr>
        <w:t xml:space="preserve">iztosítása, beleértve a </w:t>
      </w:r>
      <w:r w:rsidR="00016E4C" w:rsidRPr="006F4395">
        <w:rPr>
          <w:rFonts w:ascii="Arial" w:hAnsi="Arial" w:cs="Arial"/>
          <w:b/>
          <w:sz w:val="22"/>
          <w:szCs w:val="22"/>
        </w:rPr>
        <w:t>folyamatban lévő</w:t>
      </w:r>
      <w:r w:rsidRPr="006F4395">
        <w:rPr>
          <w:rFonts w:ascii="Arial" w:hAnsi="Arial" w:cs="Arial"/>
          <w:b/>
          <w:sz w:val="22"/>
          <w:szCs w:val="22"/>
        </w:rPr>
        <w:t xml:space="preserve"> b</w:t>
      </w:r>
      <w:r w:rsidR="006F4395">
        <w:rPr>
          <w:rFonts w:ascii="Arial" w:hAnsi="Arial" w:cs="Arial"/>
          <w:b/>
          <w:sz w:val="22"/>
          <w:szCs w:val="22"/>
        </w:rPr>
        <w:t>eruházásokra</w:t>
      </w:r>
      <w:r w:rsidR="00ED37F8">
        <w:rPr>
          <w:rFonts w:ascii="Arial" w:hAnsi="Arial" w:cs="Arial"/>
          <w:b/>
          <w:sz w:val="22"/>
          <w:szCs w:val="22"/>
        </w:rPr>
        <w:t xml:space="preserve"> történő fedezet megteremtését is.</w:t>
      </w:r>
    </w:p>
    <w:p w14:paraId="74E9D89A" w14:textId="0BF37FE4" w:rsidR="006F4395" w:rsidRPr="006F4395" w:rsidRDefault="0074084C" w:rsidP="006F4395">
      <w:pPr>
        <w:pStyle w:val="Listaszerbekezds"/>
        <w:numPr>
          <w:ilvl w:val="0"/>
          <w:numId w:val="20"/>
        </w:numPr>
        <w:spacing w:line="240" w:lineRule="atLeast"/>
        <w:jc w:val="both"/>
        <w:rPr>
          <w:rFonts w:ascii="Arial" w:hAnsi="Arial" w:cs="Arial"/>
          <w:b/>
          <w:sz w:val="22"/>
          <w:szCs w:val="22"/>
        </w:rPr>
      </w:pPr>
      <w:r>
        <w:rPr>
          <w:rFonts w:ascii="Arial" w:hAnsi="Arial" w:cs="Arial"/>
          <w:b/>
          <w:sz w:val="22"/>
          <w:szCs w:val="22"/>
        </w:rPr>
        <w:t xml:space="preserve">A lakosságot, </w:t>
      </w:r>
      <w:r w:rsidR="00B752E5" w:rsidRPr="0074084C">
        <w:rPr>
          <w:rFonts w:ascii="Arial" w:hAnsi="Arial" w:cs="Arial"/>
          <w:b/>
          <w:sz w:val="22"/>
          <w:szCs w:val="22"/>
        </w:rPr>
        <w:t xml:space="preserve">a </w:t>
      </w:r>
      <w:r>
        <w:rPr>
          <w:rFonts w:ascii="Arial" w:hAnsi="Arial" w:cs="Arial"/>
          <w:b/>
          <w:sz w:val="22"/>
          <w:szCs w:val="22"/>
        </w:rPr>
        <w:t xml:space="preserve">civil szférát érintő </w:t>
      </w:r>
      <w:r w:rsidR="00B752E5" w:rsidRPr="0074084C">
        <w:rPr>
          <w:rFonts w:ascii="Arial" w:hAnsi="Arial" w:cs="Arial"/>
          <w:b/>
          <w:sz w:val="22"/>
          <w:szCs w:val="22"/>
        </w:rPr>
        <w:t xml:space="preserve">nem kötelező feladatok </w:t>
      </w:r>
      <w:r>
        <w:rPr>
          <w:rFonts w:ascii="Arial" w:hAnsi="Arial" w:cs="Arial"/>
          <w:b/>
          <w:sz w:val="22"/>
          <w:szCs w:val="22"/>
        </w:rPr>
        <w:t xml:space="preserve">körének </w:t>
      </w:r>
      <w:r w:rsidR="00B36FEE">
        <w:rPr>
          <w:rFonts w:ascii="Arial" w:hAnsi="Arial" w:cs="Arial"/>
          <w:b/>
          <w:sz w:val="22"/>
          <w:szCs w:val="22"/>
        </w:rPr>
        <w:t xml:space="preserve">- </w:t>
      </w:r>
      <w:r>
        <w:rPr>
          <w:rFonts w:ascii="Arial" w:hAnsi="Arial" w:cs="Arial"/>
          <w:b/>
          <w:sz w:val="22"/>
          <w:szCs w:val="22"/>
        </w:rPr>
        <w:t>a lehetőségekhez mérten a lehető legnagyobb mérté</w:t>
      </w:r>
      <w:r w:rsidR="00A60683">
        <w:rPr>
          <w:rFonts w:ascii="Arial" w:hAnsi="Arial" w:cs="Arial"/>
          <w:b/>
          <w:sz w:val="22"/>
          <w:szCs w:val="22"/>
        </w:rPr>
        <w:t>kben</w:t>
      </w:r>
      <w:r>
        <w:rPr>
          <w:rFonts w:ascii="Arial" w:hAnsi="Arial" w:cs="Arial"/>
          <w:b/>
          <w:sz w:val="22"/>
          <w:szCs w:val="22"/>
        </w:rPr>
        <w:t xml:space="preserve"> történő </w:t>
      </w:r>
      <w:r w:rsidR="00B36FEE">
        <w:rPr>
          <w:rFonts w:ascii="Arial" w:hAnsi="Arial" w:cs="Arial"/>
          <w:b/>
          <w:sz w:val="22"/>
          <w:szCs w:val="22"/>
        </w:rPr>
        <w:t xml:space="preserve">– </w:t>
      </w:r>
      <w:r>
        <w:rPr>
          <w:rFonts w:ascii="Arial" w:hAnsi="Arial" w:cs="Arial"/>
          <w:b/>
          <w:sz w:val="22"/>
          <w:szCs w:val="22"/>
        </w:rPr>
        <w:t>visszatervezése</w:t>
      </w:r>
      <w:r w:rsidR="00B36FEE">
        <w:rPr>
          <w:rFonts w:ascii="Arial" w:hAnsi="Arial" w:cs="Arial"/>
          <w:b/>
          <w:sz w:val="22"/>
          <w:szCs w:val="22"/>
        </w:rPr>
        <w:t>.</w:t>
      </w:r>
    </w:p>
    <w:p w14:paraId="48797E02" w14:textId="7EB3D92F" w:rsidR="00A60683" w:rsidRDefault="00B36FEE" w:rsidP="00B752E5">
      <w:pPr>
        <w:pStyle w:val="Listaszerbekezds"/>
        <w:numPr>
          <w:ilvl w:val="0"/>
          <w:numId w:val="20"/>
        </w:numPr>
        <w:spacing w:line="240" w:lineRule="atLeast"/>
        <w:jc w:val="both"/>
        <w:rPr>
          <w:rFonts w:ascii="Arial" w:hAnsi="Arial" w:cs="Arial"/>
          <w:b/>
          <w:sz w:val="22"/>
          <w:szCs w:val="22"/>
        </w:rPr>
      </w:pPr>
      <w:r>
        <w:rPr>
          <w:rFonts w:ascii="Arial" w:hAnsi="Arial" w:cs="Arial"/>
          <w:b/>
          <w:sz w:val="22"/>
          <w:szCs w:val="22"/>
        </w:rPr>
        <w:t>A költségvetési egyensúly megteremtése</w:t>
      </w:r>
      <w:r w:rsidR="00A60683">
        <w:rPr>
          <w:rFonts w:ascii="Arial" w:hAnsi="Arial" w:cs="Arial"/>
          <w:b/>
          <w:sz w:val="22"/>
          <w:szCs w:val="22"/>
        </w:rPr>
        <w:t xml:space="preserve"> ingatlan-értékesítésből és közhatalmi bevételekből származó forrással</w:t>
      </w:r>
      <w:r>
        <w:rPr>
          <w:rFonts w:ascii="Arial" w:hAnsi="Arial" w:cs="Arial"/>
          <w:b/>
          <w:sz w:val="22"/>
          <w:szCs w:val="22"/>
        </w:rPr>
        <w:t>, a Kft-k eset</w:t>
      </w:r>
      <w:r w:rsidR="000E2077">
        <w:rPr>
          <w:rFonts w:ascii="Arial" w:hAnsi="Arial" w:cs="Arial"/>
          <w:b/>
          <w:sz w:val="22"/>
          <w:szCs w:val="22"/>
        </w:rPr>
        <w:t>ében vállalkozási tevékenység ár</w:t>
      </w:r>
      <w:r w:rsidR="0037748C">
        <w:rPr>
          <w:rFonts w:ascii="Arial" w:hAnsi="Arial" w:cs="Arial"/>
          <w:b/>
          <w:sz w:val="22"/>
          <w:szCs w:val="22"/>
        </w:rPr>
        <w:t xml:space="preserve"> </w:t>
      </w:r>
      <w:r w:rsidR="000E2077">
        <w:rPr>
          <w:rFonts w:ascii="Arial" w:hAnsi="Arial" w:cs="Arial"/>
          <w:b/>
          <w:sz w:val="22"/>
          <w:szCs w:val="22"/>
        </w:rPr>
        <w:t>bevételéből</w:t>
      </w:r>
      <w:r w:rsidR="006E084E">
        <w:rPr>
          <w:rFonts w:ascii="Arial" w:hAnsi="Arial" w:cs="Arial"/>
          <w:b/>
          <w:sz w:val="22"/>
          <w:szCs w:val="22"/>
        </w:rPr>
        <w:t>,</w:t>
      </w:r>
      <w:r>
        <w:rPr>
          <w:rFonts w:ascii="Arial" w:hAnsi="Arial" w:cs="Arial"/>
          <w:b/>
          <w:sz w:val="22"/>
          <w:szCs w:val="22"/>
        </w:rPr>
        <w:t xml:space="preserve"> </w:t>
      </w:r>
      <w:r w:rsidR="006E084E">
        <w:rPr>
          <w:rFonts w:ascii="Arial" w:hAnsi="Arial" w:cs="Arial"/>
          <w:b/>
          <w:sz w:val="22"/>
          <w:szCs w:val="22"/>
        </w:rPr>
        <w:t xml:space="preserve">illetve ingatlanértékesítésből </w:t>
      </w:r>
      <w:r>
        <w:rPr>
          <w:rFonts w:ascii="Arial" w:hAnsi="Arial" w:cs="Arial"/>
          <w:b/>
          <w:sz w:val="22"/>
          <w:szCs w:val="22"/>
        </w:rPr>
        <w:t>származó bevétellel.</w:t>
      </w:r>
    </w:p>
    <w:p w14:paraId="77E3E55F" w14:textId="77777777" w:rsidR="00A60683" w:rsidRDefault="00A60683" w:rsidP="00A60683">
      <w:pPr>
        <w:spacing w:line="240" w:lineRule="atLeast"/>
        <w:jc w:val="both"/>
        <w:rPr>
          <w:rFonts w:ascii="Arial" w:hAnsi="Arial" w:cs="Arial"/>
          <w:b/>
          <w:sz w:val="22"/>
          <w:szCs w:val="22"/>
        </w:rPr>
      </w:pPr>
    </w:p>
    <w:p w14:paraId="7CE354C2" w14:textId="51A2DDA6" w:rsidR="005728EF" w:rsidRPr="00C75C1C" w:rsidRDefault="00A60683" w:rsidP="005728EF">
      <w:pPr>
        <w:spacing w:line="240" w:lineRule="atLeast"/>
        <w:jc w:val="both"/>
        <w:rPr>
          <w:rFonts w:ascii="Arial" w:hAnsi="Arial" w:cs="Arial"/>
          <w:b/>
          <w:sz w:val="22"/>
          <w:szCs w:val="22"/>
        </w:rPr>
      </w:pPr>
      <w:r w:rsidRPr="00C75C1C">
        <w:rPr>
          <w:rFonts w:ascii="Arial" w:hAnsi="Arial" w:cs="Arial"/>
          <w:b/>
          <w:sz w:val="22"/>
          <w:szCs w:val="22"/>
        </w:rPr>
        <w:t>Az eladósodás nem lehet cél, de a hatályos jogszabályok szerint működési hitel felvételére még Kormányzati engedéllyel sincs lehetőség.</w:t>
      </w:r>
      <w:r w:rsidR="005728EF" w:rsidRPr="00C75C1C">
        <w:rPr>
          <w:rFonts w:ascii="Arial" w:hAnsi="Arial" w:cs="Arial"/>
          <w:b/>
          <w:sz w:val="22"/>
          <w:szCs w:val="22"/>
        </w:rPr>
        <w:t xml:space="preserve"> A beterjesztett rendelet-tervezet bevételi és </w:t>
      </w:r>
      <w:r w:rsidR="00A9093B">
        <w:rPr>
          <w:rFonts w:ascii="Arial" w:hAnsi="Arial" w:cs="Arial"/>
          <w:b/>
          <w:sz w:val="22"/>
          <w:szCs w:val="22"/>
        </w:rPr>
        <w:t>kiadási fő összege 1 554 933 244</w:t>
      </w:r>
      <w:r w:rsidR="005728EF" w:rsidRPr="00C75C1C">
        <w:rPr>
          <w:rFonts w:ascii="Arial" w:hAnsi="Arial" w:cs="Arial"/>
          <w:b/>
          <w:sz w:val="22"/>
          <w:szCs w:val="22"/>
        </w:rPr>
        <w:t xml:space="preserve"> Ft. A költségvetési javaslat a költségvetési egyensúlyt a központi költségvetésből rendelkezésre álló f</w:t>
      </w:r>
      <w:r w:rsidR="00A9093B">
        <w:rPr>
          <w:rFonts w:ascii="Arial" w:hAnsi="Arial" w:cs="Arial"/>
          <w:b/>
          <w:sz w:val="22"/>
          <w:szCs w:val="22"/>
        </w:rPr>
        <w:t xml:space="preserve">orrások felhasználása mellett </w:t>
      </w:r>
      <w:r w:rsidR="005728EF" w:rsidRPr="00C75C1C">
        <w:rPr>
          <w:rFonts w:ascii="Arial" w:hAnsi="Arial" w:cs="Arial"/>
          <w:b/>
          <w:sz w:val="22"/>
          <w:szCs w:val="22"/>
        </w:rPr>
        <w:t>jelentős</w:t>
      </w:r>
      <w:r w:rsidR="006559A7">
        <w:rPr>
          <w:rFonts w:ascii="Arial" w:hAnsi="Arial" w:cs="Arial"/>
          <w:b/>
          <w:sz w:val="22"/>
          <w:szCs w:val="22"/>
        </w:rPr>
        <w:t xml:space="preserve">, </w:t>
      </w:r>
      <w:r w:rsidR="00A9093B">
        <w:rPr>
          <w:rFonts w:ascii="Arial" w:hAnsi="Arial" w:cs="Arial"/>
          <w:b/>
          <w:sz w:val="22"/>
          <w:szCs w:val="22"/>
        </w:rPr>
        <w:t xml:space="preserve">- </w:t>
      </w:r>
      <w:r w:rsidR="006559A7" w:rsidRPr="006559A7">
        <w:rPr>
          <w:rFonts w:ascii="Arial" w:hAnsi="Arial" w:cs="Arial"/>
          <w:b/>
          <w:sz w:val="22"/>
          <w:szCs w:val="22"/>
        </w:rPr>
        <w:t>230 315 600 Ft</w:t>
      </w:r>
      <w:r w:rsidR="005728EF" w:rsidRPr="00C75C1C">
        <w:rPr>
          <w:rFonts w:ascii="Arial" w:hAnsi="Arial" w:cs="Arial"/>
          <w:b/>
          <w:sz w:val="22"/>
          <w:szCs w:val="22"/>
        </w:rPr>
        <w:t xml:space="preserve"> na</w:t>
      </w:r>
      <w:r w:rsidR="006559A7">
        <w:rPr>
          <w:rFonts w:ascii="Arial" w:hAnsi="Arial" w:cs="Arial"/>
          <w:b/>
          <w:sz w:val="22"/>
          <w:szCs w:val="22"/>
        </w:rPr>
        <w:t>gyságrendű</w:t>
      </w:r>
      <w:r w:rsidR="00A9093B">
        <w:rPr>
          <w:rFonts w:ascii="Arial" w:hAnsi="Arial" w:cs="Arial"/>
          <w:b/>
          <w:sz w:val="22"/>
          <w:szCs w:val="22"/>
        </w:rPr>
        <w:t xml:space="preserve"> -</w:t>
      </w:r>
      <w:r w:rsidR="006559A7">
        <w:rPr>
          <w:rFonts w:ascii="Arial" w:hAnsi="Arial" w:cs="Arial"/>
          <w:b/>
          <w:sz w:val="22"/>
          <w:szCs w:val="22"/>
        </w:rPr>
        <w:t xml:space="preserve"> előző évi maradvány</w:t>
      </w:r>
      <w:r w:rsidR="005728EF" w:rsidRPr="00C75C1C">
        <w:rPr>
          <w:rFonts w:ascii="Arial" w:hAnsi="Arial" w:cs="Arial"/>
          <w:b/>
          <w:sz w:val="22"/>
          <w:szCs w:val="22"/>
        </w:rPr>
        <w:t xml:space="preserve"> igénybe vételével, továbbá 369 000 000 Ft összegű adó bevétel és 69 000 000 Ft ingatlan értékesítési bevétel figyelembe vételével teremti meg. A saját bevételek tervezett nagyságrendje feszített, a teljesülés oldaláról jelentős a bizonytalanság, ez kockázati tényező. </w:t>
      </w:r>
    </w:p>
    <w:p w14:paraId="3837A25E" w14:textId="77777777" w:rsidR="0074084C" w:rsidRPr="0074084C" w:rsidRDefault="0074084C" w:rsidP="0074084C">
      <w:pPr>
        <w:spacing w:line="240" w:lineRule="atLeast"/>
        <w:jc w:val="both"/>
        <w:rPr>
          <w:rFonts w:ascii="Arial" w:hAnsi="Arial" w:cs="Arial"/>
          <w:b/>
          <w:sz w:val="22"/>
          <w:szCs w:val="22"/>
        </w:rPr>
      </w:pPr>
    </w:p>
    <w:p w14:paraId="0875B84F" w14:textId="0003E0C1" w:rsidR="006325C2" w:rsidRDefault="004A4AC4" w:rsidP="004D013C">
      <w:pPr>
        <w:spacing w:line="240" w:lineRule="atLeast"/>
        <w:jc w:val="both"/>
        <w:rPr>
          <w:rFonts w:ascii="Arial" w:hAnsi="Arial" w:cs="Arial"/>
          <w:b/>
          <w:sz w:val="22"/>
          <w:szCs w:val="22"/>
        </w:rPr>
      </w:pPr>
      <w:r w:rsidRPr="009E2E30">
        <w:rPr>
          <w:rFonts w:ascii="Arial" w:hAnsi="Arial" w:cs="Arial"/>
          <w:b/>
          <w:sz w:val="22"/>
          <w:szCs w:val="22"/>
        </w:rPr>
        <w:t>Az önkormányzat 2023. é</w:t>
      </w:r>
      <w:r w:rsidR="00C75C1C" w:rsidRPr="009E2E30">
        <w:rPr>
          <w:rFonts w:ascii="Arial" w:hAnsi="Arial" w:cs="Arial"/>
          <w:b/>
          <w:sz w:val="22"/>
          <w:szCs w:val="22"/>
        </w:rPr>
        <w:t>vi költségvetésének végrehajtásánál</w:t>
      </w:r>
      <w:r w:rsidRPr="009E2E30">
        <w:rPr>
          <w:rFonts w:ascii="Arial" w:hAnsi="Arial" w:cs="Arial"/>
          <w:b/>
          <w:sz w:val="22"/>
          <w:szCs w:val="22"/>
        </w:rPr>
        <w:t xml:space="preserve"> továbbra is fő szempont </w:t>
      </w:r>
      <w:r w:rsidR="00C75C1C" w:rsidRPr="009E2E30">
        <w:rPr>
          <w:rFonts w:ascii="Arial" w:hAnsi="Arial" w:cs="Arial"/>
          <w:b/>
          <w:sz w:val="22"/>
          <w:szCs w:val="22"/>
        </w:rPr>
        <w:t xml:space="preserve">további </w:t>
      </w:r>
      <w:r w:rsidRPr="009E2E30">
        <w:rPr>
          <w:rFonts w:ascii="Arial" w:hAnsi="Arial" w:cs="Arial"/>
          <w:b/>
          <w:sz w:val="22"/>
          <w:szCs w:val="22"/>
        </w:rPr>
        <w:t>megtakarítást eredményező megoldások keresése, a kötelező feladatellátás sérelme nélkül a fogyasztások mérséklésének, visszafogásának</w:t>
      </w:r>
      <w:r w:rsidR="008F67D2" w:rsidRPr="009E2E30">
        <w:rPr>
          <w:rFonts w:ascii="Arial" w:hAnsi="Arial" w:cs="Arial"/>
          <w:b/>
          <w:sz w:val="22"/>
          <w:szCs w:val="22"/>
        </w:rPr>
        <w:t xml:space="preserve"> átgondolása. </w:t>
      </w:r>
      <w:r w:rsidRPr="009E2E30">
        <w:rPr>
          <w:rFonts w:ascii="Arial" w:hAnsi="Arial" w:cs="Arial"/>
          <w:b/>
          <w:sz w:val="22"/>
          <w:szCs w:val="22"/>
        </w:rPr>
        <w:t xml:space="preserve">Amennyiben </w:t>
      </w:r>
      <w:r w:rsidR="00C75C1C" w:rsidRPr="009E2E30">
        <w:rPr>
          <w:rFonts w:ascii="Arial" w:hAnsi="Arial" w:cs="Arial"/>
          <w:b/>
          <w:sz w:val="22"/>
          <w:szCs w:val="22"/>
        </w:rPr>
        <w:t>év közben további kö</w:t>
      </w:r>
      <w:r w:rsidR="00517357">
        <w:rPr>
          <w:rFonts w:ascii="Arial" w:hAnsi="Arial" w:cs="Arial"/>
          <w:b/>
          <w:sz w:val="22"/>
          <w:szCs w:val="22"/>
        </w:rPr>
        <w:t>zponti forrásra nem érkezik</w:t>
      </w:r>
      <w:r w:rsidR="00C75C1C" w:rsidRPr="009E2E30">
        <w:rPr>
          <w:rFonts w:ascii="Arial" w:hAnsi="Arial" w:cs="Arial"/>
          <w:b/>
          <w:sz w:val="22"/>
          <w:szCs w:val="22"/>
        </w:rPr>
        <w:t xml:space="preserve">, illetve a saját bevételek tervezett alakulása alul-teljesítést mutat, </w:t>
      </w:r>
      <w:r w:rsidR="00517357" w:rsidRPr="004D013C">
        <w:rPr>
          <w:rFonts w:ascii="Arial" w:hAnsi="Arial" w:cs="Arial"/>
          <w:b/>
          <w:sz w:val="22"/>
          <w:szCs w:val="22"/>
        </w:rPr>
        <w:t>szükségszerűvé válhat a költségvetés újragondolása.</w:t>
      </w:r>
    </w:p>
    <w:p w14:paraId="2FD1EE82" w14:textId="77777777" w:rsidR="00AB7B5D" w:rsidRDefault="00AB7B5D" w:rsidP="004D013C">
      <w:pPr>
        <w:spacing w:line="240" w:lineRule="atLeast"/>
        <w:jc w:val="both"/>
        <w:rPr>
          <w:rFonts w:ascii="Arial" w:hAnsi="Arial" w:cs="Arial"/>
          <w:sz w:val="22"/>
          <w:szCs w:val="22"/>
        </w:rPr>
      </w:pPr>
    </w:p>
    <w:p w14:paraId="272C6686" w14:textId="77777777" w:rsidR="006325C2" w:rsidRPr="00513A5C" w:rsidRDefault="006325C2" w:rsidP="00EF3458">
      <w:pPr>
        <w:spacing w:line="276" w:lineRule="auto"/>
        <w:rPr>
          <w:rFonts w:ascii="Arial" w:hAnsi="Arial" w:cs="Arial"/>
          <w:b/>
          <w:sz w:val="22"/>
          <w:szCs w:val="22"/>
        </w:rPr>
      </w:pPr>
      <w:r w:rsidRPr="00513A5C">
        <w:rPr>
          <w:rFonts w:ascii="Arial" w:hAnsi="Arial" w:cs="Arial"/>
          <w:b/>
          <w:sz w:val="22"/>
          <w:szCs w:val="22"/>
        </w:rPr>
        <w:t>Bátaszék Város Önkormányzatának költségvetése</w:t>
      </w:r>
    </w:p>
    <w:p w14:paraId="6D65E284" w14:textId="77777777" w:rsidR="006325C2" w:rsidRPr="00AE7B18" w:rsidRDefault="006325C2" w:rsidP="006325C2">
      <w:pPr>
        <w:spacing w:line="276" w:lineRule="auto"/>
        <w:rPr>
          <w:rFonts w:ascii="Arial" w:hAnsi="Arial" w:cs="Arial"/>
          <w:sz w:val="22"/>
          <w:szCs w:val="22"/>
          <w:highlight w:val="yellow"/>
        </w:rPr>
      </w:pPr>
    </w:p>
    <w:p w14:paraId="78AFD8DC" w14:textId="43A8AE05" w:rsidR="006325C2" w:rsidRPr="00F0007D" w:rsidRDefault="006325C2" w:rsidP="006325C2">
      <w:pPr>
        <w:spacing w:line="276" w:lineRule="auto"/>
        <w:jc w:val="both"/>
        <w:rPr>
          <w:rFonts w:ascii="Arial" w:hAnsi="Arial" w:cs="Arial"/>
          <w:sz w:val="22"/>
          <w:szCs w:val="22"/>
        </w:rPr>
      </w:pPr>
      <w:r w:rsidRPr="00F0007D">
        <w:rPr>
          <w:rFonts w:ascii="Arial" w:hAnsi="Arial" w:cs="Arial"/>
          <w:sz w:val="22"/>
          <w:szCs w:val="22"/>
        </w:rPr>
        <w:t>Bátaszék Város Önkormányzatának költségvetés tervezete összhangban van 2020-2024-es időszakra elfogadott Gazdasági Programmal és Fejlesztési Tervvel, 37/2020. (II.26), mely alapján a megfogalmazott alapelvek az önkormá</w:t>
      </w:r>
      <w:r w:rsidR="00513A5C" w:rsidRPr="00F0007D">
        <w:rPr>
          <w:rFonts w:ascii="Arial" w:hAnsi="Arial" w:cs="Arial"/>
          <w:sz w:val="22"/>
          <w:szCs w:val="22"/>
        </w:rPr>
        <w:t xml:space="preserve">nyzat legfontosabb céljait </w:t>
      </w:r>
      <w:r w:rsidRPr="00F0007D">
        <w:rPr>
          <w:rFonts w:ascii="Arial" w:hAnsi="Arial" w:cs="Arial"/>
          <w:sz w:val="22"/>
          <w:szCs w:val="22"/>
        </w:rPr>
        <w:t xml:space="preserve">tükrözik.  </w:t>
      </w:r>
    </w:p>
    <w:p w14:paraId="0D1F7A51" w14:textId="2D1135B7" w:rsidR="006325C2" w:rsidRPr="00F671CE" w:rsidRDefault="006325C2" w:rsidP="006325C2">
      <w:pPr>
        <w:spacing w:line="276" w:lineRule="auto"/>
        <w:jc w:val="both"/>
        <w:rPr>
          <w:rFonts w:ascii="Arial" w:eastAsia="Calibri" w:hAnsi="Arial" w:cs="Arial"/>
          <w:sz w:val="22"/>
          <w:szCs w:val="22"/>
          <w:lang w:eastAsia="en-US"/>
        </w:rPr>
      </w:pPr>
      <w:r w:rsidRPr="00F671CE">
        <w:rPr>
          <w:rFonts w:ascii="Arial" w:eastAsia="Calibri" w:hAnsi="Arial" w:cs="Arial"/>
          <w:sz w:val="22"/>
          <w:szCs w:val="22"/>
          <w:lang w:eastAsia="en-US"/>
        </w:rPr>
        <w:t xml:space="preserve">A törvényi előírásoknak megfelelően a kötelező feladatokat teljes mértékben beterveztük és </w:t>
      </w:r>
      <w:r w:rsidR="00F671CE" w:rsidRPr="00F671CE">
        <w:rPr>
          <w:rFonts w:ascii="Arial" w:eastAsia="Calibri" w:hAnsi="Arial" w:cs="Arial"/>
          <w:sz w:val="22"/>
          <w:szCs w:val="22"/>
          <w:lang w:eastAsia="en-US"/>
        </w:rPr>
        <w:t>az előző év szintjén az önké</w:t>
      </w:r>
      <w:r w:rsidR="00517357">
        <w:rPr>
          <w:rFonts w:ascii="Arial" w:eastAsia="Calibri" w:hAnsi="Arial" w:cs="Arial"/>
          <w:sz w:val="22"/>
          <w:szCs w:val="22"/>
          <w:lang w:eastAsia="en-US"/>
        </w:rPr>
        <w:t xml:space="preserve">nt vállalt feladatok fedezetét </w:t>
      </w:r>
      <w:r w:rsidR="00F671CE" w:rsidRPr="00F671CE">
        <w:rPr>
          <w:rFonts w:ascii="Arial" w:eastAsia="Calibri" w:hAnsi="Arial" w:cs="Arial"/>
          <w:sz w:val="22"/>
          <w:szCs w:val="22"/>
          <w:lang w:eastAsia="en-US"/>
        </w:rPr>
        <w:t>is megteremteni.</w:t>
      </w:r>
    </w:p>
    <w:p w14:paraId="0BA43BC9" w14:textId="77777777" w:rsidR="006325C2" w:rsidRPr="00F671CE" w:rsidRDefault="006325C2" w:rsidP="006325C2">
      <w:pPr>
        <w:spacing w:line="276" w:lineRule="auto"/>
        <w:rPr>
          <w:rFonts w:ascii="Arial" w:eastAsia="Calibri" w:hAnsi="Arial" w:cs="Arial"/>
          <w:sz w:val="22"/>
          <w:szCs w:val="22"/>
          <w:lang w:eastAsia="en-US"/>
        </w:rPr>
      </w:pPr>
    </w:p>
    <w:p w14:paraId="36965700" w14:textId="77777777" w:rsidR="006325C2" w:rsidRPr="00F671CE" w:rsidRDefault="006325C2" w:rsidP="006325C2">
      <w:pPr>
        <w:spacing w:after="160" w:line="276" w:lineRule="auto"/>
        <w:rPr>
          <w:rFonts w:ascii="Arial" w:eastAsia="Calibri" w:hAnsi="Arial" w:cs="Arial"/>
          <w:b/>
          <w:sz w:val="22"/>
          <w:szCs w:val="22"/>
          <w:lang w:eastAsia="en-US"/>
        </w:rPr>
      </w:pPr>
      <w:r w:rsidRPr="00F671CE">
        <w:rPr>
          <w:rFonts w:ascii="Arial" w:eastAsia="Calibri" w:hAnsi="Arial" w:cs="Arial"/>
          <w:b/>
          <w:sz w:val="22"/>
          <w:szCs w:val="22"/>
          <w:lang w:eastAsia="en-US"/>
        </w:rPr>
        <w:t>Az összeállított költségvetés egyensúlyban van,</w:t>
      </w:r>
    </w:p>
    <w:p w14:paraId="409471B1" w14:textId="189F5BA6" w:rsidR="006325C2" w:rsidRPr="00F671CE" w:rsidRDefault="006325C2" w:rsidP="006325C2">
      <w:pPr>
        <w:spacing w:line="276" w:lineRule="auto"/>
        <w:rPr>
          <w:rFonts w:ascii="Arial" w:eastAsia="Calibri" w:hAnsi="Arial" w:cs="Arial"/>
          <w:b/>
          <w:sz w:val="22"/>
          <w:szCs w:val="22"/>
          <w:lang w:eastAsia="en-US"/>
        </w:rPr>
      </w:pPr>
      <w:r w:rsidRPr="00F671CE">
        <w:rPr>
          <w:rFonts w:ascii="Arial" w:eastAsia="Calibri" w:hAnsi="Arial" w:cs="Arial"/>
          <w:b/>
          <w:sz w:val="22"/>
          <w:szCs w:val="22"/>
          <w:lang w:eastAsia="en-US"/>
        </w:rPr>
        <w:tab/>
      </w:r>
      <w:r w:rsidRPr="00F671CE">
        <w:rPr>
          <w:rFonts w:ascii="Arial" w:eastAsia="Calibri" w:hAnsi="Arial" w:cs="Arial"/>
          <w:b/>
          <w:sz w:val="22"/>
          <w:szCs w:val="22"/>
          <w:lang w:eastAsia="en-US"/>
        </w:rPr>
        <w:tab/>
        <w:t>Bev</w:t>
      </w:r>
      <w:r w:rsidR="00F671CE" w:rsidRPr="00F671CE">
        <w:rPr>
          <w:rFonts w:ascii="Arial" w:eastAsia="Calibri" w:hAnsi="Arial" w:cs="Arial"/>
          <w:b/>
          <w:sz w:val="22"/>
          <w:szCs w:val="22"/>
          <w:lang w:eastAsia="en-US"/>
        </w:rPr>
        <w:t xml:space="preserve">ételek </w:t>
      </w:r>
      <w:proofErr w:type="spellStart"/>
      <w:proofErr w:type="gramStart"/>
      <w:r w:rsidR="00F671CE" w:rsidRPr="00F671CE">
        <w:rPr>
          <w:rFonts w:ascii="Arial" w:eastAsia="Calibri" w:hAnsi="Arial" w:cs="Arial"/>
          <w:b/>
          <w:sz w:val="22"/>
          <w:szCs w:val="22"/>
          <w:lang w:eastAsia="en-US"/>
        </w:rPr>
        <w:t>főösszege</w:t>
      </w:r>
      <w:proofErr w:type="spellEnd"/>
      <w:r w:rsidR="00F671CE" w:rsidRPr="00F671CE">
        <w:rPr>
          <w:rFonts w:ascii="Arial" w:eastAsia="Calibri" w:hAnsi="Arial" w:cs="Arial"/>
          <w:b/>
          <w:sz w:val="22"/>
          <w:szCs w:val="22"/>
          <w:lang w:eastAsia="en-US"/>
        </w:rPr>
        <w:t xml:space="preserve">  </w:t>
      </w:r>
      <w:r w:rsidR="00F671CE" w:rsidRPr="00F671CE">
        <w:rPr>
          <w:rFonts w:ascii="Arial" w:eastAsia="Calibri" w:hAnsi="Arial" w:cs="Arial"/>
          <w:b/>
          <w:sz w:val="22"/>
          <w:szCs w:val="22"/>
          <w:lang w:eastAsia="en-US"/>
        </w:rPr>
        <w:tab/>
      </w:r>
      <w:r w:rsidR="006C513A">
        <w:rPr>
          <w:rFonts w:ascii="Arial" w:eastAsia="Calibri" w:hAnsi="Arial" w:cs="Arial"/>
          <w:b/>
          <w:sz w:val="22"/>
          <w:szCs w:val="22"/>
          <w:lang w:eastAsia="en-US"/>
        </w:rPr>
        <w:t>1</w:t>
      </w:r>
      <w:proofErr w:type="gramEnd"/>
      <w:r w:rsidR="006C513A">
        <w:rPr>
          <w:rFonts w:ascii="Arial" w:eastAsia="Calibri" w:hAnsi="Arial" w:cs="Arial"/>
          <w:b/>
          <w:sz w:val="22"/>
          <w:szCs w:val="22"/>
          <w:lang w:eastAsia="en-US"/>
        </w:rPr>
        <w:t> 554 933 244</w:t>
      </w:r>
      <w:r w:rsidR="00F671CE" w:rsidRPr="00F671CE">
        <w:rPr>
          <w:rFonts w:ascii="Arial" w:eastAsia="Calibri" w:hAnsi="Arial" w:cs="Arial"/>
          <w:b/>
          <w:sz w:val="22"/>
          <w:szCs w:val="22"/>
          <w:lang w:eastAsia="en-US"/>
        </w:rPr>
        <w:t xml:space="preserve"> </w:t>
      </w:r>
      <w:r w:rsidRPr="00F671CE">
        <w:rPr>
          <w:rFonts w:ascii="Arial" w:eastAsia="Calibri" w:hAnsi="Arial" w:cs="Arial"/>
          <w:b/>
          <w:sz w:val="22"/>
          <w:szCs w:val="22"/>
          <w:lang w:eastAsia="en-US"/>
        </w:rPr>
        <w:t>Ft,</w:t>
      </w:r>
    </w:p>
    <w:p w14:paraId="19DA7336" w14:textId="21FF0923" w:rsidR="006325C2" w:rsidRDefault="006325C2" w:rsidP="006325C2">
      <w:pPr>
        <w:spacing w:line="276" w:lineRule="auto"/>
        <w:rPr>
          <w:rFonts w:ascii="Arial" w:eastAsia="Calibri" w:hAnsi="Arial" w:cs="Arial"/>
          <w:b/>
          <w:sz w:val="22"/>
          <w:szCs w:val="22"/>
          <w:lang w:eastAsia="en-US"/>
        </w:rPr>
      </w:pPr>
      <w:r w:rsidRPr="00F671CE">
        <w:rPr>
          <w:rFonts w:ascii="Arial" w:eastAsia="Calibri" w:hAnsi="Arial" w:cs="Arial"/>
          <w:b/>
          <w:sz w:val="22"/>
          <w:szCs w:val="22"/>
          <w:lang w:eastAsia="en-US"/>
        </w:rPr>
        <w:tab/>
      </w:r>
      <w:r w:rsidRPr="00F671CE">
        <w:rPr>
          <w:rFonts w:ascii="Arial" w:eastAsia="Calibri" w:hAnsi="Arial" w:cs="Arial"/>
          <w:b/>
          <w:sz w:val="22"/>
          <w:szCs w:val="22"/>
          <w:lang w:eastAsia="en-US"/>
        </w:rPr>
        <w:tab/>
        <w:t>K</w:t>
      </w:r>
      <w:r w:rsidR="00F671CE" w:rsidRPr="00F671CE">
        <w:rPr>
          <w:rFonts w:ascii="Arial" w:eastAsia="Calibri" w:hAnsi="Arial" w:cs="Arial"/>
          <w:b/>
          <w:sz w:val="22"/>
          <w:szCs w:val="22"/>
          <w:lang w:eastAsia="en-US"/>
        </w:rPr>
        <w:t xml:space="preserve">iadások </w:t>
      </w:r>
      <w:proofErr w:type="spellStart"/>
      <w:r w:rsidR="00F671CE" w:rsidRPr="00F671CE">
        <w:rPr>
          <w:rFonts w:ascii="Arial" w:eastAsia="Calibri" w:hAnsi="Arial" w:cs="Arial"/>
          <w:b/>
          <w:sz w:val="22"/>
          <w:szCs w:val="22"/>
          <w:lang w:eastAsia="en-US"/>
        </w:rPr>
        <w:t>főösszege</w:t>
      </w:r>
      <w:proofErr w:type="spellEnd"/>
      <w:r w:rsidR="00F671CE" w:rsidRPr="00F671CE">
        <w:rPr>
          <w:rFonts w:ascii="Arial" w:eastAsia="Calibri" w:hAnsi="Arial" w:cs="Arial"/>
          <w:b/>
          <w:sz w:val="22"/>
          <w:szCs w:val="22"/>
          <w:lang w:eastAsia="en-US"/>
        </w:rPr>
        <w:t xml:space="preserve"> </w:t>
      </w:r>
      <w:r w:rsidR="00F671CE" w:rsidRPr="00F671CE">
        <w:rPr>
          <w:rFonts w:ascii="Arial" w:eastAsia="Calibri" w:hAnsi="Arial" w:cs="Arial"/>
          <w:b/>
          <w:sz w:val="22"/>
          <w:szCs w:val="22"/>
          <w:lang w:eastAsia="en-US"/>
        </w:rPr>
        <w:tab/>
      </w:r>
      <w:r w:rsidR="006C513A">
        <w:rPr>
          <w:rFonts w:ascii="Arial" w:eastAsia="Calibri" w:hAnsi="Arial" w:cs="Arial"/>
          <w:b/>
          <w:sz w:val="22"/>
          <w:szCs w:val="22"/>
          <w:lang w:eastAsia="en-US"/>
        </w:rPr>
        <w:t>1 554 933 244</w:t>
      </w:r>
      <w:r w:rsidRPr="00F671CE">
        <w:rPr>
          <w:rFonts w:ascii="Arial" w:eastAsia="Calibri" w:hAnsi="Arial" w:cs="Arial"/>
          <w:b/>
          <w:sz w:val="22"/>
          <w:szCs w:val="22"/>
          <w:lang w:eastAsia="en-US"/>
        </w:rPr>
        <w:t xml:space="preserve"> Ft.</w:t>
      </w:r>
    </w:p>
    <w:p w14:paraId="6C82A546" w14:textId="77777777" w:rsidR="006325C2" w:rsidRDefault="006325C2" w:rsidP="006325C2">
      <w:pPr>
        <w:spacing w:line="276" w:lineRule="auto"/>
        <w:rPr>
          <w:rFonts w:ascii="Arial" w:eastAsia="Calibri" w:hAnsi="Arial" w:cs="Arial"/>
          <w:b/>
          <w:sz w:val="22"/>
          <w:szCs w:val="22"/>
          <w:lang w:eastAsia="en-US"/>
        </w:rPr>
      </w:pPr>
    </w:p>
    <w:p w14:paraId="0B392138" w14:textId="77777777" w:rsidR="0084217A" w:rsidRDefault="0084217A" w:rsidP="00EF3458">
      <w:pPr>
        <w:spacing w:after="160" w:line="276" w:lineRule="auto"/>
        <w:jc w:val="both"/>
        <w:rPr>
          <w:rFonts w:ascii="Arial" w:eastAsia="Calibri" w:hAnsi="Arial" w:cs="Arial"/>
          <w:b/>
          <w:sz w:val="22"/>
          <w:szCs w:val="22"/>
          <w:lang w:eastAsia="en-US"/>
        </w:rPr>
      </w:pPr>
    </w:p>
    <w:p w14:paraId="2C86DDE1" w14:textId="53129709" w:rsidR="006325C2" w:rsidRPr="00F671CE" w:rsidRDefault="006325C2" w:rsidP="00EF3458">
      <w:pPr>
        <w:spacing w:after="160" w:line="276" w:lineRule="auto"/>
        <w:jc w:val="both"/>
        <w:rPr>
          <w:rFonts w:ascii="Arial" w:eastAsia="Calibri" w:hAnsi="Arial" w:cs="Arial"/>
          <w:b/>
          <w:sz w:val="22"/>
          <w:szCs w:val="22"/>
          <w:lang w:eastAsia="en-US"/>
        </w:rPr>
      </w:pPr>
      <w:r w:rsidRPr="00F671CE">
        <w:rPr>
          <w:rFonts w:ascii="Arial" w:eastAsia="Calibri" w:hAnsi="Arial" w:cs="Arial"/>
          <w:b/>
          <w:sz w:val="22"/>
          <w:szCs w:val="22"/>
          <w:lang w:eastAsia="en-US"/>
        </w:rPr>
        <w:t>Az Önkormányzat kötelező és önként vállalt feladatai</w:t>
      </w:r>
    </w:p>
    <w:p w14:paraId="4CFAC9CB" w14:textId="1FC12694" w:rsidR="006325C2" w:rsidRPr="00F671CE" w:rsidRDefault="006325C2" w:rsidP="006325C2">
      <w:pPr>
        <w:spacing w:line="276" w:lineRule="auto"/>
        <w:jc w:val="both"/>
        <w:rPr>
          <w:rFonts w:ascii="Arial" w:hAnsi="Arial" w:cs="Arial"/>
          <w:sz w:val="22"/>
          <w:szCs w:val="22"/>
        </w:rPr>
      </w:pPr>
      <w:r w:rsidRPr="00F671CE">
        <w:rPr>
          <w:rFonts w:ascii="Arial" w:hAnsi="Arial" w:cs="Arial"/>
          <w:sz w:val="22"/>
          <w:szCs w:val="22"/>
        </w:rPr>
        <w:t>Báta</w:t>
      </w:r>
      <w:r w:rsidR="00F671CE" w:rsidRPr="00F671CE">
        <w:rPr>
          <w:rFonts w:ascii="Arial" w:hAnsi="Arial" w:cs="Arial"/>
          <w:sz w:val="22"/>
          <w:szCs w:val="22"/>
        </w:rPr>
        <w:t>szék Város Önkormányzatának 2023</w:t>
      </w:r>
      <w:r w:rsidRPr="00F671CE">
        <w:rPr>
          <w:rFonts w:ascii="Arial" w:hAnsi="Arial" w:cs="Arial"/>
          <w:sz w:val="22"/>
          <w:szCs w:val="22"/>
        </w:rPr>
        <w:t>. évi költségvetés tervezetében szereplő bevételek és kiadások a törvényi előírásnak megfelelően a 4/2013. (I.11.) kormányrendelet az államháztartás számviteléről 15. mellékletében meghatározott rovatrend szerint kerültek megtervezésre, melyet az 1. sz. melléklet 1.2, 1.3 és 1.4 táblázatai tartalmaznak.</w:t>
      </w:r>
    </w:p>
    <w:p w14:paraId="4C1C4E68" w14:textId="77777777" w:rsidR="006325C2" w:rsidRPr="00F671CE" w:rsidRDefault="006325C2" w:rsidP="006325C2">
      <w:pPr>
        <w:spacing w:line="276" w:lineRule="auto"/>
        <w:rPr>
          <w:rFonts w:ascii="Arial" w:hAnsi="Arial" w:cs="Arial"/>
          <w:sz w:val="22"/>
          <w:szCs w:val="22"/>
        </w:rPr>
      </w:pPr>
    </w:p>
    <w:p w14:paraId="74F8C791" w14:textId="77777777" w:rsidR="006325C2" w:rsidRPr="00F671CE" w:rsidRDefault="006325C2" w:rsidP="006325C2">
      <w:pPr>
        <w:spacing w:line="276" w:lineRule="auto"/>
        <w:jc w:val="both"/>
        <w:rPr>
          <w:rFonts w:ascii="Arial" w:eastAsia="Calibri" w:hAnsi="Arial" w:cs="Arial"/>
          <w:sz w:val="22"/>
          <w:szCs w:val="22"/>
          <w:lang w:eastAsia="en-US"/>
        </w:rPr>
      </w:pPr>
      <w:r w:rsidRPr="00F671CE">
        <w:rPr>
          <w:rFonts w:ascii="Arial" w:eastAsia="Calibri" w:hAnsi="Arial" w:cs="Arial"/>
          <w:sz w:val="22"/>
          <w:szCs w:val="22"/>
          <w:lang w:eastAsia="en-US"/>
        </w:rPr>
        <w:t>1.</w:t>
      </w:r>
      <w:r w:rsidRPr="00F671CE">
        <w:rPr>
          <w:rFonts w:ascii="Arial" w:eastAsia="Calibri" w:hAnsi="Arial" w:cs="Arial"/>
          <w:sz w:val="22"/>
          <w:szCs w:val="22"/>
          <w:lang w:eastAsia="en-US"/>
        </w:rPr>
        <w:tab/>
        <w:t xml:space="preserve">Kötelező feladatok </w:t>
      </w:r>
      <w:r w:rsidRPr="00F671CE">
        <w:rPr>
          <w:rFonts w:ascii="Arial" w:eastAsia="Calibri" w:hAnsi="Arial" w:cs="Arial"/>
          <w:sz w:val="22"/>
          <w:szCs w:val="22"/>
          <w:lang w:eastAsia="en-US"/>
        </w:rPr>
        <w:tab/>
      </w:r>
      <w:r w:rsidRPr="00F671CE">
        <w:rPr>
          <w:rFonts w:ascii="Arial" w:eastAsia="Calibri" w:hAnsi="Arial" w:cs="Arial"/>
          <w:sz w:val="22"/>
          <w:szCs w:val="22"/>
          <w:lang w:eastAsia="en-US"/>
        </w:rPr>
        <w:tab/>
        <w:t>1. sz. melléklet 1.2</w:t>
      </w:r>
    </w:p>
    <w:p w14:paraId="070CF313" w14:textId="77777777" w:rsidR="006325C2" w:rsidRPr="00F671CE" w:rsidRDefault="006325C2" w:rsidP="006325C2">
      <w:pPr>
        <w:spacing w:line="276" w:lineRule="auto"/>
        <w:jc w:val="both"/>
        <w:rPr>
          <w:rFonts w:ascii="Arial" w:eastAsia="Calibri" w:hAnsi="Arial" w:cs="Arial"/>
          <w:sz w:val="22"/>
          <w:szCs w:val="22"/>
          <w:lang w:eastAsia="en-US"/>
        </w:rPr>
      </w:pPr>
      <w:r w:rsidRPr="00F671CE">
        <w:rPr>
          <w:rFonts w:ascii="Arial" w:eastAsia="Calibri" w:hAnsi="Arial" w:cs="Arial"/>
          <w:sz w:val="22"/>
          <w:szCs w:val="22"/>
          <w:lang w:eastAsia="en-US"/>
        </w:rPr>
        <w:t>2.</w:t>
      </w:r>
      <w:r w:rsidRPr="00F671CE">
        <w:rPr>
          <w:rFonts w:ascii="Arial" w:eastAsia="Calibri" w:hAnsi="Arial" w:cs="Arial"/>
          <w:sz w:val="22"/>
          <w:szCs w:val="22"/>
          <w:lang w:eastAsia="en-US"/>
        </w:rPr>
        <w:tab/>
        <w:t xml:space="preserve">Önként vállalt feladatok </w:t>
      </w:r>
      <w:r w:rsidRPr="00F671CE">
        <w:rPr>
          <w:rFonts w:ascii="Arial" w:eastAsia="Calibri" w:hAnsi="Arial" w:cs="Arial"/>
          <w:sz w:val="22"/>
          <w:szCs w:val="22"/>
          <w:lang w:eastAsia="en-US"/>
        </w:rPr>
        <w:tab/>
        <w:t>1. sz. melléklet 1.3</w:t>
      </w:r>
    </w:p>
    <w:p w14:paraId="16D5DAE0" w14:textId="77777777" w:rsidR="006325C2" w:rsidRPr="00F671CE" w:rsidRDefault="006325C2" w:rsidP="006325C2">
      <w:pPr>
        <w:spacing w:line="276" w:lineRule="auto"/>
        <w:rPr>
          <w:rFonts w:ascii="Arial" w:eastAsia="Calibri" w:hAnsi="Arial" w:cs="Arial"/>
          <w:sz w:val="22"/>
          <w:szCs w:val="22"/>
          <w:lang w:eastAsia="en-US"/>
        </w:rPr>
      </w:pPr>
      <w:r w:rsidRPr="00F671CE">
        <w:rPr>
          <w:rFonts w:ascii="Arial" w:eastAsia="Calibri" w:hAnsi="Arial" w:cs="Arial"/>
          <w:sz w:val="22"/>
          <w:szCs w:val="22"/>
          <w:lang w:eastAsia="en-US"/>
        </w:rPr>
        <w:t>3.</w:t>
      </w:r>
      <w:r w:rsidRPr="00F671CE">
        <w:rPr>
          <w:rFonts w:ascii="Arial" w:eastAsia="Calibri" w:hAnsi="Arial" w:cs="Arial"/>
          <w:sz w:val="22"/>
          <w:szCs w:val="22"/>
          <w:lang w:eastAsia="en-US"/>
        </w:rPr>
        <w:tab/>
        <w:t xml:space="preserve">Államigazgatási feladatok </w:t>
      </w:r>
      <w:r w:rsidRPr="00F671CE">
        <w:rPr>
          <w:rFonts w:ascii="Arial" w:eastAsia="Calibri" w:hAnsi="Arial" w:cs="Arial"/>
          <w:sz w:val="22"/>
          <w:szCs w:val="22"/>
          <w:lang w:eastAsia="en-US"/>
        </w:rPr>
        <w:tab/>
        <w:t>1. sz. melléklet 1.4</w:t>
      </w:r>
    </w:p>
    <w:p w14:paraId="253A74FB" w14:textId="77777777" w:rsidR="006325C2" w:rsidRPr="00F671CE" w:rsidRDefault="006325C2" w:rsidP="006325C2">
      <w:pPr>
        <w:spacing w:line="276" w:lineRule="auto"/>
        <w:rPr>
          <w:rFonts w:ascii="Arial" w:eastAsia="Calibri" w:hAnsi="Arial" w:cs="Arial"/>
          <w:sz w:val="22"/>
          <w:szCs w:val="22"/>
          <w:lang w:eastAsia="en-US"/>
        </w:rPr>
      </w:pPr>
    </w:p>
    <w:p w14:paraId="4EA67E1A" w14:textId="77777777" w:rsidR="006325C2" w:rsidRPr="00AE7B18" w:rsidRDefault="006325C2" w:rsidP="006325C2">
      <w:pPr>
        <w:spacing w:line="276" w:lineRule="auto"/>
        <w:rPr>
          <w:rFonts w:ascii="Arial" w:hAnsi="Arial" w:cs="Arial"/>
          <w:sz w:val="22"/>
          <w:szCs w:val="22"/>
          <w:highlight w:val="yellow"/>
        </w:rPr>
      </w:pPr>
    </w:p>
    <w:p w14:paraId="644078C5" w14:textId="77777777" w:rsidR="006325C2" w:rsidRPr="00E40A56" w:rsidRDefault="006325C2" w:rsidP="00EF3458">
      <w:pPr>
        <w:spacing w:after="160" w:line="276" w:lineRule="auto"/>
        <w:rPr>
          <w:rFonts w:ascii="Arial" w:eastAsia="Calibri" w:hAnsi="Arial" w:cs="Arial"/>
          <w:b/>
          <w:sz w:val="22"/>
          <w:szCs w:val="22"/>
          <w:lang w:eastAsia="en-US"/>
        </w:rPr>
      </w:pPr>
      <w:r w:rsidRPr="00E40A56">
        <w:rPr>
          <w:rFonts w:ascii="Arial" w:eastAsia="Calibri" w:hAnsi="Arial" w:cs="Arial"/>
          <w:b/>
          <w:sz w:val="22"/>
          <w:szCs w:val="22"/>
          <w:lang w:eastAsia="en-US"/>
        </w:rPr>
        <w:t>Az Önkormányzat költségvetésének előirányzata</w:t>
      </w:r>
    </w:p>
    <w:p w14:paraId="186608CB" w14:textId="77777777" w:rsidR="006325C2" w:rsidRPr="00E40A56" w:rsidRDefault="006325C2" w:rsidP="006325C2">
      <w:pPr>
        <w:spacing w:after="160" w:line="276" w:lineRule="auto"/>
        <w:rPr>
          <w:rFonts w:ascii="Arial" w:eastAsia="Calibri" w:hAnsi="Arial" w:cs="Arial"/>
          <w:b/>
          <w:sz w:val="22"/>
          <w:szCs w:val="22"/>
          <w:lang w:eastAsia="en-US"/>
        </w:rPr>
      </w:pPr>
      <w:r w:rsidRPr="00E40A56">
        <w:rPr>
          <w:rFonts w:ascii="Arial" w:eastAsia="Calibri" w:hAnsi="Arial" w:cs="Arial"/>
          <w:b/>
          <w:sz w:val="22"/>
          <w:szCs w:val="22"/>
          <w:lang w:eastAsia="en-US"/>
        </w:rPr>
        <w:t>BEVÉTELEK:</w:t>
      </w:r>
    </w:p>
    <w:p w14:paraId="1D6C0474" w14:textId="77777777" w:rsidR="006325C2" w:rsidRPr="00E40A56" w:rsidRDefault="006325C2" w:rsidP="006325C2">
      <w:pPr>
        <w:spacing w:before="120" w:line="276" w:lineRule="auto"/>
        <w:jc w:val="both"/>
        <w:rPr>
          <w:rFonts w:ascii="Arial" w:hAnsi="Arial" w:cs="Arial"/>
          <w:sz w:val="22"/>
          <w:szCs w:val="22"/>
        </w:rPr>
      </w:pPr>
      <w:r w:rsidRPr="00E40A56">
        <w:rPr>
          <w:rFonts w:ascii="Arial" w:hAnsi="Arial" w:cs="Arial"/>
          <w:sz w:val="22"/>
          <w:szCs w:val="22"/>
        </w:rPr>
        <w:t>A költségvetési rendeletben szereplő bevételi jogcímek részletezése:</w:t>
      </w:r>
    </w:p>
    <w:p w14:paraId="53F38C2A" w14:textId="77777777" w:rsidR="006325C2" w:rsidRPr="00AE7B18" w:rsidRDefault="006325C2" w:rsidP="006325C2">
      <w:pPr>
        <w:spacing w:before="120" w:line="276" w:lineRule="auto"/>
        <w:jc w:val="both"/>
        <w:rPr>
          <w:rFonts w:ascii="Arial" w:hAnsi="Arial" w:cs="Arial"/>
          <w:b/>
          <w:sz w:val="22"/>
          <w:szCs w:val="22"/>
          <w:highlight w:val="yellow"/>
          <w:u w:val="single"/>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016"/>
      </w:tblGrid>
      <w:tr w:rsidR="006325C2" w:rsidRPr="00AE7B18" w14:paraId="02CF0296"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4154FFAC"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Működési célú támogatások államháztartáson belülről</w:t>
            </w:r>
          </w:p>
        </w:tc>
        <w:tc>
          <w:tcPr>
            <w:tcW w:w="3016" w:type="dxa"/>
            <w:tcBorders>
              <w:top w:val="single" w:sz="4" w:space="0" w:color="auto"/>
              <w:left w:val="single" w:sz="4" w:space="0" w:color="auto"/>
              <w:bottom w:val="single" w:sz="4" w:space="0" w:color="auto"/>
              <w:right w:val="single" w:sz="4" w:space="0" w:color="auto"/>
            </w:tcBorders>
            <w:hideMark/>
          </w:tcPr>
          <w:p w14:paraId="74E15035" w14:textId="45E52994" w:rsidR="006325C2" w:rsidRPr="00740B27" w:rsidRDefault="006C513A">
            <w:pPr>
              <w:spacing w:line="276" w:lineRule="auto"/>
              <w:jc w:val="right"/>
              <w:rPr>
                <w:rFonts w:ascii="Arial" w:hAnsi="Arial" w:cs="Arial"/>
                <w:sz w:val="22"/>
                <w:szCs w:val="22"/>
              </w:rPr>
            </w:pPr>
            <w:r>
              <w:rPr>
                <w:rFonts w:ascii="Arial" w:hAnsi="Arial" w:cs="Arial"/>
                <w:sz w:val="22"/>
                <w:szCs w:val="22"/>
              </w:rPr>
              <w:t>796 895 146</w:t>
            </w:r>
          </w:p>
        </w:tc>
      </w:tr>
      <w:tr w:rsidR="006325C2" w:rsidRPr="00AE7B18" w14:paraId="5AD048B6"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5AA2D562"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Felhalmozási célú támogatások államháztartáson belülről</w:t>
            </w:r>
          </w:p>
        </w:tc>
        <w:tc>
          <w:tcPr>
            <w:tcW w:w="3016" w:type="dxa"/>
            <w:tcBorders>
              <w:top w:val="single" w:sz="4" w:space="0" w:color="auto"/>
              <w:left w:val="single" w:sz="4" w:space="0" w:color="auto"/>
              <w:bottom w:val="single" w:sz="4" w:space="0" w:color="auto"/>
              <w:right w:val="single" w:sz="4" w:space="0" w:color="auto"/>
            </w:tcBorders>
            <w:hideMark/>
          </w:tcPr>
          <w:p w14:paraId="33E106D8" w14:textId="77777777" w:rsidR="006325C2" w:rsidRPr="00740B27" w:rsidRDefault="002A7949" w:rsidP="002A7949">
            <w:pPr>
              <w:spacing w:line="276" w:lineRule="auto"/>
              <w:jc w:val="right"/>
              <w:rPr>
                <w:rFonts w:ascii="Arial" w:hAnsi="Arial" w:cs="Arial"/>
                <w:sz w:val="22"/>
                <w:szCs w:val="22"/>
              </w:rPr>
            </w:pPr>
            <w:r w:rsidRPr="00740B27">
              <w:rPr>
                <w:rFonts w:ascii="Arial" w:hAnsi="Arial" w:cs="Arial"/>
                <w:sz w:val="22"/>
                <w:szCs w:val="22"/>
              </w:rPr>
              <w:t>54 557 620</w:t>
            </w:r>
          </w:p>
        </w:tc>
      </w:tr>
      <w:tr w:rsidR="006325C2" w:rsidRPr="00AE7B18" w14:paraId="5C8A330D"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03824975"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Közhatalmi bevételek</w:t>
            </w:r>
          </w:p>
        </w:tc>
        <w:tc>
          <w:tcPr>
            <w:tcW w:w="3016" w:type="dxa"/>
            <w:tcBorders>
              <w:top w:val="single" w:sz="4" w:space="0" w:color="auto"/>
              <w:left w:val="single" w:sz="4" w:space="0" w:color="auto"/>
              <w:bottom w:val="single" w:sz="4" w:space="0" w:color="auto"/>
              <w:right w:val="single" w:sz="4" w:space="0" w:color="auto"/>
            </w:tcBorders>
            <w:hideMark/>
          </w:tcPr>
          <w:p w14:paraId="3848D117" w14:textId="77777777" w:rsidR="006325C2" w:rsidRPr="00740B27" w:rsidRDefault="002A7949">
            <w:pPr>
              <w:spacing w:line="276" w:lineRule="auto"/>
              <w:jc w:val="right"/>
              <w:rPr>
                <w:rFonts w:ascii="Arial" w:hAnsi="Arial" w:cs="Arial"/>
                <w:sz w:val="22"/>
                <w:szCs w:val="22"/>
              </w:rPr>
            </w:pPr>
            <w:r w:rsidRPr="00740B27">
              <w:rPr>
                <w:rFonts w:ascii="Arial" w:hAnsi="Arial" w:cs="Arial"/>
                <w:sz w:val="22"/>
                <w:szCs w:val="22"/>
              </w:rPr>
              <w:t>369 000 000</w:t>
            </w:r>
          </w:p>
        </w:tc>
      </w:tr>
      <w:tr w:rsidR="006325C2" w:rsidRPr="00AE7B18" w14:paraId="0F53B8F4"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3CD54F71"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Működési bevételek</w:t>
            </w:r>
          </w:p>
        </w:tc>
        <w:tc>
          <w:tcPr>
            <w:tcW w:w="3016" w:type="dxa"/>
            <w:tcBorders>
              <w:top w:val="single" w:sz="4" w:space="0" w:color="auto"/>
              <w:left w:val="single" w:sz="4" w:space="0" w:color="auto"/>
              <w:bottom w:val="single" w:sz="4" w:space="0" w:color="auto"/>
              <w:right w:val="single" w:sz="4" w:space="0" w:color="auto"/>
            </w:tcBorders>
            <w:hideMark/>
          </w:tcPr>
          <w:p w14:paraId="5E557419" w14:textId="2C55291F" w:rsidR="006325C2" w:rsidRPr="00740B27" w:rsidRDefault="006C513A">
            <w:pPr>
              <w:spacing w:line="276" w:lineRule="auto"/>
              <w:jc w:val="right"/>
              <w:rPr>
                <w:rFonts w:ascii="Arial" w:hAnsi="Arial" w:cs="Arial"/>
                <w:sz w:val="22"/>
                <w:szCs w:val="22"/>
              </w:rPr>
            </w:pPr>
            <w:r>
              <w:rPr>
                <w:rFonts w:ascii="Arial" w:hAnsi="Arial" w:cs="Arial"/>
                <w:sz w:val="22"/>
                <w:szCs w:val="22"/>
              </w:rPr>
              <w:t>32 254 059</w:t>
            </w:r>
          </w:p>
        </w:tc>
      </w:tr>
      <w:tr w:rsidR="006325C2" w:rsidRPr="00AE7B18" w14:paraId="261FB177"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19EB2243"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Felhalmozási bevételek</w:t>
            </w:r>
          </w:p>
        </w:tc>
        <w:tc>
          <w:tcPr>
            <w:tcW w:w="3016" w:type="dxa"/>
            <w:tcBorders>
              <w:top w:val="single" w:sz="4" w:space="0" w:color="auto"/>
              <w:left w:val="single" w:sz="4" w:space="0" w:color="auto"/>
              <w:bottom w:val="single" w:sz="4" w:space="0" w:color="auto"/>
              <w:right w:val="single" w:sz="4" w:space="0" w:color="auto"/>
            </w:tcBorders>
            <w:hideMark/>
          </w:tcPr>
          <w:p w14:paraId="6C8E31F7" w14:textId="77777777" w:rsidR="006325C2" w:rsidRPr="00740B27" w:rsidRDefault="002A7949">
            <w:pPr>
              <w:spacing w:line="276" w:lineRule="auto"/>
              <w:jc w:val="right"/>
              <w:rPr>
                <w:rFonts w:ascii="Arial" w:hAnsi="Arial" w:cs="Arial"/>
                <w:color w:val="000000"/>
                <w:sz w:val="22"/>
                <w:szCs w:val="22"/>
              </w:rPr>
            </w:pPr>
            <w:r w:rsidRPr="00740B27">
              <w:rPr>
                <w:rFonts w:ascii="Arial" w:hAnsi="Arial" w:cs="Arial"/>
                <w:color w:val="000000"/>
                <w:sz w:val="22"/>
                <w:szCs w:val="22"/>
              </w:rPr>
              <w:t>69 000 000</w:t>
            </w:r>
          </w:p>
        </w:tc>
      </w:tr>
      <w:tr w:rsidR="006325C2" w:rsidRPr="00AE7B18" w14:paraId="5E16DCF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28E7E8E4"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Működési célú átvett pénzeszközök</w:t>
            </w:r>
          </w:p>
        </w:tc>
        <w:tc>
          <w:tcPr>
            <w:tcW w:w="3016" w:type="dxa"/>
            <w:tcBorders>
              <w:top w:val="single" w:sz="4" w:space="0" w:color="auto"/>
              <w:left w:val="single" w:sz="4" w:space="0" w:color="auto"/>
              <w:bottom w:val="single" w:sz="4" w:space="0" w:color="auto"/>
              <w:right w:val="single" w:sz="4" w:space="0" w:color="auto"/>
            </w:tcBorders>
            <w:hideMark/>
          </w:tcPr>
          <w:p w14:paraId="63DE3151" w14:textId="77777777" w:rsidR="006325C2" w:rsidRPr="00740B27" w:rsidRDefault="00740B27">
            <w:pPr>
              <w:spacing w:line="276" w:lineRule="auto"/>
              <w:jc w:val="right"/>
              <w:rPr>
                <w:rFonts w:ascii="Arial" w:hAnsi="Arial" w:cs="Arial"/>
                <w:sz w:val="22"/>
                <w:szCs w:val="22"/>
              </w:rPr>
            </w:pPr>
            <w:r w:rsidRPr="00740B27">
              <w:rPr>
                <w:rFonts w:ascii="Arial" w:hAnsi="Arial" w:cs="Arial"/>
                <w:sz w:val="22"/>
                <w:szCs w:val="22"/>
              </w:rPr>
              <w:t>0</w:t>
            </w:r>
          </w:p>
        </w:tc>
      </w:tr>
      <w:tr w:rsidR="006325C2" w:rsidRPr="00AE7B18" w14:paraId="1936A19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2E29040B" w14:textId="77777777" w:rsidR="006325C2" w:rsidRPr="00740B27" w:rsidRDefault="006325C2">
            <w:pPr>
              <w:spacing w:line="276" w:lineRule="auto"/>
              <w:rPr>
                <w:rFonts w:ascii="Arial" w:hAnsi="Arial" w:cs="Arial"/>
                <w:b/>
                <w:sz w:val="22"/>
                <w:szCs w:val="22"/>
                <w:u w:val="single"/>
              </w:rPr>
            </w:pPr>
            <w:r w:rsidRPr="00740B27">
              <w:rPr>
                <w:rFonts w:ascii="Arial" w:hAnsi="Arial" w:cs="Arial"/>
                <w:sz w:val="22"/>
                <w:szCs w:val="22"/>
              </w:rPr>
              <w:t>Felhalmozási célú átvett pénzeszközök</w:t>
            </w:r>
          </w:p>
        </w:tc>
        <w:tc>
          <w:tcPr>
            <w:tcW w:w="3016" w:type="dxa"/>
            <w:tcBorders>
              <w:top w:val="single" w:sz="4" w:space="0" w:color="auto"/>
              <w:left w:val="single" w:sz="4" w:space="0" w:color="auto"/>
              <w:bottom w:val="single" w:sz="4" w:space="0" w:color="auto"/>
              <w:right w:val="single" w:sz="4" w:space="0" w:color="auto"/>
            </w:tcBorders>
            <w:hideMark/>
          </w:tcPr>
          <w:p w14:paraId="768CF8ED" w14:textId="77777777" w:rsidR="006325C2" w:rsidRPr="00740B27" w:rsidRDefault="00740B27">
            <w:pPr>
              <w:spacing w:line="276" w:lineRule="auto"/>
              <w:jc w:val="right"/>
              <w:rPr>
                <w:rFonts w:ascii="Arial" w:hAnsi="Arial" w:cs="Arial"/>
                <w:sz w:val="22"/>
                <w:szCs w:val="22"/>
              </w:rPr>
            </w:pPr>
            <w:r w:rsidRPr="00740B27">
              <w:rPr>
                <w:rFonts w:ascii="Arial" w:hAnsi="Arial" w:cs="Arial"/>
                <w:sz w:val="22"/>
                <w:szCs w:val="22"/>
              </w:rPr>
              <w:t>0</w:t>
            </w:r>
          </w:p>
        </w:tc>
      </w:tr>
      <w:tr w:rsidR="006325C2" w:rsidRPr="00AE7B18" w14:paraId="34888348"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5FE31E9C" w14:textId="77777777" w:rsidR="006325C2" w:rsidRPr="00693739" w:rsidRDefault="006325C2">
            <w:pPr>
              <w:spacing w:line="276" w:lineRule="auto"/>
              <w:rPr>
                <w:rFonts w:ascii="Arial" w:hAnsi="Arial" w:cs="Arial"/>
                <w:b/>
                <w:sz w:val="22"/>
                <w:szCs w:val="22"/>
              </w:rPr>
            </w:pPr>
            <w:r w:rsidRPr="00693739">
              <w:rPr>
                <w:rFonts w:ascii="Arial" w:hAnsi="Arial" w:cs="Arial"/>
                <w:b/>
                <w:sz w:val="22"/>
                <w:szCs w:val="22"/>
              </w:rPr>
              <w:t>Költségvetési bevételek összesen:</w:t>
            </w:r>
          </w:p>
        </w:tc>
        <w:tc>
          <w:tcPr>
            <w:tcW w:w="3016" w:type="dxa"/>
            <w:tcBorders>
              <w:top w:val="single" w:sz="4" w:space="0" w:color="auto"/>
              <w:left w:val="single" w:sz="4" w:space="0" w:color="auto"/>
              <w:bottom w:val="single" w:sz="4" w:space="0" w:color="auto"/>
              <w:right w:val="single" w:sz="4" w:space="0" w:color="auto"/>
            </w:tcBorders>
            <w:hideMark/>
          </w:tcPr>
          <w:p w14:paraId="271A3C50" w14:textId="34A89175" w:rsidR="006325C2" w:rsidRPr="00AE7B18" w:rsidRDefault="006C513A">
            <w:pPr>
              <w:spacing w:line="276" w:lineRule="auto"/>
              <w:jc w:val="right"/>
              <w:rPr>
                <w:rFonts w:ascii="Arial" w:hAnsi="Arial" w:cs="Arial"/>
                <w:b/>
                <w:sz w:val="22"/>
                <w:szCs w:val="22"/>
                <w:highlight w:val="yellow"/>
              </w:rPr>
            </w:pPr>
            <w:r>
              <w:rPr>
                <w:rFonts w:ascii="Arial" w:hAnsi="Arial" w:cs="Arial"/>
                <w:b/>
                <w:sz w:val="22"/>
                <w:szCs w:val="22"/>
              </w:rPr>
              <w:t>1 321 706 825</w:t>
            </w:r>
          </w:p>
        </w:tc>
      </w:tr>
      <w:tr w:rsidR="006325C2" w:rsidRPr="00AE7B18" w14:paraId="44B5AC9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7421402A" w14:textId="77777777" w:rsidR="006325C2" w:rsidRPr="00693739" w:rsidRDefault="006325C2">
            <w:pPr>
              <w:spacing w:line="276" w:lineRule="auto"/>
              <w:jc w:val="both"/>
              <w:rPr>
                <w:rFonts w:ascii="Arial" w:hAnsi="Arial" w:cs="Arial"/>
                <w:sz w:val="22"/>
                <w:szCs w:val="22"/>
              </w:rPr>
            </w:pPr>
            <w:r w:rsidRPr="00693739">
              <w:rPr>
                <w:rFonts w:ascii="Arial" w:hAnsi="Arial" w:cs="Arial"/>
                <w:sz w:val="22"/>
                <w:szCs w:val="22"/>
              </w:rPr>
              <w:t>Költségvetési maradvány igénybevétele</w:t>
            </w:r>
          </w:p>
        </w:tc>
        <w:tc>
          <w:tcPr>
            <w:tcW w:w="3016" w:type="dxa"/>
            <w:tcBorders>
              <w:top w:val="single" w:sz="4" w:space="0" w:color="auto"/>
              <w:left w:val="single" w:sz="4" w:space="0" w:color="auto"/>
              <w:bottom w:val="single" w:sz="4" w:space="0" w:color="auto"/>
              <w:right w:val="single" w:sz="4" w:space="0" w:color="auto"/>
            </w:tcBorders>
            <w:hideMark/>
          </w:tcPr>
          <w:p w14:paraId="3AA77163" w14:textId="6007B10F" w:rsidR="006325C2" w:rsidRPr="00AE7B18" w:rsidRDefault="006C513A">
            <w:pPr>
              <w:spacing w:line="276" w:lineRule="auto"/>
              <w:jc w:val="right"/>
              <w:rPr>
                <w:rFonts w:ascii="Arial" w:hAnsi="Arial" w:cs="Arial"/>
                <w:sz w:val="22"/>
                <w:szCs w:val="22"/>
                <w:highlight w:val="yellow"/>
              </w:rPr>
            </w:pPr>
            <w:r>
              <w:rPr>
                <w:rFonts w:ascii="Arial" w:hAnsi="Arial" w:cs="Arial"/>
                <w:sz w:val="22"/>
                <w:szCs w:val="22"/>
              </w:rPr>
              <w:t>233 226 419</w:t>
            </w:r>
          </w:p>
        </w:tc>
      </w:tr>
      <w:tr w:rsidR="006325C2" w:rsidRPr="00AE7B18" w14:paraId="26A12FD4"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08AC1872" w14:textId="77777777" w:rsidR="006325C2" w:rsidRPr="00AE7B18" w:rsidRDefault="006325C2">
            <w:pPr>
              <w:spacing w:line="276" w:lineRule="auto"/>
              <w:jc w:val="both"/>
              <w:rPr>
                <w:rFonts w:ascii="Arial" w:hAnsi="Arial" w:cs="Arial"/>
                <w:b/>
                <w:sz w:val="22"/>
                <w:szCs w:val="22"/>
                <w:highlight w:val="yellow"/>
              </w:rPr>
            </w:pPr>
            <w:proofErr w:type="gramStart"/>
            <w:r w:rsidRPr="00693739">
              <w:rPr>
                <w:rFonts w:ascii="Arial" w:hAnsi="Arial" w:cs="Arial"/>
                <w:b/>
                <w:sz w:val="22"/>
                <w:szCs w:val="22"/>
              </w:rPr>
              <w:t>Finanszírozási</w:t>
            </w:r>
            <w:proofErr w:type="gramEnd"/>
            <w:r w:rsidRPr="00693739">
              <w:rPr>
                <w:rFonts w:ascii="Arial" w:hAnsi="Arial" w:cs="Arial"/>
                <w:b/>
                <w:sz w:val="22"/>
                <w:szCs w:val="22"/>
              </w:rPr>
              <w:t xml:space="preserve"> bevételek összesen:</w:t>
            </w:r>
          </w:p>
        </w:tc>
        <w:tc>
          <w:tcPr>
            <w:tcW w:w="3016" w:type="dxa"/>
            <w:tcBorders>
              <w:top w:val="single" w:sz="4" w:space="0" w:color="auto"/>
              <w:left w:val="single" w:sz="4" w:space="0" w:color="auto"/>
              <w:bottom w:val="single" w:sz="4" w:space="0" w:color="auto"/>
              <w:right w:val="single" w:sz="4" w:space="0" w:color="auto"/>
            </w:tcBorders>
            <w:hideMark/>
          </w:tcPr>
          <w:p w14:paraId="4D32883B" w14:textId="69016A67" w:rsidR="006325C2" w:rsidRPr="00AE7B18" w:rsidRDefault="006C513A">
            <w:pPr>
              <w:spacing w:line="276" w:lineRule="auto"/>
              <w:jc w:val="right"/>
              <w:rPr>
                <w:rFonts w:ascii="Arial" w:hAnsi="Arial" w:cs="Arial"/>
                <w:b/>
                <w:sz w:val="22"/>
                <w:szCs w:val="22"/>
                <w:highlight w:val="yellow"/>
              </w:rPr>
            </w:pPr>
            <w:r>
              <w:rPr>
                <w:rFonts w:ascii="Arial" w:hAnsi="Arial" w:cs="Arial"/>
                <w:b/>
                <w:sz w:val="22"/>
                <w:szCs w:val="22"/>
              </w:rPr>
              <w:t>233 226 419</w:t>
            </w:r>
          </w:p>
        </w:tc>
      </w:tr>
      <w:tr w:rsidR="006325C2" w:rsidRPr="00AE7B18" w14:paraId="707DB6FF" w14:textId="77777777" w:rsidTr="006325C2">
        <w:tc>
          <w:tcPr>
            <w:tcW w:w="4605" w:type="dxa"/>
            <w:tcBorders>
              <w:top w:val="single" w:sz="4" w:space="0" w:color="auto"/>
              <w:left w:val="single" w:sz="4" w:space="0" w:color="auto"/>
              <w:bottom w:val="single" w:sz="4" w:space="0" w:color="auto"/>
              <w:right w:val="single" w:sz="4" w:space="0" w:color="auto"/>
            </w:tcBorders>
            <w:hideMark/>
          </w:tcPr>
          <w:p w14:paraId="10B49D2D" w14:textId="77777777" w:rsidR="006325C2" w:rsidRPr="00AE7B18" w:rsidRDefault="006325C2">
            <w:pPr>
              <w:spacing w:line="276" w:lineRule="auto"/>
              <w:jc w:val="both"/>
              <w:rPr>
                <w:rFonts w:ascii="Arial" w:hAnsi="Arial" w:cs="Arial"/>
                <w:b/>
                <w:sz w:val="22"/>
                <w:szCs w:val="22"/>
                <w:highlight w:val="yellow"/>
              </w:rPr>
            </w:pPr>
            <w:r w:rsidRPr="00693739">
              <w:rPr>
                <w:rFonts w:ascii="Arial" w:hAnsi="Arial" w:cs="Arial"/>
                <w:b/>
                <w:sz w:val="22"/>
                <w:szCs w:val="22"/>
              </w:rPr>
              <w:t>BEVÉTELEK ÖSSZESEN:</w:t>
            </w:r>
          </w:p>
        </w:tc>
        <w:tc>
          <w:tcPr>
            <w:tcW w:w="3016" w:type="dxa"/>
            <w:tcBorders>
              <w:top w:val="single" w:sz="4" w:space="0" w:color="auto"/>
              <w:left w:val="single" w:sz="4" w:space="0" w:color="auto"/>
              <w:bottom w:val="single" w:sz="4" w:space="0" w:color="auto"/>
              <w:right w:val="single" w:sz="4" w:space="0" w:color="auto"/>
            </w:tcBorders>
            <w:hideMark/>
          </w:tcPr>
          <w:p w14:paraId="7BFE93EC" w14:textId="486834A1" w:rsidR="006325C2" w:rsidRPr="00AE7B18" w:rsidRDefault="006C513A">
            <w:pPr>
              <w:spacing w:line="276" w:lineRule="auto"/>
              <w:jc w:val="right"/>
              <w:rPr>
                <w:rFonts w:ascii="Arial" w:hAnsi="Arial" w:cs="Arial"/>
                <w:b/>
                <w:sz w:val="22"/>
                <w:szCs w:val="22"/>
                <w:highlight w:val="yellow"/>
              </w:rPr>
            </w:pPr>
            <w:r>
              <w:rPr>
                <w:rFonts w:ascii="Arial" w:hAnsi="Arial" w:cs="Arial"/>
                <w:b/>
                <w:sz w:val="22"/>
                <w:szCs w:val="22"/>
              </w:rPr>
              <w:t>1 554 933 244</w:t>
            </w:r>
          </w:p>
        </w:tc>
      </w:tr>
    </w:tbl>
    <w:p w14:paraId="21E254FE" w14:textId="77777777" w:rsidR="006325C2" w:rsidRPr="00AE7B18" w:rsidRDefault="006325C2" w:rsidP="006325C2">
      <w:pPr>
        <w:spacing w:line="276" w:lineRule="auto"/>
        <w:jc w:val="both"/>
        <w:rPr>
          <w:rFonts w:ascii="Arial" w:hAnsi="Arial" w:cs="Arial"/>
          <w:sz w:val="22"/>
          <w:szCs w:val="22"/>
          <w:highlight w:val="yellow"/>
        </w:rPr>
      </w:pPr>
    </w:p>
    <w:p w14:paraId="02E34D99" w14:textId="77777777" w:rsidR="006325C2" w:rsidRPr="00AE7B18" w:rsidRDefault="006325C2" w:rsidP="006325C2">
      <w:pPr>
        <w:spacing w:after="160" w:line="276" w:lineRule="auto"/>
        <w:jc w:val="both"/>
        <w:rPr>
          <w:rFonts w:ascii="Arial" w:eastAsia="Calibri" w:hAnsi="Arial" w:cs="Arial"/>
          <w:sz w:val="22"/>
          <w:szCs w:val="22"/>
          <w:highlight w:val="yellow"/>
          <w:lang w:eastAsia="en-US"/>
        </w:rPr>
      </w:pPr>
    </w:p>
    <w:p w14:paraId="65249855" w14:textId="77777777" w:rsidR="006325C2" w:rsidRPr="00E40A56" w:rsidRDefault="006325C2" w:rsidP="006325C2">
      <w:pPr>
        <w:spacing w:after="160" w:line="276" w:lineRule="auto"/>
        <w:jc w:val="both"/>
        <w:rPr>
          <w:rFonts w:ascii="Arial" w:eastAsia="Calibri" w:hAnsi="Arial" w:cs="Arial"/>
          <w:sz w:val="22"/>
          <w:szCs w:val="22"/>
          <w:lang w:eastAsia="en-US"/>
        </w:rPr>
      </w:pPr>
      <w:r w:rsidRPr="00E40A56">
        <w:rPr>
          <w:rFonts w:ascii="Arial" w:eastAsia="Calibri" w:hAnsi="Arial" w:cs="Arial"/>
          <w:sz w:val="22"/>
          <w:szCs w:val="22"/>
          <w:lang w:eastAsia="en-US"/>
        </w:rPr>
        <w:t>A táblázat tartalmának részletezése:</w:t>
      </w:r>
    </w:p>
    <w:p w14:paraId="47F4E619" w14:textId="0BBC8B33" w:rsidR="006325C2" w:rsidRPr="00E40A56" w:rsidRDefault="00E40A56" w:rsidP="006325C2">
      <w:pPr>
        <w:spacing w:line="276" w:lineRule="auto"/>
        <w:jc w:val="both"/>
        <w:rPr>
          <w:rFonts w:ascii="Arial" w:hAnsi="Arial" w:cs="Arial"/>
          <w:sz w:val="22"/>
          <w:szCs w:val="22"/>
        </w:rPr>
      </w:pPr>
      <w:r w:rsidRPr="00E40A56">
        <w:rPr>
          <w:rFonts w:ascii="Arial" w:hAnsi="Arial" w:cs="Arial"/>
          <w:sz w:val="22"/>
          <w:szCs w:val="22"/>
        </w:rPr>
        <w:t>A 2023</w:t>
      </w:r>
      <w:r w:rsidR="006325C2" w:rsidRPr="00E40A56">
        <w:rPr>
          <w:rFonts w:ascii="Arial" w:hAnsi="Arial" w:cs="Arial"/>
          <w:sz w:val="22"/>
          <w:szCs w:val="22"/>
        </w:rPr>
        <w:t>. évi központi költségvetéséről szóló</w:t>
      </w:r>
      <w:r w:rsidRPr="00E40A56">
        <w:rPr>
          <w:rFonts w:ascii="Arial" w:hAnsi="Arial" w:cs="Arial"/>
          <w:bCs/>
          <w:iCs/>
          <w:sz w:val="22"/>
          <w:szCs w:val="22"/>
        </w:rPr>
        <w:t xml:space="preserve"> 2022. évi XXV</w:t>
      </w:r>
      <w:r w:rsidR="006325C2" w:rsidRPr="00E40A56">
        <w:rPr>
          <w:rFonts w:ascii="Arial" w:hAnsi="Arial" w:cs="Arial"/>
          <w:bCs/>
          <w:iCs/>
          <w:sz w:val="22"/>
          <w:szCs w:val="22"/>
        </w:rPr>
        <w:t xml:space="preserve">. </w:t>
      </w:r>
      <w:r w:rsidRPr="00E40A56">
        <w:rPr>
          <w:rFonts w:ascii="Arial" w:hAnsi="Arial" w:cs="Arial"/>
          <w:sz w:val="22"/>
          <w:szCs w:val="22"/>
        </w:rPr>
        <w:t xml:space="preserve">törvény 2. mellékletének </w:t>
      </w:r>
      <w:r w:rsidR="006325C2" w:rsidRPr="00E40A56">
        <w:rPr>
          <w:rFonts w:ascii="Arial" w:hAnsi="Arial" w:cs="Arial"/>
          <w:sz w:val="22"/>
          <w:szCs w:val="22"/>
        </w:rPr>
        <w:t>megfelelően leigényelhető állami tám</w:t>
      </w:r>
      <w:r w:rsidR="00710636">
        <w:rPr>
          <w:rFonts w:ascii="Arial" w:hAnsi="Arial" w:cs="Arial"/>
          <w:sz w:val="22"/>
          <w:szCs w:val="22"/>
        </w:rPr>
        <w:t xml:space="preserve">ogatások figyelembevételével </w:t>
      </w:r>
      <w:r w:rsidR="006325C2" w:rsidRPr="00E40A56">
        <w:rPr>
          <w:rFonts w:ascii="Arial" w:hAnsi="Arial" w:cs="Arial"/>
          <w:sz w:val="22"/>
          <w:szCs w:val="22"/>
        </w:rPr>
        <w:t xml:space="preserve">terveztük </w:t>
      </w:r>
      <w:r w:rsidR="00710636">
        <w:rPr>
          <w:rFonts w:ascii="Arial" w:hAnsi="Arial" w:cs="Arial"/>
          <w:sz w:val="22"/>
          <w:szCs w:val="22"/>
        </w:rPr>
        <w:t xml:space="preserve">meg </w:t>
      </w:r>
      <w:r w:rsidR="006325C2" w:rsidRPr="00E40A56">
        <w:rPr>
          <w:rFonts w:ascii="Arial" w:hAnsi="Arial" w:cs="Arial"/>
          <w:sz w:val="22"/>
          <w:szCs w:val="22"/>
        </w:rPr>
        <w:t>Bátaszék Város Önkormányzat</w:t>
      </w:r>
      <w:r w:rsidR="00710636">
        <w:rPr>
          <w:rFonts w:ascii="Arial" w:hAnsi="Arial" w:cs="Arial"/>
          <w:sz w:val="22"/>
          <w:szCs w:val="22"/>
        </w:rPr>
        <w:t>ának költségvetését.</w:t>
      </w:r>
    </w:p>
    <w:p w14:paraId="192C292C" w14:textId="77777777" w:rsidR="006325C2" w:rsidRPr="00AE7B18" w:rsidRDefault="006325C2" w:rsidP="006325C2">
      <w:pPr>
        <w:spacing w:line="276" w:lineRule="auto"/>
        <w:ind w:left="1080"/>
        <w:jc w:val="both"/>
        <w:rPr>
          <w:rFonts w:ascii="Arial" w:hAnsi="Arial" w:cs="Arial"/>
          <w:sz w:val="22"/>
          <w:szCs w:val="22"/>
          <w:highlight w:val="yellow"/>
        </w:rPr>
      </w:pPr>
    </w:p>
    <w:p w14:paraId="4E343987" w14:textId="77777777" w:rsidR="00E40A56" w:rsidRDefault="00E40A56" w:rsidP="006325C2">
      <w:pPr>
        <w:spacing w:line="276" w:lineRule="auto"/>
        <w:jc w:val="both"/>
        <w:rPr>
          <w:rFonts w:ascii="Arial" w:hAnsi="Arial" w:cs="Arial"/>
          <w:sz w:val="22"/>
          <w:szCs w:val="22"/>
        </w:rPr>
      </w:pPr>
      <w:r w:rsidRPr="00E40A56">
        <w:rPr>
          <w:rFonts w:ascii="Arial" w:hAnsi="Arial" w:cs="Arial"/>
          <w:sz w:val="22"/>
          <w:szCs w:val="22"/>
        </w:rPr>
        <w:t xml:space="preserve">Az állami támogatások igénylésének rendje nem változott, </w:t>
      </w:r>
      <w:r w:rsidR="006325C2" w:rsidRPr="00E40A56">
        <w:rPr>
          <w:rFonts w:ascii="Arial" w:hAnsi="Arial" w:cs="Arial"/>
          <w:sz w:val="22"/>
          <w:szCs w:val="22"/>
        </w:rPr>
        <w:t>a tárgyévet megel</w:t>
      </w:r>
      <w:r w:rsidRPr="00E40A56">
        <w:rPr>
          <w:rFonts w:ascii="Arial" w:hAnsi="Arial" w:cs="Arial"/>
          <w:sz w:val="22"/>
          <w:szCs w:val="22"/>
        </w:rPr>
        <w:t>őző év novemberében történik, a tárgyévben két</w:t>
      </w:r>
      <w:r w:rsidR="006325C2" w:rsidRPr="00E40A56">
        <w:rPr>
          <w:rFonts w:ascii="Arial" w:hAnsi="Arial" w:cs="Arial"/>
          <w:sz w:val="22"/>
          <w:szCs w:val="22"/>
        </w:rPr>
        <w:t xml:space="preserve"> alkalommal van lehetőség (májusban és októberben) a mutatószámok módosítására, a tényleges létszámhoz való igazítására.</w:t>
      </w:r>
    </w:p>
    <w:p w14:paraId="448FC0E4" w14:textId="77777777" w:rsidR="00E40A56" w:rsidRDefault="00E40A56" w:rsidP="006325C2">
      <w:pPr>
        <w:spacing w:line="276" w:lineRule="auto"/>
        <w:jc w:val="both"/>
        <w:rPr>
          <w:rFonts w:ascii="Arial" w:hAnsi="Arial" w:cs="Arial"/>
          <w:sz w:val="22"/>
          <w:szCs w:val="22"/>
        </w:rPr>
      </w:pPr>
    </w:p>
    <w:p w14:paraId="59E7C44B" w14:textId="77777777" w:rsidR="006325C2" w:rsidRDefault="006325C2" w:rsidP="006325C2">
      <w:pPr>
        <w:spacing w:line="276" w:lineRule="auto"/>
        <w:jc w:val="both"/>
        <w:rPr>
          <w:rFonts w:ascii="Arial" w:hAnsi="Arial" w:cs="Arial"/>
          <w:sz w:val="22"/>
          <w:szCs w:val="22"/>
        </w:rPr>
      </w:pPr>
      <w:r w:rsidRPr="00E40A56">
        <w:rPr>
          <w:rFonts w:ascii="Arial" w:hAnsi="Arial" w:cs="Arial"/>
          <w:b/>
          <w:sz w:val="22"/>
          <w:szCs w:val="22"/>
        </w:rPr>
        <w:t xml:space="preserve">Az </w:t>
      </w:r>
      <w:r w:rsidRPr="00E40A56">
        <w:rPr>
          <w:rFonts w:ascii="Arial" w:hAnsi="Arial" w:cs="Arial"/>
          <w:b/>
          <w:sz w:val="22"/>
          <w:szCs w:val="22"/>
          <w:u w:val="single"/>
        </w:rPr>
        <w:t>Önkormányzat működési támogatása</w:t>
      </w:r>
      <w:r w:rsidR="00E40A56">
        <w:rPr>
          <w:rFonts w:ascii="Arial" w:hAnsi="Arial" w:cs="Arial"/>
          <w:b/>
          <w:sz w:val="22"/>
          <w:szCs w:val="22"/>
          <w:u w:val="single"/>
        </w:rPr>
        <w:t>i</w:t>
      </w:r>
      <w:r w:rsidR="00E40A56" w:rsidRPr="00E40A56">
        <w:rPr>
          <w:rFonts w:ascii="Arial" w:hAnsi="Arial" w:cs="Arial"/>
          <w:b/>
          <w:sz w:val="22"/>
          <w:szCs w:val="22"/>
          <w:u w:val="single"/>
        </w:rPr>
        <w:t xml:space="preserve"> előirányzat</w:t>
      </w:r>
      <w:r w:rsidR="00E40A56" w:rsidRPr="00E40A56">
        <w:rPr>
          <w:rFonts w:ascii="Arial" w:hAnsi="Arial" w:cs="Arial"/>
          <w:b/>
          <w:sz w:val="22"/>
          <w:szCs w:val="22"/>
        </w:rPr>
        <w:t xml:space="preserve"> összege: 674 575 246 </w:t>
      </w:r>
      <w:r w:rsidRPr="00E40A56">
        <w:rPr>
          <w:rFonts w:ascii="Arial" w:hAnsi="Arial" w:cs="Arial"/>
          <w:b/>
          <w:sz w:val="22"/>
          <w:szCs w:val="22"/>
        </w:rPr>
        <w:t>Ft</w:t>
      </w:r>
      <w:r w:rsidR="00E40A56">
        <w:rPr>
          <w:rFonts w:ascii="Arial" w:hAnsi="Arial" w:cs="Arial"/>
          <w:b/>
          <w:sz w:val="22"/>
          <w:szCs w:val="22"/>
        </w:rPr>
        <w:t>,</w:t>
      </w:r>
      <w:r w:rsidRPr="00E40A56">
        <w:rPr>
          <w:rFonts w:ascii="Arial" w:hAnsi="Arial" w:cs="Arial"/>
          <w:sz w:val="22"/>
          <w:szCs w:val="22"/>
        </w:rPr>
        <w:t xml:space="preserve"> </w:t>
      </w:r>
      <w:r w:rsidR="00E40A56" w:rsidRPr="00E40A56">
        <w:rPr>
          <w:rFonts w:ascii="Arial" w:hAnsi="Arial" w:cs="Arial"/>
          <w:sz w:val="22"/>
          <w:szCs w:val="22"/>
        </w:rPr>
        <w:t xml:space="preserve">ami a kötelező feladataink </w:t>
      </w:r>
      <w:r w:rsidRPr="00E40A56">
        <w:rPr>
          <w:rFonts w:ascii="Arial" w:hAnsi="Arial" w:cs="Arial"/>
          <w:sz w:val="22"/>
          <w:szCs w:val="22"/>
        </w:rPr>
        <w:t xml:space="preserve">ellátásához nyújtott állami támogatás összege. </w:t>
      </w:r>
      <w:r w:rsidR="00C06B54">
        <w:rPr>
          <w:rFonts w:ascii="Arial" w:hAnsi="Arial" w:cs="Arial"/>
          <w:sz w:val="22"/>
          <w:szCs w:val="22"/>
        </w:rPr>
        <w:t>(</w:t>
      </w:r>
      <w:r w:rsidRPr="00E40A56">
        <w:rPr>
          <w:rFonts w:ascii="Arial" w:hAnsi="Arial" w:cs="Arial"/>
          <w:i/>
          <w:sz w:val="22"/>
          <w:szCs w:val="22"/>
        </w:rPr>
        <w:t>Részletesen a 11</w:t>
      </w:r>
      <w:proofErr w:type="gramStart"/>
      <w:r w:rsidRPr="00E40A56">
        <w:rPr>
          <w:rFonts w:ascii="Arial" w:hAnsi="Arial" w:cs="Arial"/>
          <w:i/>
          <w:sz w:val="22"/>
          <w:szCs w:val="22"/>
        </w:rPr>
        <w:t>.sz.</w:t>
      </w:r>
      <w:proofErr w:type="gramEnd"/>
      <w:r w:rsidRPr="00E40A56">
        <w:rPr>
          <w:rFonts w:ascii="Arial" w:hAnsi="Arial" w:cs="Arial"/>
          <w:i/>
          <w:sz w:val="22"/>
          <w:szCs w:val="22"/>
        </w:rPr>
        <w:t xml:space="preserve"> melléklet tartalmazza</w:t>
      </w:r>
      <w:r w:rsidRPr="00E40A56">
        <w:rPr>
          <w:rFonts w:ascii="Arial" w:hAnsi="Arial" w:cs="Arial"/>
          <w:sz w:val="22"/>
          <w:szCs w:val="22"/>
        </w:rPr>
        <w:t>.</w:t>
      </w:r>
      <w:r w:rsidR="00C06B54">
        <w:rPr>
          <w:rFonts w:ascii="Arial" w:hAnsi="Arial" w:cs="Arial"/>
          <w:sz w:val="22"/>
          <w:szCs w:val="22"/>
        </w:rPr>
        <w:t xml:space="preserve">) Kedvező változás, hogy a </w:t>
      </w:r>
      <w:r w:rsidRPr="00C06B54">
        <w:rPr>
          <w:rFonts w:ascii="Arial" w:hAnsi="Arial" w:cs="Arial"/>
          <w:sz w:val="22"/>
          <w:szCs w:val="22"/>
        </w:rPr>
        <w:t>szolidaritási hozzájár</w:t>
      </w:r>
      <w:r w:rsidR="00C06B54" w:rsidRPr="00C06B54">
        <w:rPr>
          <w:rFonts w:ascii="Arial" w:hAnsi="Arial" w:cs="Arial"/>
          <w:sz w:val="22"/>
          <w:szCs w:val="22"/>
        </w:rPr>
        <w:t xml:space="preserve">ulás mértéke az elő évi </w:t>
      </w:r>
      <w:r w:rsidRPr="00C06B54">
        <w:rPr>
          <w:rFonts w:ascii="Arial" w:hAnsi="Arial" w:cs="Arial"/>
          <w:b/>
          <w:sz w:val="22"/>
          <w:szCs w:val="22"/>
        </w:rPr>
        <w:t>46 210 600 Ft</w:t>
      </w:r>
      <w:r w:rsidR="00C06B54" w:rsidRPr="00C06B54">
        <w:rPr>
          <w:rFonts w:ascii="Arial" w:hAnsi="Arial" w:cs="Arial"/>
          <w:sz w:val="22"/>
          <w:szCs w:val="22"/>
        </w:rPr>
        <w:t xml:space="preserve">-ról </w:t>
      </w:r>
      <w:r w:rsidR="00C06B54" w:rsidRPr="00CF0C39">
        <w:rPr>
          <w:rFonts w:ascii="Arial" w:hAnsi="Arial" w:cs="Arial"/>
          <w:b/>
          <w:sz w:val="22"/>
          <w:szCs w:val="22"/>
        </w:rPr>
        <w:t>23 951 645 Ft-ra csökkent.</w:t>
      </w:r>
      <w:r w:rsidR="00C06B54" w:rsidRPr="00C06B54">
        <w:rPr>
          <w:rFonts w:ascii="Arial" w:hAnsi="Arial" w:cs="Arial"/>
          <w:sz w:val="22"/>
          <w:szCs w:val="22"/>
        </w:rPr>
        <w:t xml:space="preserve"> </w:t>
      </w:r>
    </w:p>
    <w:p w14:paraId="2B624671" w14:textId="77777777" w:rsidR="00C06B54" w:rsidRPr="00C06B54" w:rsidRDefault="00C06B54" w:rsidP="006325C2">
      <w:pPr>
        <w:spacing w:line="276" w:lineRule="auto"/>
        <w:jc w:val="both"/>
        <w:rPr>
          <w:rFonts w:ascii="Arial" w:hAnsi="Arial" w:cs="Arial"/>
          <w:sz w:val="22"/>
          <w:szCs w:val="22"/>
        </w:rPr>
      </w:pPr>
    </w:p>
    <w:p w14:paraId="743524AE" w14:textId="0325A811" w:rsidR="00C06B54" w:rsidRPr="00C06B54" w:rsidRDefault="00710636" w:rsidP="006325C2">
      <w:pPr>
        <w:spacing w:line="276" w:lineRule="auto"/>
        <w:jc w:val="both"/>
        <w:rPr>
          <w:rFonts w:ascii="Arial" w:hAnsi="Arial" w:cs="Arial"/>
          <w:sz w:val="22"/>
          <w:szCs w:val="22"/>
        </w:rPr>
      </w:pPr>
      <w:r>
        <w:rPr>
          <w:rFonts w:ascii="Arial" w:hAnsi="Arial" w:cs="Arial"/>
          <w:sz w:val="22"/>
          <w:szCs w:val="22"/>
        </w:rPr>
        <w:t>Ö</w:t>
      </w:r>
      <w:r w:rsidR="00C06B54">
        <w:rPr>
          <w:rFonts w:ascii="Arial" w:hAnsi="Arial" w:cs="Arial"/>
          <w:sz w:val="22"/>
          <w:szCs w:val="22"/>
        </w:rPr>
        <w:t>nkormányza</w:t>
      </w:r>
      <w:r w:rsidR="00E83AA0">
        <w:rPr>
          <w:rFonts w:ascii="Arial" w:hAnsi="Arial" w:cs="Arial"/>
          <w:sz w:val="22"/>
          <w:szCs w:val="22"/>
        </w:rPr>
        <w:t>tunk legnagyobb bevételi</w:t>
      </w:r>
      <w:r w:rsidR="00C06B54">
        <w:rPr>
          <w:rFonts w:ascii="Arial" w:hAnsi="Arial" w:cs="Arial"/>
          <w:sz w:val="22"/>
          <w:szCs w:val="22"/>
        </w:rPr>
        <w:t xml:space="preserve"> forrásá</w:t>
      </w:r>
      <w:r w:rsidR="00E83AA0">
        <w:rPr>
          <w:rFonts w:ascii="Arial" w:hAnsi="Arial" w:cs="Arial"/>
          <w:sz w:val="22"/>
          <w:szCs w:val="22"/>
        </w:rPr>
        <w:t xml:space="preserve">t jelentő állami támogatást és a központi költségvetésbe fizetendő szolidaritási hozzájárulást </w:t>
      </w:r>
      <w:r w:rsidR="00C06B54">
        <w:rPr>
          <w:rFonts w:ascii="Arial" w:hAnsi="Arial" w:cs="Arial"/>
          <w:sz w:val="22"/>
          <w:szCs w:val="22"/>
        </w:rPr>
        <w:t>az előző évvel összehasonlítva az alábbi táblázat szemlélteti:</w:t>
      </w:r>
    </w:p>
    <w:p w14:paraId="35CD19ED" w14:textId="77777777" w:rsidR="006325C2" w:rsidRPr="00AE7B18" w:rsidRDefault="006325C2" w:rsidP="006325C2">
      <w:pPr>
        <w:spacing w:line="276" w:lineRule="auto"/>
        <w:jc w:val="both"/>
        <w:rPr>
          <w:rFonts w:ascii="Arial" w:hAnsi="Arial" w:cs="Arial"/>
          <w:sz w:val="22"/>
          <w:szCs w:val="22"/>
          <w:highlight w:val="yellow"/>
        </w:rPr>
      </w:pPr>
    </w:p>
    <w:p w14:paraId="18687689" w14:textId="77777777" w:rsidR="006325C2" w:rsidRPr="00CD2AB0" w:rsidRDefault="00CF0C39" w:rsidP="004C1694">
      <w:pPr>
        <w:spacing w:line="276" w:lineRule="auto"/>
        <w:jc w:val="both"/>
        <w:rPr>
          <w:rFonts w:ascii="Arial" w:hAnsi="Arial" w:cs="Arial"/>
          <w:sz w:val="22"/>
          <w:szCs w:val="22"/>
        </w:rPr>
      </w:pPr>
      <w:r w:rsidRPr="00CD2AB0">
        <w:rPr>
          <w:noProof/>
          <w:lang w:eastAsia="hu-HU"/>
        </w:rPr>
        <w:drawing>
          <wp:inline distT="0" distB="0" distL="0" distR="0" wp14:anchorId="63F7D3AA" wp14:editId="35800264">
            <wp:extent cx="5760720" cy="4002472"/>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02472"/>
                    </a:xfrm>
                    <a:prstGeom prst="rect">
                      <a:avLst/>
                    </a:prstGeom>
                    <a:noFill/>
                    <a:ln>
                      <a:noFill/>
                    </a:ln>
                  </pic:spPr>
                </pic:pic>
              </a:graphicData>
            </a:graphic>
          </wp:inline>
        </w:drawing>
      </w:r>
    </w:p>
    <w:p w14:paraId="7A982CA6" w14:textId="77777777" w:rsidR="00CF0C39" w:rsidRDefault="00CF0C39" w:rsidP="004C1694">
      <w:pPr>
        <w:spacing w:line="276" w:lineRule="auto"/>
        <w:jc w:val="both"/>
        <w:rPr>
          <w:rFonts w:ascii="Arial" w:hAnsi="Arial" w:cs="Arial"/>
          <w:sz w:val="22"/>
          <w:szCs w:val="22"/>
          <w:highlight w:val="yellow"/>
        </w:rPr>
      </w:pPr>
    </w:p>
    <w:p w14:paraId="3AF5D610" w14:textId="00439712" w:rsidR="00CF0C39" w:rsidRDefault="008519DF" w:rsidP="004C1694">
      <w:pPr>
        <w:spacing w:line="276" w:lineRule="auto"/>
        <w:jc w:val="both"/>
        <w:rPr>
          <w:rFonts w:ascii="Arial" w:hAnsi="Arial" w:cs="Arial"/>
          <w:sz w:val="22"/>
          <w:szCs w:val="22"/>
        </w:rPr>
      </w:pPr>
      <w:r w:rsidRPr="008519DF">
        <w:rPr>
          <w:rFonts w:ascii="Arial" w:hAnsi="Arial" w:cs="Arial"/>
          <w:sz w:val="22"/>
          <w:szCs w:val="22"/>
        </w:rPr>
        <w:t>Ö</w:t>
      </w:r>
      <w:r>
        <w:rPr>
          <w:rFonts w:ascii="Arial" w:hAnsi="Arial" w:cs="Arial"/>
          <w:sz w:val="22"/>
          <w:szCs w:val="22"/>
        </w:rPr>
        <w:t xml:space="preserve">nkormányzatunk a 2023. évben </w:t>
      </w:r>
      <w:r w:rsidR="00581F5C">
        <w:rPr>
          <w:rFonts w:ascii="Arial" w:hAnsi="Arial" w:cs="Arial"/>
          <w:sz w:val="22"/>
          <w:szCs w:val="22"/>
        </w:rPr>
        <w:t xml:space="preserve">45 230 586 Ft-tal több állami támogatási bevétellel számolhat az eredeti előirányzat szintjén </w:t>
      </w:r>
      <w:r w:rsidR="005611CE">
        <w:rPr>
          <w:rFonts w:ascii="Arial" w:hAnsi="Arial" w:cs="Arial"/>
          <w:sz w:val="22"/>
          <w:szCs w:val="22"/>
        </w:rPr>
        <w:t>az előző évi tényleges támogatás</w:t>
      </w:r>
      <w:r w:rsidR="00581F5C">
        <w:rPr>
          <w:rFonts w:ascii="Arial" w:hAnsi="Arial" w:cs="Arial"/>
          <w:sz w:val="22"/>
          <w:szCs w:val="22"/>
        </w:rPr>
        <w:t xml:space="preserve">hoz képest. A pénzügyi lehetőségeinket bővíti a szolidaritási hozzájárulás 22 258 955 Ft összegű csökkenése, így közel 67,5 millió Ft-tal több központi költségvetési forrás áll rendelkezésünkre a bevételi oldalon. </w:t>
      </w:r>
    </w:p>
    <w:p w14:paraId="04220419" w14:textId="77777777" w:rsidR="003F0C3C" w:rsidRPr="008519DF" w:rsidRDefault="003F0C3C" w:rsidP="004C1694">
      <w:pPr>
        <w:spacing w:line="276" w:lineRule="auto"/>
        <w:jc w:val="both"/>
        <w:rPr>
          <w:rFonts w:ascii="Arial" w:hAnsi="Arial" w:cs="Arial"/>
          <w:sz w:val="22"/>
          <w:szCs w:val="22"/>
        </w:rPr>
      </w:pPr>
    </w:p>
    <w:p w14:paraId="24DE122B" w14:textId="33207CD5" w:rsidR="004653FF" w:rsidRPr="004653FF" w:rsidRDefault="003F0C3C" w:rsidP="004653FF">
      <w:pPr>
        <w:spacing w:line="276" w:lineRule="auto"/>
        <w:jc w:val="both"/>
        <w:rPr>
          <w:rFonts w:ascii="Arial" w:hAnsi="Arial" w:cs="Arial"/>
          <w:sz w:val="22"/>
          <w:szCs w:val="22"/>
        </w:rPr>
      </w:pPr>
      <w:r>
        <w:rPr>
          <w:rFonts w:ascii="Arial" w:hAnsi="Arial" w:cs="Arial"/>
          <w:sz w:val="22"/>
          <w:szCs w:val="22"/>
        </w:rPr>
        <w:t>A működésünk általános támogatására 11 millió Ft-ta</w:t>
      </w:r>
      <w:r w:rsidR="004653FF">
        <w:rPr>
          <w:rFonts w:ascii="Arial" w:hAnsi="Arial" w:cs="Arial"/>
          <w:sz w:val="22"/>
          <w:szCs w:val="22"/>
        </w:rPr>
        <w:t>l több központi forrás szerepel</w:t>
      </w:r>
      <w:r>
        <w:rPr>
          <w:rFonts w:ascii="Arial" w:hAnsi="Arial" w:cs="Arial"/>
          <w:sz w:val="22"/>
          <w:szCs w:val="22"/>
        </w:rPr>
        <w:t xml:space="preserve">, mint az előző évben. </w:t>
      </w:r>
      <w:r w:rsidR="004653FF">
        <w:rPr>
          <w:rFonts w:ascii="Arial" w:hAnsi="Arial" w:cs="Arial"/>
          <w:sz w:val="22"/>
          <w:szCs w:val="22"/>
        </w:rPr>
        <w:t>Ez az összeg több jogcímet (</w:t>
      </w:r>
      <w:r w:rsidR="004653FF" w:rsidRPr="004653FF">
        <w:rPr>
          <w:rFonts w:ascii="Arial" w:hAnsi="Arial" w:cs="Arial"/>
          <w:sz w:val="22"/>
          <w:szCs w:val="22"/>
        </w:rPr>
        <w:t>Önkormányzati hivatal működésének támogatása</w:t>
      </w:r>
      <w:r w:rsidR="004653FF">
        <w:rPr>
          <w:rFonts w:ascii="Arial" w:hAnsi="Arial" w:cs="Arial"/>
          <w:sz w:val="22"/>
          <w:szCs w:val="22"/>
        </w:rPr>
        <w:t>,</w:t>
      </w:r>
      <w:r w:rsidR="004653FF" w:rsidRPr="004653FF">
        <w:rPr>
          <w:rFonts w:ascii="Arial" w:hAnsi="Arial" w:cs="Arial"/>
          <w:sz w:val="22"/>
          <w:szCs w:val="22"/>
        </w:rPr>
        <w:t xml:space="preserve"> </w:t>
      </w:r>
      <w:r w:rsidR="004653FF">
        <w:rPr>
          <w:rFonts w:ascii="Arial" w:hAnsi="Arial" w:cs="Arial"/>
          <w:sz w:val="22"/>
          <w:szCs w:val="22"/>
        </w:rPr>
        <w:t>t</w:t>
      </w:r>
      <w:r w:rsidR="004653FF" w:rsidRPr="004653FF">
        <w:rPr>
          <w:rFonts w:ascii="Arial" w:hAnsi="Arial" w:cs="Arial"/>
          <w:sz w:val="22"/>
          <w:szCs w:val="22"/>
        </w:rPr>
        <w:t>elepülésüzemel</w:t>
      </w:r>
      <w:r w:rsidR="004653FF">
        <w:rPr>
          <w:rFonts w:ascii="Arial" w:hAnsi="Arial" w:cs="Arial"/>
          <w:sz w:val="22"/>
          <w:szCs w:val="22"/>
        </w:rPr>
        <w:t xml:space="preserve">tetés </w:t>
      </w:r>
      <w:r w:rsidR="004653FF" w:rsidRPr="004653FF">
        <w:rPr>
          <w:rFonts w:ascii="Arial" w:hAnsi="Arial" w:cs="Arial"/>
          <w:sz w:val="22"/>
          <w:szCs w:val="22"/>
        </w:rPr>
        <w:t>támogatása</w:t>
      </w:r>
      <w:r w:rsidR="004653FF">
        <w:rPr>
          <w:rFonts w:ascii="Arial" w:hAnsi="Arial" w:cs="Arial"/>
          <w:sz w:val="22"/>
          <w:szCs w:val="22"/>
        </w:rPr>
        <w:t>,</w:t>
      </w:r>
      <w:r w:rsidR="004653FF" w:rsidRPr="004653FF">
        <w:t xml:space="preserve"> </w:t>
      </w:r>
      <w:r w:rsidR="004653FF">
        <w:rPr>
          <w:rFonts w:ascii="Arial" w:hAnsi="Arial" w:cs="Arial"/>
          <w:sz w:val="22"/>
          <w:szCs w:val="22"/>
        </w:rPr>
        <w:t>e</w:t>
      </w:r>
      <w:r w:rsidR="004653FF" w:rsidRPr="004653FF">
        <w:rPr>
          <w:rFonts w:ascii="Arial" w:hAnsi="Arial" w:cs="Arial"/>
          <w:sz w:val="22"/>
          <w:szCs w:val="22"/>
        </w:rPr>
        <w:t>gyéb önkormányzati feladatok támogatása</w:t>
      </w:r>
      <w:r w:rsidR="004653FF">
        <w:rPr>
          <w:rFonts w:ascii="Arial" w:hAnsi="Arial" w:cs="Arial"/>
          <w:sz w:val="22"/>
          <w:szCs w:val="22"/>
        </w:rPr>
        <w:t>,</w:t>
      </w:r>
      <w:r w:rsidR="004653FF" w:rsidRPr="004653FF">
        <w:t xml:space="preserve"> </w:t>
      </w:r>
      <w:r w:rsidR="004653FF">
        <w:rPr>
          <w:rFonts w:ascii="Arial" w:hAnsi="Arial" w:cs="Arial"/>
          <w:sz w:val="22"/>
          <w:szCs w:val="22"/>
        </w:rPr>
        <w:t>l</w:t>
      </w:r>
      <w:r w:rsidR="004653FF" w:rsidRPr="004653FF">
        <w:rPr>
          <w:rFonts w:ascii="Arial" w:hAnsi="Arial" w:cs="Arial"/>
          <w:sz w:val="22"/>
          <w:szCs w:val="22"/>
        </w:rPr>
        <w:t>akott külterülettel kapcsolatos feladatok támogatása</w:t>
      </w:r>
      <w:r w:rsidR="00204800">
        <w:rPr>
          <w:rFonts w:ascii="Arial" w:hAnsi="Arial" w:cs="Arial"/>
          <w:sz w:val="22"/>
          <w:szCs w:val="22"/>
        </w:rPr>
        <w:t xml:space="preserve">) érint. A KÖH fenntartására </w:t>
      </w:r>
      <w:r w:rsidR="00204800" w:rsidRPr="00204800">
        <w:rPr>
          <w:rFonts w:ascii="Arial" w:hAnsi="Arial" w:cs="Arial"/>
          <w:sz w:val="22"/>
          <w:szCs w:val="22"/>
        </w:rPr>
        <w:t>866</w:t>
      </w:r>
      <w:r w:rsidR="00204800">
        <w:rPr>
          <w:rFonts w:ascii="Arial" w:hAnsi="Arial" w:cs="Arial"/>
          <w:sz w:val="22"/>
          <w:szCs w:val="22"/>
        </w:rPr>
        <w:t> </w:t>
      </w:r>
      <w:r w:rsidR="00204800" w:rsidRPr="00204800">
        <w:rPr>
          <w:rFonts w:ascii="Arial" w:hAnsi="Arial" w:cs="Arial"/>
          <w:sz w:val="22"/>
          <w:szCs w:val="22"/>
        </w:rPr>
        <w:t>281</w:t>
      </w:r>
      <w:r w:rsidR="00204800">
        <w:rPr>
          <w:rFonts w:ascii="Arial" w:hAnsi="Arial" w:cs="Arial"/>
          <w:sz w:val="22"/>
          <w:szCs w:val="22"/>
        </w:rPr>
        <w:t xml:space="preserve"> Ft-tal kevesebb forrást lehet figyelembe vennünk, a többi jogcím esetén 2-5 % közötti a növekedés, továbbá </w:t>
      </w:r>
      <w:r w:rsidR="00A351F3">
        <w:rPr>
          <w:rFonts w:ascii="Arial" w:hAnsi="Arial" w:cs="Arial"/>
          <w:sz w:val="22"/>
          <w:szCs w:val="22"/>
        </w:rPr>
        <w:t xml:space="preserve">új elemként </w:t>
      </w:r>
      <w:r w:rsidR="00204800">
        <w:rPr>
          <w:rFonts w:ascii="Arial" w:hAnsi="Arial" w:cs="Arial"/>
          <w:sz w:val="22"/>
          <w:szCs w:val="22"/>
        </w:rPr>
        <w:t xml:space="preserve">beépült a </w:t>
      </w:r>
      <w:proofErr w:type="gramStart"/>
      <w:r w:rsidR="00204800">
        <w:rPr>
          <w:rFonts w:ascii="Arial" w:hAnsi="Arial" w:cs="Arial"/>
          <w:sz w:val="22"/>
          <w:szCs w:val="22"/>
        </w:rPr>
        <w:t>finanszírozásba</w:t>
      </w:r>
      <w:proofErr w:type="gramEnd"/>
      <w:r w:rsidR="00204800">
        <w:rPr>
          <w:rFonts w:ascii="Arial" w:hAnsi="Arial" w:cs="Arial"/>
          <w:sz w:val="22"/>
          <w:szCs w:val="22"/>
        </w:rPr>
        <w:t xml:space="preserve"> a közvilágítás fenntartására </w:t>
      </w:r>
      <w:r w:rsidR="00204800" w:rsidRPr="00204800">
        <w:rPr>
          <w:rFonts w:ascii="Arial" w:hAnsi="Arial" w:cs="Arial"/>
          <w:sz w:val="22"/>
          <w:szCs w:val="22"/>
        </w:rPr>
        <w:t>12 190</w:t>
      </w:r>
      <w:r w:rsidR="00204800">
        <w:rPr>
          <w:rFonts w:ascii="Arial" w:hAnsi="Arial" w:cs="Arial"/>
          <w:sz w:val="22"/>
          <w:szCs w:val="22"/>
        </w:rPr>
        <w:t> </w:t>
      </w:r>
      <w:r w:rsidR="00204800" w:rsidRPr="00204800">
        <w:rPr>
          <w:rFonts w:ascii="Arial" w:hAnsi="Arial" w:cs="Arial"/>
          <w:sz w:val="22"/>
          <w:szCs w:val="22"/>
        </w:rPr>
        <w:t>000</w:t>
      </w:r>
      <w:r w:rsidR="00204800">
        <w:rPr>
          <w:rFonts w:ascii="Arial" w:hAnsi="Arial" w:cs="Arial"/>
          <w:sz w:val="22"/>
          <w:szCs w:val="22"/>
        </w:rPr>
        <w:t xml:space="preserve"> Ft pótlólagos forrás, így e feladatra a </w:t>
      </w:r>
      <w:r w:rsidR="00204800" w:rsidRPr="00204800">
        <w:rPr>
          <w:rFonts w:ascii="Arial" w:hAnsi="Arial" w:cs="Arial"/>
          <w:sz w:val="22"/>
          <w:szCs w:val="22"/>
        </w:rPr>
        <w:t>14 204</w:t>
      </w:r>
      <w:r w:rsidR="00204800">
        <w:rPr>
          <w:rFonts w:ascii="Arial" w:hAnsi="Arial" w:cs="Arial"/>
          <w:sz w:val="22"/>
          <w:szCs w:val="22"/>
        </w:rPr>
        <w:t> </w:t>
      </w:r>
      <w:r w:rsidR="00204800" w:rsidRPr="00204800">
        <w:rPr>
          <w:rFonts w:ascii="Arial" w:hAnsi="Arial" w:cs="Arial"/>
          <w:sz w:val="22"/>
          <w:szCs w:val="22"/>
        </w:rPr>
        <w:t>000</w:t>
      </w:r>
      <w:r w:rsidR="00204800">
        <w:rPr>
          <w:rFonts w:ascii="Arial" w:hAnsi="Arial" w:cs="Arial"/>
          <w:sz w:val="22"/>
          <w:szCs w:val="22"/>
        </w:rPr>
        <w:t xml:space="preserve"> Ft összegű „alapnormatívával” együtt </w:t>
      </w:r>
      <w:r w:rsidR="00204800" w:rsidRPr="00204800">
        <w:rPr>
          <w:rFonts w:ascii="Arial" w:hAnsi="Arial" w:cs="Arial"/>
          <w:sz w:val="22"/>
          <w:szCs w:val="22"/>
        </w:rPr>
        <w:t>26 394</w:t>
      </w:r>
      <w:r w:rsidR="00204800">
        <w:rPr>
          <w:rFonts w:ascii="Arial" w:hAnsi="Arial" w:cs="Arial"/>
          <w:sz w:val="22"/>
          <w:szCs w:val="22"/>
        </w:rPr>
        <w:t> </w:t>
      </w:r>
      <w:r w:rsidR="00204800" w:rsidRPr="00204800">
        <w:rPr>
          <w:rFonts w:ascii="Arial" w:hAnsi="Arial" w:cs="Arial"/>
          <w:sz w:val="22"/>
          <w:szCs w:val="22"/>
        </w:rPr>
        <w:t>000</w:t>
      </w:r>
      <w:r w:rsidR="00204800">
        <w:rPr>
          <w:rFonts w:ascii="Arial" w:hAnsi="Arial" w:cs="Arial"/>
          <w:sz w:val="22"/>
          <w:szCs w:val="22"/>
        </w:rPr>
        <w:t xml:space="preserve"> Ft áll rendelkezésre.</w:t>
      </w:r>
    </w:p>
    <w:p w14:paraId="3B099298" w14:textId="4F6EFBDB" w:rsidR="00CF0C39" w:rsidRPr="0093310A" w:rsidRDefault="00CF0C39" w:rsidP="003F0C3C">
      <w:pPr>
        <w:spacing w:line="276" w:lineRule="auto"/>
        <w:jc w:val="both"/>
        <w:rPr>
          <w:rFonts w:ascii="Arial" w:hAnsi="Arial" w:cs="Arial"/>
          <w:sz w:val="22"/>
          <w:szCs w:val="22"/>
        </w:rPr>
      </w:pPr>
    </w:p>
    <w:p w14:paraId="7949994C" w14:textId="6FC0B7FC" w:rsidR="00CF0C39" w:rsidRDefault="00733F5A" w:rsidP="004C1694">
      <w:pPr>
        <w:spacing w:line="276" w:lineRule="auto"/>
        <w:jc w:val="both"/>
        <w:rPr>
          <w:rFonts w:ascii="Arial" w:hAnsi="Arial" w:cs="Arial"/>
          <w:sz w:val="22"/>
          <w:szCs w:val="22"/>
        </w:rPr>
      </w:pPr>
      <w:r>
        <w:rPr>
          <w:rFonts w:ascii="Arial" w:hAnsi="Arial" w:cs="Arial"/>
          <w:sz w:val="22"/>
          <w:szCs w:val="22"/>
        </w:rPr>
        <w:t>Az egyes köznevelési feladatain</w:t>
      </w:r>
      <w:r w:rsidRPr="00733F5A">
        <w:rPr>
          <w:rFonts w:ascii="Arial" w:hAnsi="Arial" w:cs="Arial"/>
          <w:sz w:val="22"/>
          <w:szCs w:val="22"/>
        </w:rPr>
        <w:t>k támogatása</w:t>
      </w:r>
      <w:r>
        <w:rPr>
          <w:rFonts w:ascii="Arial" w:hAnsi="Arial" w:cs="Arial"/>
          <w:sz w:val="22"/>
          <w:szCs w:val="22"/>
        </w:rPr>
        <w:t xml:space="preserve"> mintegy 7,8 millió Ft-tal növekedett az előző évi tényszámhoz képest, </w:t>
      </w:r>
      <w:r w:rsidR="003C2235">
        <w:rPr>
          <w:rFonts w:ascii="Arial" w:hAnsi="Arial" w:cs="Arial"/>
          <w:sz w:val="22"/>
          <w:szCs w:val="22"/>
        </w:rPr>
        <w:t xml:space="preserve">ami </w:t>
      </w:r>
      <w:r>
        <w:rPr>
          <w:rFonts w:ascii="Arial" w:hAnsi="Arial" w:cs="Arial"/>
          <w:sz w:val="22"/>
          <w:szCs w:val="22"/>
        </w:rPr>
        <w:t>alapvetően az óvodaműködtetési kiadásokra elismert támogatás emelkedésével függ össze.</w:t>
      </w:r>
    </w:p>
    <w:p w14:paraId="6140E926" w14:textId="77777777" w:rsidR="00C75570" w:rsidRDefault="00C75570" w:rsidP="004C1694">
      <w:pPr>
        <w:spacing w:line="276" w:lineRule="auto"/>
        <w:jc w:val="both"/>
        <w:rPr>
          <w:rFonts w:ascii="Arial" w:hAnsi="Arial" w:cs="Arial"/>
          <w:sz w:val="22"/>
          <w:szCs w:val="22"/>
          <w:highlight w:val="yellow"/>
        </w:rPr>
      </w:pPr>
    </w:p>
    <w:p w14:paraId="178AEEC6" w14:textId="61443E2E" w:rsidR="00CF0C39" w:rsidRDefault="00C75570" w:rsidP="004C1694">
      <w:pPr>
        <w:spacing w:line="276" w:lineRule="auto"/>
        <w:jc w:val="both"/>
        <w:rPr>
          <w:rFonts w:ascii="Arial" w:hAnsi="Arial" w:cs="Arial"/>
          <w:sz w:val="22"/>
          <w:szCs w:val="22"/>
        </w:rPr>
      </w:pPr>
      <w:r w:rsidRPr="00C75570">
        <w:rPr>
          <w:rFonts w:ascii="Arial" w:hAnsi="Arial" w:cs="Arial"/>
          <w:sz w:val="22"/>
          <w:szCs w:val="22"/>
        </w:rPr>
        <w:t>Szociális feladatellátás</w:t>
      </w:r>
      <w:r w:rsidR="00324F0B">
        <w:rPr>
          <w:rFonts w:ascii="Arial" w:hAnsi="Arial" w:cs="Arial"/>
          <w:sz w:val="22"/>
          <w:szCs w:val="22"/>
        </w:rPr>
        <w:t>ra közel 2 millió Ft-tal kevesebb forrással számolhatunk, a változás elsősorban a szoci</w:t>
      </w:r>
      <w:r w:rsidR="00C82258">
        <w:rPr>
          <w:rFonts w:ascii="Arial" w:hAnsi="Arial" w:cs="Arial"/>
          <w:sz w:val="22"/>
          <w:szCs w:val="22"/>
        </w:rPr>
        <w:t>ális étkezők számának csökkenése</w:t>
      </w:r>
      <w:r w:rsidR="00324F0B">
        <w:rPr>
          <w:rFonts w:ascii="Arial" w:hAnsi="Arial" w:cs="Arial"/>
          <w:sz w:val="22"/>
          <w:szCs w:val="22"/>
        </w:rPr>
        <w:t xml:space="preserve"> miatt következett be.</w:t>
      </w:r>
    </w:p>
    <w:p w14:paraId="4996592E" w14:textId="77777777" w:rsidR="00324F0B" w:rsidRDefault="00324F0B" w:rsidP="00324F0B">
      <w:pPr>
        <w:spacing w:line="276" w:lineRule="auto"/>
        <w:jc w:val="both"/>
        <w:rPr>
          <w:rFonts w:ascii="Arial" w:hAnsi="Arial" w:cs="Arial"/>
          <w:sz w:val="22"/>
          <w:szCs w:val="22"/>
        </w:rPr>
      </w:pPr>
    </w:p>
    <w:p w14:paraId="3AADEBAA" w14:textId="7E909047" w:rsidR="00324F0B" w:rsidRDefault="00324F0B" w:rsidP="00324F0B">
      <w:pPr>
        <w:spacing w:line="276" w:lineRule="auto"/>
        <w:jc w:val="both"/>
        <w:rPr>
          <w:rFonts w:ascii="Arial" w:hAnsi="Arial" w:cs="Arial"/>
          <w:sz w:val="22"/>
          <w:szCs w:val="22"/>
        </w:rPr>
      </w:pPr>
      <w:r w:rsidRPr="00324F0B">
        <w:rPr>
          <w:rFonts w:ascii="Arial" w:hAnsi="Arial" w:cs="Arial"/>
          <w:sz w:val="22"/>
          <w:szCs w:val="22"/>
        </w:rPr>
        <w:t>Bölcsőde</w:t>
      </w:r>
      <w:r>
        <w:rPr>
          <w:rFonts w:ascii="Arial" w:hAnsi="Arial" w:cs="Arial"/>
          <w:sz w:val="22"/>
          <w:szCs w:val="22"/>
        </w:rPr>
        <w:t>i feladatellátásra mintegy 3 millió Ft az emelkedés, mely bértámogatáshoz, illetve üzemeltetési támogatáshoz kapcsolódik.</w:t>
      </w:r>
    </w:p>
    <w:p w14:paraId="0AFBED55" w14:textId="7DCC7AF7" w:rsidR="003B2D24" w:rsidRDefault="003B2D24" w:rsidP="00324F0B">
      <w:pPr>
        <w:spacing w:line="276" w:lineRule="auto"/>
        <w:jc w:val="both"/>
        <w:rPr>
          <w:rFonts w:ascii="Arial" w:hAnsi="Arial" w:cs="Arial"/>
          <w:sz w:val="22"/>
          <w:szCs w:val="22"/>
        </w:rPr>
      </w:pPr>
    </w:p>
    <w:p w14:paraId="28965290" w14:textId="327697B6" w:rsidR="003B2D24" w:rsidRDefault="003B2D24" w:rsidP="00324F0B">
      <w:pPr>
        <w:spacing w:line="276" w:lineRule="auto"/>
        <w:jc w:val="both"/>
        <w:rPr>
          <w:rFonts w:ascii="Arial" w:hAnsi="Arial" w:cs="Arial"/>
          <w:sz w:val="22"/>
          <w:szCs w:val="22"/>
        </w:rPr>
      </w:pPr>
      <w:r>
        <w:rPr>
          <w:rFonts w:ascii="Arial" w:hAnsi="Arial" w:cs="Arial"/>
          <w:sz w:val="22"/>
          <w:szCs w:val="22"/>
        </w:rPr>
        <w:t xml:space="preserve">A gyermekétkeztetési feladataink támogatására 100 millió Ft-ot meghaladó a normatív támogatás, 21,5 millió Ft növekedés következett be, mely az üzemeltetési többletkiadások </w:t>
      </w:r>
      <w:proofErr w:type="gramStart"/>
      <w:r>
        <w:rPr>
          <w:rFonts w:ascii="Arial" w:hAnsi="Arial" w:cs="Arial"/>
          <w:sz w:val="22"/>
          <w:szCs w:val="22"/>
        </w:rPr>
        <w:t>finanszírozása</w:t>
      </w:r>
      <w:proofErr w:type="gramEnd"/>
      <w:r>
        <w:rPr>
          <w:rFonts w:ascii="Arial" w:hAnsi="Arial" w:cs="Arial"/>
          <w:sz w:val="22"/>
          <w:szCs w:val="22"/>
        </w:rPr>
        <w:t>ként került megítélésre.</w:t>
      </w:r>
    </w:p>
    <w:p w14:paraId="0AA6F903" w14:textId="42AB9E0A" w:rsidR="007945B3" w:rsidRDefault="007945B3" w:rsidP="00324F0B">
      <w:pPr>
        <w:spacing w:line="276" w:lineRule="auto"/>
        <w:jc w:val="both"/>
        <w:rPr>
          <w:rFonts w:ascii="Arial" w:hAnsi="Arial" w:cs="Arial"/>
          <w:sz w:val="22"/>
          <w:szCs w:val="22"/>
        </w:rPr>
      </w:pPr>
    </w:p>
    <w:p w14:paraId="4CDAB714" w14:textId="29C61852" w:rsidR="007945B3" w:rsidRPr="00324F0B" w:rsidRDefault="007945B3" w:rsidP="00324F0B">
      <w:pPr>
        <w:spacing w:line="276" w:lineRule="auto"/>
        <w:jc w:val="both"/>
        <w:rPr>
          <w:rFonts w:ascii="Arial" w:hAnsi="Arial" w:cs="Arial"/>
          <w:sz w:val="22"/>
          <w:szCs w:val="22"/>
          <w:highlight w:val="yellow"/>
        </w:rPr>
      </w:pPr>
      <w:r>
        <w:rPr>
          <w:rFonts w:ascii="Arial" w:hAnsi="Arial" w:cs="Arial"/>
          <w:sz w:val="22"/>
          <w:szCs w:val="22"/>
        </w:rPr>
        <w:t xml:space="preserve">Kulturális feladataink támogatására </w:t>
      </w:r>
      <w:r w:rsidRPr="007945B3">
        <w:rPr>
          <w:rFonts w:ascii="Arial" w:hAnsi="Arial" w:cs="Arial"/>
          <w:sz w:val="22"/>
          <w:szCs w:val="22"/>
        </w:rPr>
        <w:t>18 058</w:t>
      </w:r>
      <w:r>
        <w:rPr>
          <w:rFonts w:ascii="Arial" w:hAnsi="Arial" w:cs="Arial"/>
          <w:sz w:val="22"/>
          <w:szCs w:val="22"/>
        </w:rPr>
        <w:t> </w:t>
      </w:r>
      <w:r w:rsidRPr="007945B3">
        <w:rPr>
          <w:rFonts w:ascii="Arial" w:hAnsi="Arial" w:cs="Arial"/>
          <w:sz w:val="22"/>
          <w:szCs w:val="22"/>
        </w:rPr>
        <w:t>356</w:t>
      </w:r>
      <w:r>
        <w:rPr>
          <w:rFonts w:ascii="Arial" w:hAnsi="Arial" w:cs="Arial"/>
          <w:sz w:val="22"/>
          <w:szCs w:val="22"/>
        </w:rPr>
        <w:t xml:space="preserve"> Ft központi költségvetési fedezet áll rendelkezésünkre, ez az összeg közel 3,9 millió Ft-tal magasabb az előző évinél. </w:t>
      </w:r>
      <w:r w:rsidR="00AA7C3B">
        <w:rPr>
          <w:rFonts w:ascii="Arial" w:hAnsi="Arial" w:cs="Arial"/>
          <w:sz w:val="22"/>
          <w:szCs w:val="22"/>
        </w:rPr>
        <w:t>Az elmúlt évben a kulturális ágazatban megvalósult bérfejlesztés fedezete pályázat útján volt elérhető, ez évben a normatívába került beépítésre.</w:t>
      </w:r>
    </w:p>
    <w:p w14:paraId="735481E7" w14:textId="2A3CEEBD" w:rsidR="00C06B54" w:rsidRPr="00AE7B18" w:rsidRDefault="00C06B54" w:rsidP="00110DD6">
      <w:pPr>
        <w:spacing w:line="276" w:lineRule="auto"/>
        <w:jc w:val="both"/>
        <w:rPr>
          <w:rFonts w:ascii="Arial" w:hAnsi="Arial" w:cs="Arial"/>
          <w:sz w:val="22"/>
          <w:szCs w:val="22"/>
          <w:highlight w:val="yellow"/>
        </w:rPr>
      </w:pPr>
    </w:p>
    <w:p w14:paraId="1C7BE4B1" w14:textId="6EE25E42" w:rsidR="00884C78" w:rsidRPr="005F74F7" w:rsidRDefault="00110DD6" w:rsidP="006325C2">
      <w:pPr>
        <w:spacing w:line="276" w:lineRule="auto"/>
        <w:jc w:val="both"/>
        <w:rPr>
          <w:rFonts w:ascii="Arial" w:hAnsi="Arial" w:cs="Arial"/>
          <w:sz w:val="22"/>
          <w:szCs w:val="22"/>
        </w:rPr>
      </w:pPr>
      <w:r w:rsidRPr="007F2E54">
        <w:rPr>
          <w:rFonts w:ascii="Arial" w:hAnsi="Arial" w:cs="Arial"/>
          <w:b/>
          <w:i/>
          <w:sz w:val="22"/>
          <w:szCs w:val="22"/>
          <w:u w:val="single"/>
        </w:rPr>
        <w:t>Az e</w:t>
      </w:r>
      <w:r w:rsidR="006325C2" w:rsidRPr="007F2E54">
        <w:rPr>
          <w:rFonts w:ascii="Arial" w:hAnsi="Arial" w:cs="Arial"/>
          <w:b/>
          <w:i/>
          <w:sz w:val="22"/>
          <w:szCs w:val="22"/>
          <w:u w:val="single"/>
        </w:rPr>
        <w:t>gyéb műkö</w:t>
      </w:r>
      <w:r w:rsidRPr="007F2E54">
        <w:rPr>
          <w:rFonts w:ascii="Arial" w:hAnsi="Arial" w:cs="Arial"/>
          <w:b/>
          <w:i/>
          <w:sz w:val="22"/>
          <w:szCs w:val="22"/>
          <w:u w:val="single"/>
        </w:rPr>
        <w:t>dési célú támogatások bevételei</w:t>
      </w:r>
      <w:r w:rsidRPr="005F74F7">
        <w:rPr>
          <w:rFonts w:ascii="Arial" w:hAnsi="Arial" w:cs="Arial"/>
          <w:i/>
          <w:sz w:val="22"/>
          <w:szCs w:val="22"/>
        </w:rPr>
        <w:t xml:space="preserve"> előirányzat összege </w:t>
      </w:r>
      <w:r w:rsidR="006C513A">
        <w:rPr>
          <w:rFonts w:ascii="Arial" w:hAnsi="Arial" w:cs="Arial"/>
          <w:b/>
          <w:i/>
          <w:sz w:val="22"/>
          <w:szCs w:val="22"/>
        </w:rPr>
        <w:t>122 319 900</w:t>
      </w:r>
      <w:r w:rsidRPr="00232A21">
        <w:rPr>
          <w:rFonts w:ascii="Arial" w:hAnsi="Arial" w:cs="Arial"/>
          <w:b/>
          <w:i/>
          <w:sz w:val="22"/>
          <w:szCs w:val="22"/>
        </w:rPr>
        <w:t xml:space="preserve"> Ft.</w:t>
      </w:r>
      <w:r w:rsidRPr="005F74F7">
        <w:rPr>
          <w:rFonts w:ascii="Arial" w:hAnsi="Arial" w:cs="Arial"/>
          <w:i/>
          <w:sz w:val="22"/>
          <w:szCs w:val="22"/>
        </w:rPr>
        <w:t xml:space="preserve"> </w:t>
      </w:r>
    </w:p>
    <w:p w14:paraId="0C08726F" w14:textId="425D019C" w:rsidR="006325C2" w:rsidRPr="00232A21" w:rsidRDefault="005F74F7" w:rsidP="006325C2">
      <w:pPr>
        <w:spacing w:line="276" w:lineRule="auto"/>
        <w:jc w:val="both"/>
        <w:rPr>
          <w:rFonts w:ascii="Arial" w:hAnsi="Arial" w:cs="Arial"/>
          <w:sz w:val="22"/>
          <w:szCs w:val="22"/>
        </w:rPr>
      </w:pPr>
      <w:r w:rsidRPr="005F74F7">
        <w:rPr>
          <w:rFonts w:ascii="Arial" w:hAnsi="Arial" w:cs="Arial"/>
          <w:sz w:val="22"/>
          <w:szCs w:val="22"/>
        </w:rPr>
        <w:t>Itt jelenik meg a</w:t>
      </w:r>
      <w:r w:rsidR="00F671CE">
        <w:rPr>
          <w:rFonts w:ascii="Arial" w:hAnsi="Arial" w:cs="Arial"/>
          <w:sz w:val="22"/>
          <w:szCs w:val="22"/>
        </w:rPr>
        <w:t>z önkormányzatnál a</w:t>
      </w:r>
      <w:r w:rsidRPr="005F74F7">
        <w:rPr>
          <w:rFonts w:ascii="Arial" w:hAnsi="Arial" w:cs="Arial"/>
          <w:sz w:val="22"/>
          <w:szCs w:val="22"/>
        </w:rPr>
        <w:t xml:space="preserve"> TETT-</w:t>
      </w:r>
      <w:proofErr w:type="spellStart"/>
      <w:r w:rsidRPr="005F74F7">
        <w:rPr>
          <w:rFonts w:ascii="Arial" w:hAnsi="Arial" w:cs="Arial"/>
          <w:sz w:val="22"/>
          <w:szCs w:val="22"/>
        </w:rPr>
        <w:t>től</w:t>
      </w:r>
      <w:proofErr w:type="spellEnd"/>
      <w:r w:rsidRPr="005F74F7">
        <w:rPr>
          <w:rFonts w:ascii="Arial" w:hAnsi="Arial" w:cs="Arial"/>
          <w:sz w:val="22"/>
          <w:szCs w:val="22"/>
        </w:rPr>
        <w:t xml:space="preserve"> a </w:t>
      </w:r>
      <w:r w:rsidR="006325C2" w:rsidRPr="005F74F7">
        <w:rPr>
          <w:rFonts w:ascii="Arial" w:hAnsi="Arial" w:cs="Arial"/>
          <w:sz w:val="22"/>
          <w:szCs w:val="22"/>
        </w:rPr>
        <w:t>működési</w:t>
      </w:r>
      <w:r w:rsidR="007F7A97">
        <w:rPr>
          <w:rFonts w:ascii="Arial" w:hAnsi="Arial" w:cs="Arial"/>
          <w:sz w:val="22"/>
          <w:szCs w:val="22"/>
        </w:rPr>
        <w:t xml:space="preserve"> kiadásokra biztosított 80 </w:t>
      </w:r>
      <w:r w:rsidRPr="005F74F7">
        <w:rPr>
          <w:rFonts w:ascii="Arial" w:hAnsi="Arial" w:cs="Arial"/>
          <w:sz w:val="22"/>
          <w:szCs w:val="22"/>
        </w:rPr>
        <w:t>075 000</w:t>
      </w:r>
      <w:r w:rsidR="006325C2" w:rsidRPr="005F74F7">
        <w:rPr>
          <w:rFonts w:ascii="Arial" w:hAnsi="Arial" w:cs="Arial"/>
          <w:sz w:val="22"/>
          <w:szCs w:val="22"/>
        </w:rPr>
        <w:t xml:space="preserve"> Ft </w:t>
      </w:r>
      <w:r w:rsidRPr="005F74F7">
        <w:rPr>
          <w:rFonts w:ascii="Arial" w:hAnsi="Arial" w:cs="Arial"/>
          <w:sz w:val="22"/>
          <w:szCs w:val="22"/>
        </w:rPr>
        <w:t>támogatás,</w:t>
      </w:r>
      <w:r w:rsidR="006325C2" w:rsidRPr="005F74F7">
        <w:rPr>
          <w:rFonts w:ascii="Arial" w:hAnsi="Arial" w:cs="Arial"/>
          <w:sz w:val="22"/>
          <w:szCs w:val="22"/>
        </w:rPr>
        <w:t xml:space="preserve"> mely</w:t>
      </w:r>
      <w:r w:rsidR="007F2E54">
        <w:rPr>
          <w:rFonts w:ascii="Arial" w:hAnsi="Arial" w:cs="Arial"/>
          <w:sz w:val="22"/>
          <w:szCs w:val="22"/>
        </w:rPr>
        <w:t xml:space="preserve">nek </w:t>
      </w:r>
      <w:r w:rsidRPr="005F74F7">
        <w:rPr>
          <w:rFonts w:ascii="Arial" w:hAnsi="Arial" w:cs="Arial"/>
          <w:sz w:val="22"/>
          <w:szCs w:val="22"/>
        </w:rPr>
        <w:t xml:space="preserve">összege nem változott az előző évhez képest. Az orvosi rendelőre a NEAK támogatást 19 000 000 Ft-tal terveztük. </w:t>
      </w:r>
      <w:r w:rsidRPr="005F74F7">
        <w:rPr>
          <w:rFonts w:ascii="Arial" w:hAnsi="Arial" w:cs="Arial"/>
          <w:i/>
          <w:sz w:val="22"/>
          <w:szCs w:val="22"/>
        </w:rPr>
        <w:t>A</w:t>
      </w:r>
      <w:r w:rsidR="006325C2" w:rsidRPr="005F74F7">
        <w:rPr>
          <w:rFonts w:ascii="Arial" w:hAnsi="Arial" w:cs="Arial"/>
          <w:sz w:val="22"/>
          <w:szCs w:val="22"/>
        </w:rPr>
        <w:t xml:space="preserve"> foly</w:t>
      </w:r>
      <w:r w:rsidRPr="005F74F7">
        <w:rPr>
          <w:rFonts w:ascii="Arial" w:hAnsi="Arial" w:cs="Arial"/>
          <w:sz w:val="22"/>
          <w:szCs w:val="22"/>
        </w:rPr>
        <w:t xml:space="preserve">amatban lévő közfoglalkoztatáshoz </w:t>
      </w:r>
      <w:r w:rsidR="00F671CE">
        <w:rPr>
          <w:rFonts w:ascii="Arial" w:hAnsi="Arial" w:cs="Arial"/>
          <w:sz w:val="22"/>
          <w:szCs w:val="22"/>
        </w:rPr>
        <w:t xml:space="preserve">            </w:t>
      </w:r>
      <w:r w:rsidRPr="005F74F7">
        <w:rPr>
          <w:rFonts w:ascii="Arial" w:hAnsi="Arial" w:cs="Arial"/>
          <w:sz w:val="22"/>
          <w:szCs w:val="22"/>
        </w:rPr>
        <w:t>1 293</w:t>
      </w:r>
      <w:r>
        <w:rPr>
          <w:rFonts w:ascii="Arial" w:hAnsi="Arial" w:cs="Arial"/>
          <w:sz w:val="22"/>
          <w:szCs w:val="22"/>
        </w:rPr>
        <w:t> </w:t>
      </w:r>
      <w:r w:rsidRPr="005F74F7">
        <w:rPr>
          <w:rFonts w:ascii="Arial" w:hAnsi="Arial" w:cs="Arial"/>
          <w:sz w:val="22"/>
          <w:szCs w:val="22"/>
        </w:rPr>
        <w:t>000</w:t>
      </w:r>
      <w:r>
        <w:rPr>
          <w:rFonts w:ascii="Arial" w:hAnsi="Arial" w:cs="Arial"/>
          <w:sz w:val="22"/>
          <w:szCs w:val="22"/>
        </w:rPr>
        <w:t xml:space="preserve"> </w:t>
      </w:r>
      <w:r w:rsidR="007F2E54">
        <w:rPr>
          <w:rFonts w:ascii="Arial" w:hAnsi="Arial" w:cs="Arial"/>
          <w:sz w:val="22"/>
          <w:szCs w:val="22"/>
        </w:rPr>
        <w:t>Ft forrással</w:t>
      </w:r>
      <w:r w:rsidR="00120872">
        <w:rPr>
          <w:rFonts w:ascii="Arial" w:hAnsi="Arial" w:cs="Arial"/>
          <w:sz w:val="22"/>
          <w:szCs w:val="22"/>
        </w:rPr>
        <w:t xml:space="preserve"> </w:t>
      </w:r>
      <w:proofErr w:type="gramStart"/>
      <w:r w:rsidR="00232A21">
        <w:rPr>
          <w:rFonts w:ascii="Arial" w:hAnsi="Arial" w:cs="Arial"/>
          <w:sz w:val="22"/>
          <w:szCs w:val="22"/>
        </w:rPr>
        <w:t>kalkulálhatunk</w:t>
      </w:r>
      <w:proofErr w:type="gramEnd"/>
      <w:r w:rsidR="00232A21">
        <w:rPr>
          <w:rFonts w:ascii="Arial" w:hAnsi="Arial" w:cs="Arial"/>
          <w:sz w:val="22"/>
          <w:szCs w:val="22"/>
        </w:rPr>
        <w:t xml:space="preserve">. </w:t>
      </w:r>
      <w:r w:rsidR="00232A21" w:rsidRPr="00232A21">
        <w:rPr>
          <w:rFonts w:ascii="Arial" w:hAnsi="Arial" w:cs="Arial"/>
          <w:sz w:val="22"/>
          <w:szCs w:val="22"/>
        </w:rPr>
        <w:t xml:space="preserve">A </w:t>
      </w:r>
      <w:r w:rsidR="006325C2" w:rsidRPr="00232A21">
        <w:rPr>
          <w:rFonts w:ascii="Arial" w:hAnsi="Arial" w:cs="Arial"/>
          <w:sz w:val="22"/>
          <w:szCs w:val="22"/>
        </w:rPr>
        <w:t xml:space="preserve">Bátaszéki Közös Önkormányzati Hivatal </w:t>
      </w:r>
      <w:r w:rsidR="00232A21" w:rsidRPr="00232A21">
        <w:rPr>
          <w:rFonts w:ascii="Arial" w:hAnsi="Arial" w:cs="Arial"/>
          <w:sz w:val="22"/>
          <w:szCs w:val="22"/>
        </w:rPr>
        <w:t>vonatkozásában itt kerül megtervezésre</w:t>
      </w:r>
      <w:r w:rsidR="006325C2" w:rsidRPr="00232A21">
        <w:rPr>
          <w:rFonts w:ascii="Arial" w:hAnsi="Arial" w:cs="Arial"/>
          <w:sz w:val="22"/>
          <w:szCs w:val="22"/>
        </w:rPr>
        <w:t xml:space="preserve"> a társtelepülések által vállalt</w:t>
      </w:r>
      <w:r w:rsidR="00232A21" w:rsidRPr="00232A21">
        <w:rPr>
          <w:rFonts w:ascii="Arial" w:hAnsi="Arial" w:cs="Arial"/>
          <w:sz w:val="22"/>
          <w:szCs w:val="22"/>
        </w:rPr>
        <w:t xml:space="preserve"> hozzájárulás 8 500 000 Ft összegben, valamint a két</w:t>
      </w:r>
      <w:r w:rsidR="006325C2" w:rsidRPr="00232A21">
        <w:rPr>
          <w:rFonts w:ascii="Arial" w:hAnsi="Arial" w:cs="Arial"/>
          <w:sz w:val="22"/>
          <w:szCs w:val="22"/>
        </w:rPr>
        <w:t xml:space="preserve"> Társulás</w:t>
      </w:r>
      <w:r w:rsidR="00232A21">
        <w:rPr>
          <w:rFonts w:ascii="Arial" w:hAnsi="Arial" w:cs="Arial"/>
          <w:sz w:val="22"/>
          <w:szCs w:val="22"/>
        </w:rPr>
        <w:t xml:space="preserve">tól átvett </w:t>
      </w:r>
      <w:r w:rsidR="00232A21" w:rsidRPr="00232A21">
        <w:rPr>
          <w:rFonts w:ascii="Arial" w:hAnsi="Arial" w:cs="Arial"/>
          <w:sz w:val="22"/>
          <w:szCs w:val="22"/>
        </w:rPr>
        <w:t>hozzájárulás. Az ESZGY 6 930 214</w:t>
      </w:r>
      <w:r w:rsidR="006325C2" w:rsidRPr="00232A21">
        <w:rPr>
          <w:rFonts w:ascii="Arial" w:hAnsi="Arial" w:cs="Arial"/>
          <w:sz w:val="22"/>
          <w:szCs w:val="22"/>
        </w:rPr>
        <w:t xml:space="preserve"> Ft</w:t>
      </w:r>
      <w:r w:rsidR="00232A21" w:rsidRPr="00232A21">
        <w:rPr>
          <w:rFonts w:ascii="Arial" w:hAnsi="Arial" w:cs="Arial"/>
          <w:sz w:val="22"/>
          <w:szCs w:val="22"/>
        </w:rPr>
        <w:t>-tal, a MOB 6 521 686</w:t>
      </w:r>
      <w:r w:rsidR="006325C2" w:rsidRPr="00232A21">
        <w:rPr>
          <w:rFonts w:ascii="Arial" w:hAnsi="Arial" w:cs="Arial"/>
          <w:sz w:val="22"/>
          <w:szCs w:val="22"/>
        </w:rPr>
        <w:t xml:space="preserve"> Ft</w:t>
      </w:r>
      <w:r w:rsidR="00232A21" w:rsidRPr="00232A21">
        <w:rPr>
          <w:rFonts w:ascii="Arial" w:hAnsi="Arial" w:cs="Arial"/>
          <w:sz w:val="22"/>
          <w:szCs w:val="22"/>
        </w:rPr>
        <w:t>-tal</w:t>
      </w:r>
      <w:r w:rsidR="006325C2" w:rsidRPr="00232A21">
        <w:rPr>
          <w:rFonts w:ascii="Arial" w:hAnsi="Arial" w:cs="Arial"/>
          <w:sz w:val="22"/>
          <w:szCs w:val="22"/>
        </w:rPr>
        <w:t xml:space="preserve"> </w:t>
      </w:r>
      <w:r w:rsidR="00232A21" w:rsidRPr="00232A21">
        <w:rPr>
          <w:rFonts w:ascii="Arial" w:hAnsi="Arial" w:cs="Arial"/>
          <w:sz w:val="22"/>
          <w:szCs w:val="22"/>
        </w:rPr>
        <w:t>járul hozzá a hatályos társulási megállapodásban rögzített teherviselési elveknek megfelelően a munkaszervezet költségeihez.</w:t>
      </w:r>
      <w:r w:rsidR="00AB2FE0" w:rsidRPr="00232A21">
        <w:rPr>
          <w:rFonts w:ascii="Arial" w:hAnsi="Arial" w:cs="Arial"/>
          <w:sz w:val="22"/>
          <w:szCs w:val="22"/>
        </w:rPr>
        <w:t xml:space="preserve"> (</w:t>
      </w:r>
      <w:r w:rsidR="006C513A">
        <w:rPr>
          <w:rFonts w:ascii="Arial" w:hAnsi="Arial" w:cs="Arial"/>
          <w:sz w:val="22"/>
          <w:szCs w:val="22"/>
        </w:rPr>
        <w:t>20</w:t>
      </w:r>
      <w:r w:rsidR="004A1820" w:rsidRPr="00232A21">
        <w:rPr>
          <w:rFonts w:ascii="Arial" w:hAnsi="Arial" w:cs="Arial"/>
          <w:sz w:val="22"/>
          <w:szCs w:val="22"/>
        </w:rPr>
        <w:t>.</w:t>
      </w:r>
      <w:r w:rsidR="00AB2FE0" w:rsidRPr="00232A21">
        <w:rPr>
          <w:rFonts w:ascii="Arial" w:hAnsi="Arial" w:cs="Arial"/>
          <w:sz w:val="22"/>
          <w:szCs w:val="22"/>
        </w:rPr>
        <w:t xml:space="preserve"> </w:t>
      </w:r>
      <w:r w:rsidR="004A1820" w:rsidRPr="00232A21">
        <w:rPr>
          <w:rFonts w:ascii="Arial" w:hAnsi="Arial" w:cs="Arial"/>
          <w:sz w:val="22"/>
          <w:szCs w:val="22"/>
        </w:rPr>
        <w:t>melléklet)</w:t>
      </w:r>
    </w:p>
    <w:p w14:paraId="3B1AB503" w14:textId="77777777" w:rsidR="006325C2" w:rsidRPr="00232A21" w:rsidRDefault="006325C2" w:rsidP="006325C2">
      <w:pPr>
        <w:spacing w:line="276" w:lineRule="auto"/>
        <w:jc w:val="both"/>
        <w:rPr>
          <w:rFonts w:ascii="Arial" w:hAnsi="Arial" w:cs="Arial"/>
          <w:sz w:val="22"/>
          <w:szCs w:val="22"/>
        </w:rPr>
      </w:pPr>
    </w:p>
    <w:p w14:paraId="0A9EFFC5" w14:textId="58E494C7" w:rsidR="006325C2" w:rsidRPr="007F7A97" w:rsidRDefault="006325C2" w:rsidP="006325C2">
      <w:pPr>
        <w:spacing w:line="276" w:lineRule="auto"/>
        <w:jc w:val="both"/>
        <w:rPr>
          <w:rFonts w:ascii="Arial" w:hAnsi="Arial" w:cs="Arial"/>
          <w:sz w:val="22"/>
          <w:szCs w:val="22"/>
        </w:rPr>
      </w:pPr>
      <w:r w:rsidRPr="00A765BC">
        <w:rPr>
          <w:rFonts w:ascii="Arial" w:hAnsi="Arial" w:cs="Arial"/>
          <w:sz w:val="22"/>
          <w:szCs w:val="22"/>
        </w:rPr>
        <w:t xml:space="preserve">A </w:t>
      </w:r>
      <w:r w:rsidRPr="00A765BC">
        <w:rPr>
          <w:rFonts w:ascii="Arial" w:hAnsi="Arial" w:cs="Arial"/>
          <w:b/>
          <w:sz w:val="22"/>
          <w:szCs w:val="22"/>
          <w:u w:val="single"/>
        </w:rPr>
        <w:t>felhalmozási célú támogatások államháztartáson belülről</w:t>
      </w:r>
      <w:r w:rsidRPr="00A765BC">
        <w:rPr>
          <w:rFonts w:ascii="Arial" w:hAnsi="Arial" w:cs="Arial"/>
          <w:sz w:val="22"/>
          <w:szCs w:val="22"/>
          <w:u w:val="single"/>
        </w:rPr>
        <w:t xml:space="preserve"> </w:t>
      </w:r>
      <w:r w:rsidR="004A1820" w:rsidRPr="00A765BC">
        <w:rPr>
          <w:rFonts w:ascii="Arial" w:hAnsi="Arial" w:cs="Arial"/>
          <w:sz w:val="22"/>
          <w:szCs w:val="22"/>
          <w:u w:val="single"/>
        </w:rPr>
        <w:t xml:space="preserve">előirányzat </w:t>
      </w:r>
      <w:proofErr w:type="gramStart"/>
      <w:r w:rsidR="004A1820" w:rsidRPr="00A765BC">
        <w:rPr>
          <w:rFonts w:ascii="Arial" w:hAnsi="Arial" w:cs="Arial"/>
          <w:sz w:val="22"/>
          <w:szCs w:val="22"/>
          <w:u w:val="single"/>
        </w:rPr>
        <w:t xml:space="preserve">összege </w:t>
      </w:r>
      <w:r w:rsidR="008A009F">
        <w:rPr>
          <w:rFonts w:ascii="Arial" w:hAnsi="Arial" w:cs="Arial"/>
          <w:sz w:val="22"/>
          <w:szCs w:val="22"/>
          <w:u w:val="single"/>
        </w:rPr>
        <w:t xml:space="preserve">                 </w:t>
      </w:r>
      <w:r w:rsidR="004A1820" w:rsidRPr="00A765BC">
        <w:rPr>
          <w:rFonts w:ascii="Arial" w:hAnsi="Arial" w:cs="Arial"/>
          <w:b/>
          <w:sz w:val="22"/>
          <w:szCs w:val="22"/>
          <w:u w:val="single"/>
        </w:rPr>
        <w:t>54</w:t>
      </w:r>
      <w:proofErr w:type="gramEnd"/>
      <w:r w:rsidR="004A1820" w:rsidRPr="00A765BC">
        <w:rPr>
          <w:rFonts w:ascii="Arial" w:hAnsi="Arial" w:cs="Arial"/>
          <w:b/>
          <w:sz w:val="22"/>
          <w:szCs w:val="22"/>
          <w:u w:val="single"/>
        </w:rPr>
        <w:t xml:space="preserve"> 557 620 Ft</w:t>
      </w:r>
      <w:r w:rsidR="004A1820">
        <w:rPr>
          <w:rFonts w:ascii="Arial" w:hAnsi="Arial" w:cs="Arial"/>
          <w:sz w:val="22"/>
          <w:szCs w:val="22"/>
          <w:u w:val="single"/>
        </w:rPr>
        <w:t>.</w:t>
      </w:r>
      <w:r w:rsidRPr="007F7A97">
        <w:rPr>
          <w:rFonts w:ascii="Arial" w:hAnsi="Arial" w:cs="Arial"/>
          <w:sz w:val="22"/>
          <w:szCs w:val="22"/>
        </w:rPr>
        <w:t xml:space="preserve"> </w:t>
      </w:r>
      <w:r w:rsidR="007F7A97" w:rsidRPr="007F7A97">
        <w:rPr>
          <w:rFonts w:ascii="Arial" w:hAnsi="Arial" w:cs="Arial"/>
          <w:sz w:val="22"/>
          <w:szCs w:val="22"/>
        </w:rPr>
        <w:t xml:space="preserve">E forrás </w:t>
      </w:r>
      <w:r w:rsidRPr="007F7A97">
        <w:rPr>
          <w:rFonts w:ascii="Arial" w:hAnsi="Arial" w:cs="Arial"/>
          <w:sz w:val="22"/>
          <w:szCs w:val="22"/>
        </w:rPr>
        <w:t>a folyamat</w:t>
      </w:r>
      <w:r w:rsidR="007F7A97" w:rsidRPr="007F7A97">
        <w:rPr>
          <w:rFonts w:ascii="Arial" w:hAnsi="Arial" w:cs="Arial"/>
          <w:sz w:val="22"/>
          <w:szCs w:val="22"/>
        </w:rPr>
        <w:t>ban lévő, VP Helyi piac fejlesztés</w:t>
      </w:r>
      <w:r w:rsidRPr="007F7A97">
        <w:rPr>
          <w:rFonts w:ascii="Arial" w:hAnsi="Arial" w:cs="Arial"/>
          <w:sz w:val="22"/>
          <w:szCs w:val="22"/>
        </w:rPr>
        <w:t xml:space="preserve">e </w:t>
      </w:r>
      <w:r w:rsidR="007F7A97" w:rsidRPr="007F7A97">
        <w:rPr>
          <w:rFonts w:ascii="Arial" w:hAnsi="Arial" w:cs="Arial"/>
          <w:sz w:val="22"/>
          <w:szCs w:val="22"/>
        </w:rPr>
        <w:t>projekthez kapcsolódó támogatás összegét tartalmazza. (20. melléklet)</w:t>
      </w:r>
    </w:p>
    <w:p w14:paraId="10C6ED94" w14:textId="77777777" w:rsidR="006325C2" w:rsidRPr="00AE7B18" w:rsidRDefault="006325C2" w:rsidP="006325C2">
      <w:pPr>
        <w:spacing w:line="276" w:lineRule="auto"/>
        <w:jc w:val="both"/>
        <w:rPr>
          <w:rFonts w:ascii="Arial" w:hAnsi="Arial" w:cs="Arial"/>
          <w:sz w:val="22"/>
          <w:szCs w:val="22"/>
          <w:highlight w:val="yellow"/>
        </w:rPr>
      </w:pPr>
    </w:p>
    <w:p w14:paraId="3A950568" w14:textId="7A01E450" w:rsidR="006325C2" w:rsidRPr="0019587B" w:rsidRDefault="006325C2" w:rsidP="006325C2">
      <w:pPr>
        <w:spacing w:line="276" w:lineRule="auto"/>
        <w:jc w:val="both"/>
        <w:rPr>
          <w:rFonts w:ascii="Arial" w:hAnsi="Arial" w:cs="Arial"/>
          <w:sz w:val="22"/>
          <w:szCs w:val="22"/>
        </w:rPr>
      </w:pPr>
      <w:r w:rsidRPr="0019587B">
        <w:rPr>
          <w:rFonts w:ascii="Arial" w:hAnsi="Arial" w:cs="Arial"/>
          <w:i/>
          <w:sz w:val="22"/>
          <w:szCs w:val="22"/>
          <w:u w:val="single"/>
        </w:rPr>
        <w:t>A közhatalmi bevételek</w:t>
      </w:r>
      <w:r w:rsidRPr="0019587B">
        <w:rPr>
          <w:rFonts w:ascii="Arial" w:hAnsi="Arial" w:cs="Arial"/>
          <w:sz w:val="22"/>
          <w:szCs w:val="22"/>
        </w:rPr>
        <w:t xml:space="preserve"> </w:t>
      </w:r>
      <w:r w:rsidR="00A765BC" w:rsidRPr="0019587B">
        <w:rPr>
          <w:rFonts w:ascii="Arial" w:hAnsi="Arial" w:cs="Arial"/>
          <w:sz w:val="22"/>
          <w:szCs w:val="22"/>
        </w:rPr>
        <w:t xml:space="preserve">előirányzata 369 000 000 Ft, </w:t>
      </w:r>
      <w:r w:rsidR="00C22FF4" w:rsidRPr="0019587B">
        <w:rPr>
          <w:rFonts w:ascii="Arial" w:hAnsi="Arial" w:cs="Arial"/>
          <w:sz w:val="22"/>
          <w:szCs w:val="22"/>
        </w:rPr>
        <w:t>mely bevételi forrás az előző évihez képest 43</w:t>
      </w:r>
      <w:r w:rsidR="0019587B" w:rsidRPr="0019587B">
        <w:rPr>
          <w:rFonts w:ascii="Arial" w:hAnsi="Arial" w:cs="Arial"/>
          <w:sz w:val="22"/>
          <w:szCs w:val="22"/>
        </w:rPr>
        <w:t xml:space="preserve"> 400 000 Ft-tal magasabb. E saját bevételnél a magánszemélyek </w:t>
      </w:r>
      <w:proofErr w:type="gramStart"/>
      <w:r w:rsidR="0019587B" w:rsidRPr="0019587B">
        <w:rPr>
          <w:rFonts w:ascii="Arial" w:hAnsi="Arial" w:cs="Arial"/>
          <w:sz w:val="22"/>
          <w:szCs w:val="22"/>
        </w:rPr>
        <w:t>kommunális</w:t>
      </w:r>
      <w:proofErr w:type="gramEnd"/>
      <w:r w:rsidR="0019587B" w:rsidRPr="0019587B">
        <w:rPr>
          <w:rFonts w:ascii="Arial" w:hAnsi="Arial" w:cs="Arial"/>
          <w:sz w:val="22"/>
          <w:szCs w:val="22"/>
        </w:rPr>
        <w:t xml:space="preserve"> adóját</w:t>
      </w:r>
      <w:r w:rsidRPr="0019587B">
        <w:rPr>
          <w:rFonts w:ascii="Arial" w:hAnsi="Arial" w:cs="Arial"/>
          <w:sz w:val="22"/>
          <w:szCs w:val="22"/>
        </w:rPr>
        <w:t xml:space="preserve"> </w:t>
      </w:r>
      <w:r w:rsidR="0019587B" w:rsidRPr="0019587B">
        <w:rPr>
          <w:rFonts w:ascii="Arial" w:hAnsi="Arial" w:cs="Arial"/>
          <w:sz w:val="22"/>
          <w:szCs w:val="22"/>
        </w:rPr>
        <w:t>az előző évivel azonos szinten, 32 000 000 Ft-tal vettük figyelembe. A talajterhelési díj 500 000 F</w:t>
      </w:r>
      <w:r w:rsidR="00B2026D">
        <w:rPr>
          <w:rFonts w:ascii="Arial" w:hAnsi="Arial" w:cs="Arial"/>
          <w:sz w:val="22"/>
          <w:szCs w:val="22"/>
        </w:rPr>
        <w:t>t</w:t>
      </w:r>
      <w:r w:rsidR="0019587B" w:rsidRPr="0019587B">
        <w:rPr>
          <w:rFonts w:ascii="Arial" w:hAnsi="Arial" w:cs="Arial"/>
          <w:sz w:val="22"/>
          <w:szCs w:val="22"/>
        </w:rPr>
        <w:t xml:space="preserve">-tal, </w:t>
      </w:r>
      <w:r w:rsidR="00A45508">
        <w:rPr>
          <w:rFonts w:ascii="Arial" w:hAnsi="Arial" w:cs="Arial"/>
          <w:sz w:val="22"/>
          <w:szCs w:val="22"/>
        </w:rPr>
        <w:t xml:space="preserve">- </w:t>
      </w:r>
      <w:r w:rsidR="00A45508" w:rsidRPr="00A45508">
        <w:rPr>
          <w:rFonts w:ascii="Arial" w:hAnsi="Arial" w:cs="Arial"/>
          <w:sz w:val="22"/>
          <w:szCs w:val="22"/>
        </w:rPr>
        <w:t>a 2022. évi előirányzattal egyezően</w:t>
      </w:r>
      <w:r w:rsidR="00A45508">
        <w:rPr>
          <w:rFonts w:ascii="Arial" w:hAnsi="Arial" w:cs="Arial"/>
          <w:sz w:val="22"/>
          <w:szCs w:val="22"/>
        </w:rPr>
        <w:t xml:space="preserve"> -,</w:t>
      </w:r>
      <w:r w:rsidR="00A45508" w:rsidRPr="00A45508">
        <w:rPr>
          <w:rFonts w:ascii="Arial" w:hAnsi="Arial" w:cs="Arial"/>
          <w:sz w:val="22"/>
          <w:szCs w:val="22"/>
        </w:rPr>
        <w:t xml:space="preserve"> az egyéb közhatalmi bevétel (pl. bírság</w:t>
      </w:r>
      <w:r w:rsidR="006C513A">
        <w:rPr>
          <w:rFonts w:ascii="Arial" w:hAnsi="Arial" w:cs="Arial"/>
          <w:sz w:val="22"/>
          <w:szCs w:val="22"/>
        </w:rPr>
        <w:t>, pótlék</w:t>
      </w:r>
      <w:r w:rsidR="00A45508" w:rsidRPr="00A45508">
        <w:rPr>
          <w:rFonts w:ascii="Arial" w:hAnsi="Arial" w:cs="Arial"/>
          <w:sz w:val="22"/>
          <w:szCs w:val="22"/>
        </w:rPr>
        <w:t xml:space="preserve">) </w:t>
      </w:r>
      <w:r w:rsidR="0019587B" w:rsidRPr="0019587B">
        <w:rPr>
          <w:rFonts w:ascii="Arial" w:hAnsi="Arial" w:cs="Arial"/>
          <w:sz w:val="22"/>
          <w:szCs w:val="22"/>
        </w:rPr>
        <w:t>1 </w:t>
      </w:r>
      <w:r w:rsidR="00A45508">
        <w:rPr>
          <w:rFonts w:ascii="Arial" w:hAnsi="Arial" w:cs="Arial"/>
          <w:sz w:val="22"/>
          <w:szCs w:val="22"/>
        </w:rPr>
        <w:t>5</w:t>
      </w:r>
      <w:r w:rsidR="0019587B" w:rsidRPr="0019587B">
        <w:rPr>
          <w:rFonts w:ascii="Arial" w:hAnsi="Arial" w:cs="Arial"/>
          <w:sz w:val="22"/>
          <w:szCs w:val="22"/>
        </w:rPr>
        <w:t xml:space="preserve">00 000 Ft-tal szerepel </w:t>
      </w:r>
      <w:r w:rsidR="00A45508">
        <w:rPr>
          <w:rFonts w:ascii="Arial" w:hAnsi="Arial" w:cs="Arial"/>
          <w:sz w:val="22"/>
          <w:szCs w:val="22"/>
        </w:rPr>
        <w:t>a javaslatban, mely 500 000 Ft összeggel magasabb az előző évinél.</w:t>
      </w:r>
    </w:p>
    <w:p w14:paraId="6ACA6F43" w14:textId="23D10F05" w:rsidR="006325C2" w:rsidRPr="00B2026D" w:rsidRDefault="006325C2" w:rsidP="006325C2">
      <w:pPr>
        <w:spacing w:line="276" w:lineRule="auto"/>
        <w:jc w:val="both"/>
        <w:rPr>
          <w:rFonts w:ascii="Arial" w:hAnsi="Arial" w:cs="Arial"/>
          <w:sz w:val="22"/>
          <w:szCs w:val="22"/>
        </w:rPr>
      </w:pPr>
      <w:r w:rsidRPr="00B2026D">
        <w:rPr>
          <w:rFonts w:ascii="Arial" w:hAnsi="Arial" w:cs="Arial"/>
          <w:sz w:val="22"/>
          <w:szCs w:val="22"/>
        </w:rPr>
        <w:t xml:space="preserve">Az iparűzési adó soron </w:t>
      </w:r>
      <w:r w:rsidR="0019587B" w:rsidRPr="00B2026D">
        <w:rPr>
          <w:rFonts w:ascii="Arial" w:hAnsi="Arial" w:cs="Arial"/>
          <w:sz w:val="22"/>
          <w:szCs w:val="22"/>
        </w:rPr>
        <w:t xml:space="preserve">az előző évben </w:t>
      </w:r>
      <w:r w:rsidR="00987FC0">
        <w:rPr>
          <w:rFonts w:ascii="Arial" w:hAnsi="Arial" w:cs="Arial"/>
          <w:sz w:val="22"/>
          <w:szCs w:val="22"/>
        </w:rPr>
        <w:t xml:space="preserve">eredeti előirányzatként </w:t>
      </w:r>
      <w:r w:rsidR="0019587B" w:rsidRPr="00B2026D">
        <w:rPr>
          <w:rFonts w:ascii="Arial" w:hAnsi="Arial" w:cs="Arial"/>
          <w:sz w:val="22"/>
          <w:szCs w:val="22"/>
        </w:rPr>
        <w:t xml:space="preserve">292 millió Ft-ot terveztünk, a 2023. évre </w:t>
      </w:r>
      <w:r w:rsidR="00B2026D" w:rsidRPr="00B2026D">
        <w:rPr>
          <w:rFonts w:ascii="Arial" w:hAnsi="Arial" w:cs="Arial"/>
          <w:sz w:val="22"/>
          <w:szCs w:val="22"/>
        </w:rPr>
        <w:t>335 </w:t>
      </w:r>
      <w:r w:rsidR="00A45508">
        <w:rPr>
          <w:rFonts w:ascii="Arial" w:hAnsi="Arial" w:cs="Arial"/>
          <w:sz w:val="22"/>
          <w:szCs w:val="22"/>
        </w:rPr>
        <w:t>0</w:t>
      </w:r>
      <w:r w:rsidR="00B2026D" w:rsidRPr="00B2026D">
        <w:rPr>
          <w:rFonts w:ascii="Arial" w:hAnsi="Arial" w:cs="Arial"/>
          <w:sz w:val="22"/>
          <w:szCs w:val="22"/>
        </w:rPr>
        <w:t>00 000 Ft bevétellel számolunk. E bevételi jogcím teljesülését a</w:t>
      </w:r>
      <w:r w:rsidRPr="00B2026D">
        <w:rPr>
          <w:rFonts w:ascii="Arial" w:hAnsi="Arial" w:cs="Arial"/>
          <w:sz w:val="22"/>
          <w:szCs w:val="22"/>
        </w:rPr>
        <w:t xml:space="preserve"> </w:t>
      </w:r>
      <w:r w:rsidR="00B2026D" w:rsidRPr="00B2026D">
        <w:rPr>
          <w:rFonts w:ascii="Arial" w:hAnsi="Arial" w:cs="Arial"/>
          <w:sz w:val="22"/>
          <w:szCs w:val="22"/>
        </w:rPr>
        <w:t xml:space="preserve">már hivatkozott jogszabály módosítás </w:t>
      </w:r>
      <w:r w:rsidR="00B2026D">
        <w:rPr>
          <w:rFonts w:ascii="Arial" w:hAnsi="Arial" w:cs="Arial"/>
          <w:sz w:val="22"/>
          <w:szCs w:val="22"/>
        </w:rPr>
        <w:t>befolyásolja. Az</w:t>
      </w:r>
      <w:r w:rsidR="00987FC0">
        <w:rPr>
          <w:rFonts w:ascii="Arial" w:hAnsi="Arial" w:cs="Arial"/>
          <w:sz w:val="22"/>
          <w:szCs w:val="22"/>
        </w:rPr>
        <w:t xml:space="preserve"> előző évi teljesítési adat 310 millió Ft volt, emellett a bevételkiesés ellentételezésére a központi költségvetésből még közel 50 millió Ft forrást kapott önkormányzatunk, így e bevételi jogcím vonatkozásában mintegy 360 millió Ft bevéte</w:t>
      </w:r>
      <w:r w:rsidR="00F4626F">
        <w:rPr>
          <w:rFonts w:ascii="Arial" w:hAnsi="Arial" w:cs="Arial"/>
          <w:sz w:val="22"/>
          <w:szCs w:val="22"/>
        </w:rPr>
        <w:t>l keletkezett. E forrás</w:t>
      </w:r>
      <w:r w:rsidR="00987FC0">
        <w:rPr>
          <w:rFonts w:ascii="Arial" w:hAnsi="Arial" w:cs="Arial"/>
          <w:sz w:val="22"/>
          <w:szCs w:val="22"/>
        </w:rPr>
        <w:t xml:space="preserve"> teljesülésénél </w:t>
      </w:r>
      <w:r w:rsidR="00AE2D63">
        <w:rPr>
          <w:rFonts w:ascii="Arial" w:hAnsi="Arial" w:cs="Arial"/>
          <w:sz w:val="22"/>
          <w:szCs w:val="22"/>
        </w:rPr>
        <w:t xml:space="preserve">minden évben </w:t>
      </w:r>
      <w:r w:rsidR="00987FC0">
        <w:rPr>
          <w:rFonts w:ascii="Arial" w:hAnsi="Arial" w:cs="Arial"/>
          <w:sz w:val="22"/>
          <w:szCs w:val="22"/>
        </w:rPr>
        <w:t>bizonytalansági tényezővel kell számolni</w:t>
      </w:r>
      <w:r w:rsidR="00AE2D63">
        <w:rPr>
          <w:rFonts w:ascii="Arial" w:hAnsi="Arial" w:cs="Arial"/>
          <w:sz w:val="22"/>
          <w:szCs w:val="22"/>
        </w:rPr>
        <w:t>, ezen túlmenően a</w:t>
      </w:r>
      <w:r w:rsidR="00F4626F">
        <w:rPr>
          <w:rFonts w:ascii="Arial" w:hAnsi="Arial" w:cs="Arial"/>
          <w:sz w:val="22"/>
          <w:szCs w:val="22"/>
        </w:rPr>
        <w:t xml:space="preserve">z idei évben </w:t>
      </w:r>
      <w:r w:rsidR="00987FC0">
        <w:rPr>
          <w:rFonts w:ascii="Arial" w:hAnsi="Arial" w:cs="Arial"/>
          <w:sz w:val="22"/>
          <w:szCs w:val="22"/>
        </w:rPr>
        <w:t>a</w:t>
      </w:r>
      <w:r w:rsidR="00F4626F">
        <w:rPr>
          <w:rFonts w:ascii="Arial" w:hAnsi="Arial" w:cs="Arial"/>
          <w:sz w:val="22"/>
          <w:szCs w:val="22"/>
        </w:rPr>
        <w:t xml:space="preserve"> </w:t>
      </w:r>
      <w:proofErr w:type="gramStart"/>
      <w:r w:rsidR="00A95A82">
        <w:rPr>
          <w:rFonts w:ascii="Arial" w:hAnsi="Arial" w:cs="Arial"/>
          <w:sz w:val="22"/>
          <w:szCs w:val="22"/>
        </w:rPr>
        <w:t>rea</w:t>
      </w:r>
      <w:r w:rsidR="00987FC0">
        <w:rPr>
          <w:rFonts w:ascii="Arial" w:hAnsi="Arial" w:cs="Arial"/>
          <w:sz w:val="22"/>
          <w:szCs w:val="22"/>
        </w:rPr>
        <w:t>lizálódást</w:t>
      </w:r>
      <w:proofErr w:type="gramEnd"/>
      <w:r w:rsidR="00987FC0">
        <w:rPr>
          <w:rFonts w:ascii="Arial" w:hAnsi="Arial" w:cs="Arial"/>
          <w:sz w:val="22"/>
          <w:szCs w:val="22"/>
        </w:rPr>
        <w:t xml:space="preserve"> a </w:t>
      </w:r>
      <w:r w:rsidR="00987FC0" w:rsidRPr="00987FC0">
        <w:rPr>
          <w:rFonts w:ascii="Arial" w:hAnsi="Arial" w:cs="Arial"/>
          <w:sz w:val="22"/>
          <w:szCs w:val="22"/>
        </w:rPr>
        <w:t xml:space="preserve">már hivatkozott jogszabály módosítás </w:t>
      </w:r>
      <w:r w:rsidR="00987FC0">
        <w:rPr>
          <w:rFonts w:ascii="Arial" w:hAnsi="Arial" w:cs="Arial"/>
          <w:sz w:val="22"/>
          <w:szCs w:val="22"/>
        </w:rPr>
        <w:t xml:space="preserve">is </w:t>
      </w:r>
      <w:r w:rsidR="00987FC0" w:rsidRPr="00987FC0">
        <w:rPr>
          <w:rFonts w:ascii="Arial" w:hAnsi="Arial" w:cs="Arial"/>
          <w:sz w:val="22"/>
          <w:szCs w:val="22"/>
        </w:rPr>
        <w:t>befolyásolja</w:t>
      </w:r>
      <w:r w:rsidR="00987FC0">
        <w:rPr>
          <w:rFonts w:ascii="Arial" w:hAnsi="Arial" w:cs="Arial"/>
          <w:sz w:val="22"/>
          <w:szCs w:val="22"/>
        </w:rPr>
        <w:t>.</w:t>
      </w:r>
    </w:p>
    <w:p w14:paraId="731B3D06" w14:textId="77777777" w:rsidR="006325C2" w:rsidRPr="00AE7B18" w:rsidRDefault="006325C2" w:rsidP="006325C2">
      <w:pPr>
        <w:spacing w:line="276" w:lineRule="auto"/>
        <w:jc w:val="both"/>
        <w:rPr>
          <w:rFonts w:ascii="Arial" w:hAnsi="Arial" w:cs="Arial"/>
          <w:sz w:val="22"/>
          <w:szCs w:val="22"/>
          <w:highlight w:val="yellow"/>
        </w:rPr>
      </w:pPr>
    </w:p>
    <w:p w14:paraId="3B6F8BB2" w14:textId="4E06F3E0" w:rsidR="006325C2" w:rsidRPr="00A17198" w:rsidRDefault="006325C2" w:rsidP="006325C2">
      <w:pPr>
        <w:spacing w:line="276" w:lineRule="auto"/>
        <w:jc w:val="both"/>
        <w:rPr>
          <w:rFonts w:ascii="Arial" w:hAnsi="Arial" w:cs="Arial"/>
          <w:sz w:val="22"/>
          <w:szCs w:val="22"/>
        </w:rPr>
      </w:pPr>
      <w:r w:rsidRPr="00A45508">
        <w:rPr>
          <w:rFonts w:ascii="Arial" w:hAnsi="Arial" w:cs="Arial"/>
          <w:sz w:val="22"/>
          <w:szCs w:val="22"/>
        </w:rPr>
        <w:t xml:space="preserve">A </w:t>
      </w:r>
      <w:r w:rsidR="00B2026D" w:rsidRPr="00A45508">
        <w:rPr>
          <w:rFonts w:ascii="Arial" w:hAnsi="Arial" w:cs="Arial"/>
          <w:i/>
          <w:sz w:val="22"/>
          <w:szCs w:val="22"/>
          <w:u w:val="single"/>
        </w:rPr>
        <w:t xml:space="preserve">működési </w:t>
      </w:r>
      <w:r w:rsidR="00B2026D" w:rsidRPr="00A45508">
        <w:rPr>
          <w:rFonts w:ascii="Arial" w:hAnsi="Arial" w:cs="Arial"/>
          <w:sz w:val="22"/>
          <w:szCs w:val="22"/>
        </w:rPr>
        <w:t>bevételek előirányzata</w:t>
      </w:r>
      <w:r w:rsidR="00A45508" w:rsidRPr="00A45508">
        <w:rPr>
          <w:rFonts w:ascii="Arial" w:hAnsi="Arial" w:cs="Arial"/>
          <w:sz w:val="22"/>
          <w:szCs w:val="22"/>
        </w:rPr>
        <w:t xml:space="preserve"> </w:t>
      </w:r>
      <w:r w:rsidR="006C513A">
        <w:rPr>
          <w:rFonts w:ascii="Arial" w:hAnsi="Arial" w:cs="Arial"/>
          <w:sz w:val="22"/>
          <w:szCs w:val="22"/>
        </w:rPr>
        <w:t>32 254 059</w:t>
      </w:r>
      <w:r w:rsidR="00A45508">
        <w:rPr>
          <w:rFonts w:ascii="Arial" w:hAnsi="Arial" w:cs="Arial"/>
          <w:sz w:val="22"/>
          <w:szCs w:val="22"/>
        </w:rPr>
        <w:t xml:space="preserve"> Ft</w:t>
      </w:r>
      <w:r w:rsidR="00A45508" w:rsidRPr="00A17198">
        <w:rPr>
          <w:rFonts w:ascii="Arial" w:hAnsi="Arial" w:cs="Arial"/>
          <w:sz w:val="22"/>
          <w:szCs w:val="22"/>
        </w:rPr>
        <w:t xml:space="preserve">.  </w:t>
      </w:r>
      <w:r w:rsidR="001709EB" w:rsidRPr="00A17198">
        <w:rPr>
          <w:rFonts w:ascii="Arial" w:hAnsi="Arial" w:cs="Arial"/>
          <w:sz w:val="22"/>
          <w:szCs w:val="22"/>
        </w:rPr>
        <w:t xml:space="preserve">Ez az előirányzat tartalmazza </w:t>
      </w:r>
      <w:r w:rsidRPr="00A17198">
        <w:rPr>
          <w:rFonts w:ascii="Arial" w:hAnsi="Arial" w:cs="Arial"/>
          <w:sz w:val="22"/>
          <w:szCs w:val="22"/>
        </w:rPr>
        <w:t>az önkormányzat tulajdonában lévő ingatlanok és egyéb vagyontárgyak bérbeadásának, használatának díja</w:t>
      </w:r>
      <w:r w:rsidR="00195881">
        <w:rPr>
          <w:rFonts w:ascii="Arial" w:hAnsi="Arial" w:cs="Arial"/>
          <w:sz w:val="22"/>
          <w:szCs w:val="22"/>
        </w:rPr>
        <w:t>it</w:t>
      </w:r>
      <w:r w:rsidRPr="00A17198">
        <w:rPr>
          <w:rFonts w:ascii="Arial" w:hAnsi="Arial" w:cs="Arial"/>
          <w:sz w:val="22"/>
          <w:szCs w:val="22"/>
        </w:rPr>
        <w:t>, a továbbszámlázott közvetített szolgáltatások</w:t>
      </w:r>
      <w:r w:rsidR="00086A82">
        <w:rPr>
          <w:rFonts w:ascii="Arial" w:hAnsi="Arial" w:cs="Arial"/>
          <w:sz w:val="22"/>
          <w:szCs w:val="22"/>
        </w:rPr>
        <w:t>at</w:t>
      </w:r>
      <w:r w:rsidRPr="00A17198">
        <w:rPr>
          <w:rFonts w:ascii="Arial" w:hAnsi="Arial" w:cs="Arial"/>
          <w:sz w:val="22"/>
          <w:szCs w:val="22"/>
        </w:rPr>
        <w:t>, valamint ezek áfa vonzatai</w:t>
      </w:r>
      <w:r w:rsidR="00195881">
        <w:rPr>
          <w:rFonts w:ascii="Arial" w:hAnsi="Arial" w:cs="Arial"/>
          <w:sz w:val="22"/>
          <w:szCs w:val="22"/>
        </w:rPr>
        <w:t>t</w:t>
      </w:r>
      <w:r w:rsidR="00F755D3">
        <w:rPr>
          <w:rFonts w:ascii="Arial" w:hAnsi="Arial" w:cs="Arial"/>
          <w:sz w:val="22"/>
          <w:szCs w:val="22"/>
        </w:rPr>
        <w:t xml:space="preserve">. </w:t>
      </w:r>
      <w:r w:rsidR="001709EB" w:rsidRPr="00A17198">
        <w:rPr>
          <w:rFonts w:ascii="Arial" w:hAnsi="Arial" w:cs="Arial"/>
          <w:sz w:val="22"/>
          <w:szCs w:val="22"/>
        </w:rPr>
        <w:t>A KÖH-</w:t>
      </w:r>
      <w:proofErr w:type="spellStart"/>
      <w:r w:rsidR="001709EB" w:rsidRPr="00A17198">
        <w:rPr>
          <w:rFonts w:ascii="Arial" w:hAnsi="Arial" w:cs="Arial"/>
          <w:sz w:val="22"/>
          <w:szCs w:val="22"/>
        </w:rPr>
        <w:t>nél</w:t>
      </w:r>
      <w:proofErr w:type="spellEnd"/>
      <w:r w:rsidRPr="00A17198">
        <w:rPr>
          <w:rFonts w:ascii="Arial" w:hAnsi="Arial" w:cs="Arial"/>
          <w:sz w:val="22"/>
          <w:szCs w:val="22"/>
        </w:rPr>
        <w:t xml:space="preserve"> itt kerültek betervezésre a közvetített szolgáltatások ellenértékei</w:t>
      </w:r>
      <w:r w:rsidR="001709EB" w:rsidRPr="00A17198">
        <w:rPr>
          <w:rFonts w:ascii="Arial" w:hAnsi="Arial" w:cs="Arial"/>
          <w:sz w:val="22"/>
          <w:szCs w:val="22"/>
        </w:rPr>
        <w:t xml:space="preserve">, valamint ezek áfa vonzata, </w:t>
      </w:r>
      <w:r w:rsidRPr="00A17198">
        <w:rPr>
          <w:rFonts w:ascii="Arial" w:hAnsi="Arial" w:cs="Arial"/>
          <w:sz w:val="22"/>
          <w:szCs w:val="22"/>
        </w:rPr>
        <w:t>a Könyvtárnál pedig a</w:t>
      </w:r>
      <w:r w:rsidR="00A87490" w:rsidRPr="00A17198">
        <w:rPr>
          <w:rFonts w:ascii="Arial" w:hAnsi="Arial" w:cs="Arial"/>
          <w:sz w:val="22"/>
          <w:szCs w:val="22"/>
        </w:rPr>
        <w:t xml:space="preserve"> könyvtári szolgáltatások díjbevételei.</w:t>
      </w:r>
    </w:p>
    <w:p w14:paraId="414EF41F" w14:textId="77777777" w:rsidR="006325C2" w:rsidRPr="00AE7B18" w:rsidRDefault="006325C2" w:rsidP="006325C2">
      <w:pPr>
        <w:spacing w:line="276" w:lineRule="auto"/>
        <w:jc w:val="both"/>
        <w:rPr>
          <w:rFonts w:ascii="Arial" w:hAnsi="Arial" w:cs="Arial"/>
          <w:sz w:val="22"/>
          <w:szCs w:val="22"/>
          <w:highlight w:val="yellow"/>
        </w:rPr>
      </w:pPr>
    </w:p>
    <w:p w14:paraId="0CF8158B" w14:textId="2DC201F8" w:rsidR="006325C2" w:rsidRPr="00935927" w:rsidRDefault="00316B16" w:rsidP="006325C2">
      <w:pPr>
        <w:spacing w:line="276" w:lineRule="auto"/>
        <w:jc w:val="both"/>
        <w:rPr>
          <w:rFonts w:ascii="Arial" w:hAnsi="Arial" w:cs="Arial"/>
          <w:sz w:val="22"/>
          <w:szCs w:val="22"/>
        </w:rPr>
      </w:pPr>
      <w:r w:rsidRPr="00935927">
        <w:rPr>
          <w:rFonts w:ascii="Arial" w:hAnsi="Arial" w:cs="Arial"/>
          <w:i/>
          <w:sz w:val="22"/>
          <w:szCs w:val="22"/>
          <w:u w:val="single"/>
        </w:rPr>
        <w:t>A f</w:t>
      </w:r>
      <w:r w:rsidR="00A17198" w:rsidRPr="00935927">
        <w:rPr>
          <w:rFonts w:ascii="Arial" w:hAnsi="Arial" w:cs="Arial"/>
          <w:i/>
          <w:sz w:val="22"/>
          <w:szCs w:val="22"/>
          <w:u w:val="single"/>
        </w:rPr>
        <w:t>elhalmozási bevételek</w:t>
      </w:r>
      <w:r w:rsidR="00A17198" w:rsidRPr="00935927">
        <w:rPr>
          <w:rFonts w:ascii="Arial" w:hAnsi="Arial" w:cs="Arial"/>
          <w:sz w:val="22"/>
          <w:szCs w:val="22"/>
        </w:rPr>
        <w:t xml:space="preserve"> előirányzata 69 000 000 Ft, melynek tartalmát </w:t>
      </w:r>
      <w:r w:rsidR="006325C2" w:rsidRPr="00935927">
        <w:rPr>
          <w:rFonts w:ascii="Arial" w:hAnsi="Arial" w:cs="Arial"/>
          <w:sz w:val="22"/>
          <w:szCs w:val="22"/>
        </w:rPr>
        <w:t>ingatlan</w:t>
      </w:r>
      <w:r w:rsidR="00823389">
        <w:rPr>
          <w:rFonts w:ascii="Arial" w:hAnsi="Arial" w:cs="Arial"/>
          <w:sz w:val="22"/>
          <w:szCs w:val="22"/>
        </w:rPr>
        <w:t xml:space="preserve">értékesítési </w:t>
      </w:r>
      <w:r w:rsidR="00A17198" w:rsidRPr="00935927">
        <w:rPr>
          <w:rFonts w:ascii="Arial" w:hAnsi="Arial" w:cs="Arial"/>
          <w:sz w:val="22"/>
          <w:szCs w:val="22"/>
        </w:rPr>
        <w:t>bevétel adja</w:t>
      </w:r>
      <w:r w:rsidR="00823389">
        <w:rPr>
          <w:rFonts w:ascii="Arial" w:hAnsi="Arial" w:cs="Arial"/>
          <w:sz w:val="22"/>
          <w:szCs w:val="22"/>
        </w:rPr>
        <w:t>, teljesülése kockázati tényező.</w:t>
      </w:r>
    </w:p>
    <w:p w14:paraId="245F2587" w14:textId="77777777" w:rsidR="006325C2" w:rsidRPr="00935927" w:rsidRDefault="006325C2" w:rsidP="006325C2">
      <w:pPr>
        <w:spacing w:line="276" w:lineRule="auto"/>
        <w:jc w:val="both"/>
        <w:rPr>
          <w:rFonts w:ascii="Arial" w:hAnsi="Arial" w:cs="Arial"/>
          <w:sz w:val="22"/>
          <w:szCs w:val="22"/>
        </w:rPr>
      </w:pPr>
    </w:p>
    <w:p w14:paraId="712F7013" w14:textId="1041A0DF" w:rsidR="006325C2" w:rsidRPr="00935927" w:rsidRDefault="00316B16" w:rsidP="006325C2">
      <w:pPr>
        <w:spacing w:line="276" w:lineRule="auto"/>
        <w:jc w:val="both"/>
        <w:rPr>
          <w:rFonts w:ascii="Arial" w:hAnsi="Arial" w:cs="Arial"/>
          <w:sz w:val="22"/>
          <w:szCs w:val="22"/>
        </w:rPr>
      </w:pPr>
      <w:r w:rsidRPr="00935927">
        <w:rPr>
          <w:rFonts w:ascii="Arial" w:hAnsi="Arial" w:cs="Arial"/>
          <w:i/>
          <w:sz w:val="22"/>
          <w:szCs w:val="22"/>
          <w:u w:val="single"/>
        </w:rPr>
        <w:t>A m</w:t>
      </w:r>
      <w:r w:rsidR="006325C2" w:rsidRPr="00935927">
        <w:rPr>
          <w:rFonts w:ascii="Arial" w:hAnsi="Arial" w:cs="Arial"/>
          <w:i/>
          <w:sz w:val="22"/>
          <w:szCs w:val="22"/>
          <w:u w:val="single"/>
        </w:rPr>
        <w:t>űködési célú átvett pénzeszközök</w:t>
      </w:r>
      <w:r w:rsidR="00595BC2" w:rsidRPr="00935927">
        <w:rPr>
          <w:rFonts w:ascii="Arial" w:hAnsi="Arial" w:cs="Arial"/>
          <w:sz w:val="22"/>
          <w:szCs w:val="22"/>
        </w:rPr>
        <w:t xml:space="preserve"> előirányzattal eredeti előirányzatként nem számolunk.</w:t>
      </w:r>
    </w:p>
    <w:p w14:paraId="43EB8668" w14:textId="77777777" w:rsidR="006325C2" w:rsidRPr="00935927" w:rsidRDefault="006325C2" w:rsidP="006325C2">
      <w:pPr>
        <w:spacing w:line="276" w:lineRule="auto"/>
        <w:jc w:val="both"/>
        <w:rPr>
          <w:rFonts w:ascii="Arial" w:hAnsi="Arial" w:cs="Arial"/>
          <w:sz w:val="22"/>
          <w:szCs w:val="22"/>
        </w:rPr>
      </w:pPr>
    </w:p>
    <w:p w14:paraId="3D902736" w14:textId="03B2B643" w:rsidR="006325C2" w:rsidRPr="00935927" w:rsidRDefault="00595BC2" w:rsidP="006325C2">
      <w:pPr>
        <w:spacing w:line="276" w:lineRule="auto"/>
        <w:jc w:val="both"/>
        <w:rPr>
          <w:rFonts w:ascii="Arial" w:hAnsi="Arial" w:cs="Arial"/>
          <w:sz w:val="22"/>
          <w:szCs w:val="22"/>
        </w:rPr>
      </w:pPr>
      <w:r w:rsidRPr="00935927">
        <w:rPr>
          <w:rFonts w:ascii="Arial" w:hAnsi="Arial" w:cs="Arial"/>
          <w:sz w:val="22"/>
          <w:szCs w:val="22"/>
        </w:rPr>
        <w:t xml:space="preserve">A </w:t>
      </w:r>
      <w:r w:rsidRPr="00935927">
        <w:rPr>
          <w:rFonts w:ascii="Arial" w:hAnsi="Arial" w:cs="Arial"/>
          <w:sz w:val="22"/>
          <w:szCs w:val="22"/>
          <w:u w:val="single"/>
        </w:rPr>
        <w:t>k</w:t>
      </w:r>
      <w:r w:rsidR="006325C2" w:rsidRPr="00935927">
        <w:rPr>
          <w:rFonts w:ascii="Arial" w:hAnsi="Arial" w:cs="Arial"/>
          <w:i/>
          <w:sz w:val="22"/>
          <w:szCs w:val="22"/>
          <w:u w:val="single"/>
        </w:rPr>
        <w:t>öltségvetési bevéte</w:t>
      </w:r>
      <w:r w:rsidR="00B97319" w:rsidRPr="00935927">
        <w:rPr>
          <w:rFonts w:ascii="Arial" w:hAnsi="Arial" w:cs="Arial"/>
          <w:i/>
          <w:sz w:val="22"/>
          <w:szCs w:val="22"/>
          <w:u w:val="single"/>
        </w:rPr>
        <w:t>l</w:t>
      </w:r>
      <w:r w:rsidRPr="00935927">
        <w:rPr>
          <w:rFonts w:ascii="Arial" w:hAnsi="Arial" w:cs="Arial"/>
          <w:i/>
          <w:sz w:val="22"/>
          <w:szCs w:val="22"/>
          <w:u w:val="single"/>
        </w:rPr>
        <w:t>ek</w:t>
      </w:r>
      <w:r w:rsidR="00B97319" w:rsidRPr="00935927">
        <w:rPr>
          <w:rFonts w:ascii="Arial" w:hAnsi="Arial" w:cs="Arial"/>
          <w:i/>
          <w:sz w:val="22"/>
          <w:szCs w:val="22"/>
        </w:rPr>
        <w:t xml:space="preserve"> </w:t>
      </w:r>
      <w:r w:rsidRPr="00935927">
        <w:rPr>
          <w:rFonts w:ascii="Arial" w:hAnsi="Arial" w:cs="Arial"/>
          <w:sz w:val="22"/>
          <w:szCs w:val="22"/>
        </w:rPr>
        <w:t>előirányzata 1</w:t>
      </w:r>
      <w:r w:rsidR="006C513A">
        <w:rPr>
          <w:rFonts w:ascii="Arial" w:hAnsi="Arial" w:cs="Arial"/>
          <w:sz w:val="22"/>
          <w:szCs w:val="22"/>
        </w:rPr>
        <w:t> 321 706 825 Ft</w:t>
      </w:r>
      <w:r w:rsidR="006325C2" w:rsidRPr="00935927">
        <w:rPr>
          <w:rFonts w:ascii="Arial" w:hAnsi="Arial" w:cs="Arial"/>
          <w:sz w:val="22"/>
          <w:szCs w:val="22"/>
        </w:rPr>
        <w:t xml:space="preserve">. </w:t>
      </w:r>
    </w:p>
    <w:p w14:paraId="5E3D1DE1" w14:textId="77777777" w:rsidR="006325C2" w:rsidRPr="00935927" w:rsidRDefault="006325C2" w:rsidP="006325C2">
      <w:pPr>
        <w:spacing w:line="276" w:lineRule="auto"/>
        <w:jc w:val="both"/>
        <w:rPr>
          <w:rFonts w:ascii="Arial" w:hAnsi="Arial" w:cs="Arial"/>
          <w:sz w:val="22"/>
          <w:szCs w:val="22"/>
        </w:rPr>
      </w:pPr>
    </w:p>
    <w:p w14:paraId="6F31D7B6" w14:textId="5E324C0E" w:rsidR="00935927" w:rsidRDefault="00B97319" w:rsidP="006325C2">
      <w:pPr>
        <w:spacing w:line="276" w:lineRule="auto"/>
        <w:jc w:val="both"/>
        <w:rPr>
          <w:rFonts w:ascii="Arial" w:hAnsi="Arial" w:cs="Arial"/>
          <w:sz w:val="22"/>
          <w:szCs w:val="22"/>
        </w:rPr>
      </w:pPr>
      <w:r w:rsidRPr="008D2A36">
        <w:rPr>
          <w:rFonts w:ascii="Arial" w:hAnsi="Arial" w:cs="Arial"/>
          <w:sz w:val="22"/>
          <w:szCs w:val="22"/>
        </w:rPr>
        <w:t xml:space="preserve">A </w:t>
      </w:r>
      <w:proofErr w:type="gramStart"/>
      <w:r w:rsidRPr="008D2A36">
        <w:rPr>
          <w:rFonts w:ascii="Arial" w:hAnsi="Arial" w:cs="Arial"/>
          <w:sz w:val="22"/>
          <w:szCs w:val="22"/>
          <w:u w:val="single"/>
        </w:rPr>
        <w:t>finanszírozási</w:t>
      </w:r>
      <w:proofErr w:type="gramEnd"/>
      <w:r w:rsidRPr="008D2A36">
        <w:rPr>
          <w:rFonts w:ascii="Arial" w:hAnsi="Arial" w:cs="Arial"/>
          <w:sz w:val="22"/>
          <w:szCs w:val="22"/>
          <w:u w:val="single"/>
        </w:rPr>
        <w:t xml:space="preserve"> bevétel</w:t>
      </w:r>
      <w:r w:rsidR="00935927" w:rsidRPr="008D2A36">
        <w:rPr>
          <w:rFonts w:ascii="Arial" w:hAnsi="Arial" w:cs="Arial"/>
          <w:sz w:val="22"/>
          <w:szCs w:val="22"/>
          <w:u w:val="single"/>
        </w:rPr>
        <w:t>ek</w:t>
      </w:r>
      <w:r w:rsidRPr="008D2A36">
        <w:rPr>
          <w:rFonts w:ascii="Arial" w:hAnsi="Arial" w:cs="Arial"/>
          <w:sz w:val="22"/>
          <w:szCs w:val="22"/>
        </w:rPr>
        <w:t xml:space="preserve"> </w:t>
      </w:r>
      <w:r w:rsidR="00935927" w:rsidRPr="008D2A36">
        <w:rPr>
          <w:rFonts w:ascii="Arial" w:hAnsi="Arial" w:cs="Arial"/>
          <w:sz w:val="22"/>
          <w:szCs w:val="22"/>
        </w:rPr>
        <w:t xml:space="preserve"> előirányzata </w:t>
      </w:r>
      <w:r w:rsidR="006C513A" w:rsidRPr="008D2A36">
        <w:rPr>
          <w:rFonts w:ascii="Arial" w:hAnsi="Arial" w:cs="Arial"/>
          <w:sz w:val="22"/>
          <w:szCs w:val="22"/>
        </w:rPr>
        <w:t>233 226 419</w:t>
      </w:r>
      <w:r w:rsidR="00935927" w:rsidRPr="008D2A36">
        <w:rPr>
          <w:rFonts w:ascii="Arial" w:hAnsi="Arial" w:cs="Arial"/>
          <w:sz w:val="22"/>
          <w:szCs w:val="22"/>
        </w:rPr>
        <w:t xml:space="preserve"> Ft, ami az előző évi pénzmaradvány összege. </w:t>
      </w:r>
      <w:r w:rsidR="00F755D3" w:rsidRPr="008D2A36">
        <w:rPr>
          <w:rFonts w:ascii="Arial" w:hAnsi="Arial" w:cs="Arial"/>
          <w:sz w:val="22"/>
          <w:szCs w:val="22"/>
        </w:rPr>
        <w:t xml:space="preserve">A </w:t>
      </w:r>
      <w:proofErr w:type="gramStart"/>
      <w:r w:rsidR="00F755D3" w:rsidRPr="008D2A36">
        <w:rPr>
          <w:rFonts w:ascii="Arial" w:hAnsi="Arial" w:cs="Arial"/>
          <w:sz w:val="22"/>
          <w:szCs w:val="22"/>
        </w:rPr>
        <w:t>maradvány döntő</w:t>
      </w:r>
      <w:proofErr w:type="gramEnd"/>
      <w:r w:rsidR="00F755D3" w:rsidRPr="008D2A36">
        <w:rPr>
          <w:rFonts w:ascii="Arial" w:hAnsi="Arial" w:cs="Arial"/>
          <w:sz w:val="22"/>
          <w:szCs w:val="22"/>
        </w:rPr>
        <w:t xml:space="preserve"> része céljelleggel áll ren</w:t>
      </w:r>
      <w:r w:rsidR="008D2A36" w:rsidRPr="008D2A36">
        <w:rPr>
          <w:rFonts w:ascii="Arial" w:hAnsi="Arial" w:cs="Arial"/>
          <w:sz w:val="22"/>
          <w:szCs w:val="22"/>
        </w:rPr>
        <w:t xml:space="preserve">delkezésre, a szabad része mintegy 90 000 000 </w:t>
      </w:r>
      <w:r w:rsidR="00F755D3" w:rsidRPr="008D2A36">
        <w:rPr>
          <w:rFonts w:ascii="Arial" w:hAnsi="Arial" w:cs="Arial"/>
          <w:sz w:val="22"/>
          <w:szCs w:val="22"/>
        </w:rPr>
        <w:t>Ft.</w:t>
      </w:r>
    </w:p>
    <w:p w14:paraId="760F77B4" w14:textId="77777777" w:rsidR="00935927" w:rsidRDefault="00935927" w:rsidP="006325C2">
      <w:pPr>
        <w:spacing w:line="276" w:lineRule="auto"/>
        <w:jc w:val="both"/>
        <w:rPr>
          <w:rFonts w:ascii="Arial" w:hAnsi="Arial" w:cs="Arial"/>
          <w:sz w:val="22"/>
          <w:szCs w:val="22"/>
        </w:rPr>
      </w:pPr>
    </w:p>
    <w:p w14:paraId="69B023B7" w14:textId="793E18E2" w:rsidR="006325C2" w:rsidRPr="00935927" w:rsidRDefault="006325C2" w:rsidP="006325C2">
      <w:pPr>
        <w:spacing w:line="276" w:lineRule="auto"/>
        <w:jc w:val="both"/>
        <w:rPr>
          <w:rFonts w:ascii="Arial" w:hAnsi="Arial" w:cs="Arial"/>
          <w:sz w:val="22"/>
          <w:szCs w:val="22"/>
        </w:rPr>
      </w:pPr>
      <w:r w:rsidRPr="00935927">
        <w:rPr>
          <w:rFonts w:ascii="Arial" w:hAnsi="Arial" w:cs="Arial"/>
          <w:sz w:val="22"/>
          <w:szCs w:val="22"/>
        </w:rPr>
        <w:t>Bátaszé</w:t>
      </w:r>
      <w:r w:rsidR="00935927" w:rsidRPr="00935927">
        <w:rPr>
          <w:rFonts w:ascii="Arial" w:hAnsi="Arial" w:cs="Arial"/>
          <w:sz w:val="22"/>
          <w:szCs w:val="22"/>
        </w:rPr>
        <w:t xml:space="preserve">k Város Önkormányzatának </w:t>
      </w:r>
      <w:r w:rsidR="00935927" w:rsidRPr="00935927">
        <w:rPr>
          <w:rFonts w:ascii="Arial" w:hAnsi="Arial" w:cs="Arial"/>
          <w:b/>
          <w:sz w:val="22"/>
          <w:szCs w:val="22"/>
        </w:rPr>
        <w:t>BEVÉTELI FŐ ÖSSZEGE</w:t>
      </w:r>
      <w:r w:rsidRPr="00935927">
        <w:rPr>
          <w:rFonts w:ascii="Arial" w:hAnsi="Arial" w:cs="Arial"/>
          <w:sz w:val="22"/>
          <w:szCs w:val="22"/>
        </w:rPr>
        <w:t xml:space="preserve"> </w:t>
      </w:r>
      <w:r w:rsidR="006C513A">
        <w:rPr>
          <w:rFonts w:ascii="Arial" w:hAnsi="Arial" w:cs="Arial"/>
          <w:b/>
          <w:sz w:val="22"/>
          <w:szCs w:val="22"/>
        </w:rPr>
        <w:t>1 554 933 244</w:t>
      </w:r>
      <w:r w:rsidRPr="00935927">
        <w:rPr>
          <w:rFonts w:ascii="Arial" w:eastAsia="Calibri" w:hAnsi="Arial" w:cs="Arial"/>
          <w:b/>
          <w:sz w:val="22"/>
          <w:szCs w:val="22"/>
          <w:lang w:eastAsia="en-US"/>
        </w:rPr>
        <w:t xml:space="preserve"> </w:t>
      </w:r>
      <w:r w:rsidRPr="00935927">
        <w:rPr>
          <w:rFonts w:ascii="Arial" w:hAnsi="Arial" w:cs="Arial"/>
          <w:b/>
          <w:sz w:val="22"/>
          <w:szCs w:val="22"/>
        </w:rPr>
        <w:t>Ft</w:t>
      </w:r>
      <w:r w:rsidRPr="00935927">
        <w:rPr>
          <w:rFonts w:ascii="Arial" w:hAnsi="Arial" w:cs="Arial"/>
          <w:sz w:val="22"/>
          <w:szCs w:val="22"/>
        </w:rPr>
        <w:t>.</w:t>
      </w:r>
    </w:p>
    <w:p w14:paraId="255721A9" w14:textId="77777777" w:rsidR="006325C2" w:rsidRPr="00935927" w:rsidRDefault="006325C2" w:rsidP="006325C2">
      <w:pPr>
        <w:jc w:val="both"/>
        <w:rPr>
          <w:rFonts w:ascii="Arial" w:hAnsi="Arial" w:cs="Arial"/>
          <w:sz w:val="22"/>
          <w:szCs w:val="22"/>
        </w:rPr>
      </w:pPr>
    </w:p>
    <w:p w14:paraId="1AB325BE" w14:textId="77777777" w:rsidR="006325C2" w:rsidRPr="00AE7B18" w:rsidRDefault="006325C2" w:rsidP="006325C2">
      <w:pPr>
        <w:jc w:val="both"/>
        <w:rPr>
          <w:rFonts w:ascii="Arial" w:hAnsi="Arial" w:cs="Arial"/>
          <w:sz w:val="22"/>
          <w:szCs w:val="22"/>
          <w:highlight w:val="yellow"/>
        </w:rPr>
      </w:pPr>
    </w:p>
    <w:p w14:paraId="65BB993A" w14:textId="77777777" w:rsidR="006325C2" w:rsidRPr="00935927" w:rsidRDefault="006325C2" w:rsidP="006325C2">
      <w:pPr>
        <w:jc w:val="both"/>
        <w:rPr>
          <w:rFonts w:ascii="Arial" w:hAnsi="Arial" w:cs="Arial"/>
          <w:b/>
          <w:sz w:val="22"/>
          <w:szCs w:val="22"/>
        </w:rPr>
      </w:pPr>
      <w:r w:rsidRPr="00935927">
        <w:rPr>
          <w:rFonts w:ascii="Arial" w:hAnsi="Arial" w:cs="Arial"/>
          <w:b/>
          <w:sz w:val="22"/>
          <w:szCs w:val="22"/>
        </w:rPr>
        <w:t>KIADÁSOK:</w:t>
      </w:r>
    </w:p>
    <w:p w14:paraId="68F2308B" w14:textId="77777777" w:rsidR="006325C2" w:rsidRPr="00AE7B18" w:rsidRDefault="006325C2" w:rsidP="006325C2">
      <w:pPr>
        <w:jc w:val="both"/>
        <w:rPr>
          <w:rFonts w:ascii="Arial" w:hAnsi="Arial" w:cs="Arial"/>
          <w:sz w:val="22"/>
          <w:szCs w:val="22"/>
          <w:highlight w:val="yellow"/>
        </w:rPr>
      </w:pPr>
    </w:p>
    <w:p w14:paraId="2E3D229C" w14:textId="77777777" w:rsidR="006325C2" w:rsidRPr="00B21587" w:rsidRDefault="006325C2" w:rsidP="006325C2">
      <w:pPr>
        <w:spacing w:before="120" w:line="276" w:lineRule="auto"/>
        <w:jc w:val="both"/>
        <w:rPr>
          <w:rFonts w:ascii="Arial" w:hAnsi="Arial" w:cs="Arial"/>
          <w:sz w:val="22"/>
          <w:szCs w:val="22"/>
        </w:rPr>
      </w:pPr>
      <w:r w:rsidRPr="00B21587">
        <w:rPr>
          <w:rFonts w:ascii="Arial" w:hAnsi="Arial" w:cs="Arial"/>
          <w:sz w:val="22"/>
          <w:szCs w:val="22"/>
        </w:rPr>
        <w:t>A költségvetési rendeletben szereplő kiadási jogcímek részletezése:</w:t>
      </w:r>
    </w:p>
    <w:tbl>
      <w:tblPr>
        <w:tblpPr w:leftFromText="141" w:rightFromText="141"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6325C2" w:rsidRPr="00035DFD" w14:paraId="41F1DEFD"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7A65738A" w14:textId="77777777" w:rsidR="006325C2" w:rsidRPr="00035DFD" w:rsidRDefault="006325C2">
            <w:pPr>
              <w:jc w:val="both"/>
              <w:rPr>
                <w:rFonts w:ascii="Arial" w:hAnsi="Arial" w:cs="Arial"/>
                <w:b/>
                <w:sz w:val="22"/>
                <w:szCs w:val="22"/>
              </w:rPr>
            </w:pPr>
            <w:r w:rsidRPr="00035DFD">
              <w:rPr>
                <w:rFonts w:ascii="Arial" w:hAnsi="Arial" w:cs="Arial"/>
                <w:sz w:val="22"/>
                <w:szCs w:val="22"/>
              </w:rPr>
              <w:t>Személyi juttatások</w:t>
            </w:r>
          </w:p>
        </w:tc>
        <w:tc>
          <w:tcPr>
            <w:tcW w:w="3118" w:type="dxa"/>
            <w:tcBorders>
              <w:top w:val="single" w:sz="4" w:space="0" w:color="auto"/>
              <w:left w:val="single" w:sz="4" w:space="0" w:color="auto"/>
              <w:bottom w:val="single" w:sz="4" w:space="0" w:color="auto"/>
              <w:right w:val="single" w:sz="4" w:space="0" w:color="auto"/>
            </w:tcBorders>
            <w:hideMark/>
          </w:tcPr>
          <w:p w14:paraId="210E702B" w14:textId="4A86ECD4" w:rsidR="006325C2" w:rsidRPr="00035DFD" w:rsidRDefault="006C513A">
            <w:pPr>
              <w:jc w:val="right"/>
              <w:rPr>
                <w:rFonts w:ascii="Arial" w:hAnsi="Arial" w:cs="Arial"/>
                <w:sz w:val="22"/>
                <w:szCs w:val="22"/>
              </w:rPr>
            </w:pPr>
            <w:r w:rsidRPr="00035DFD">
              <w:rPr>
                <w:rFonts w:ascii="Arial" w:hAnsi="Arial" w:cs="Arial"/>
                <w:sz w:val="22"/>
                <w:szCs w:val="22"/>
              </w:rPr>
              <w:t>205 810 000</w:t>
            </w:r>
          </w:p>
        </w:tc>
      </w:tr>
      <w:tr w:rsidR="006325C2" w:rsidRPr="00035DFD" w14:paraId="115647EF"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770460AE" w14:textId="77777777" w:rsidR="006325C2" w:rsidRPr="00035DFD" w:rsidRDefault="006325C2">
            <w:pPr>
              <w:jc w:val="both"/>
              <w:rPr>
                <w:rFonts w:ascii="Arial" w:hAnsi="Arial" w:cs="Arial"/>
                <w:b/>
                <w:sz w:val="22"/>
                <w:szCs w:val="22"/>
              </w:rPr>
            </w:pPr>
            <w:r w:rsidRPr="00035DFD">
              <w:rPr>
                <w:rFonts w:ascii="Arial" w:hAnsi="Arial" w:cs="Arial"/>
                <w:sz w:val="22"/>
                <w:szCs w:val="22"/>
              </w:rPr>
              <w:t>Munkaadókat terhelő járulékok és szociális hozzájárulási adó</w:t>
            </w:r>
          </w:p>
        </w:tc>
        <w:tc>
          <w:tcPr>
            <w:tcW w:w="3118" w:type="dxa"/>
            <w:tcBorders>
              <w:top w:val="single" w:sz="4" w:space="0" w:color="auto"/>
              <w:left w:val="single" w:sz="4" w:space="0" w:color="auto"/>
              <w:bottom w:val="single" w:sz="4" w:space="0" w:color="auto"/>
              <w:right w:val="single" w:sz="4" w:space="0" w:color="auto"/>
            </w:tcBorders>
            <w:hideMark/>
          </w:tcPr>
          <w:p w14:paraId="7DFDEC11" w14:textId="1290B84E" w:rsidR="006325C2" w:rsidRPr="00035DFD" w:rsidRDefault="006C513A">
            <w:pPr>
              <w:jc w:val="right"/>
              <w:rPr>
                <w:rFonts w:ascii="Arial" w:hAnsi="Arial" w:cs="Arial"/>
                <w:sz w:val="22"/>
                <w:szCs w:val="22"/>
              </w:rPr>
            </w:pPr>
            <w:r w:rsidRPr="00035DFD">
              <w:rPr>
                <w:rFonts w:ascii="Arial" w:hAnsi="Arial" w:cs="Arial"/>
                <w:sz w:val="22"/>
                <w:szCs w:val="22"/>
              </w:rPr>
              <w:t>27 295 170</w:t>
            </w:r>
          </w:p>
        </w:tc>
      </w:tr>
      <w:tr w:rsidR="006325C2" w:rsidRPr="00035DFD" w14:paraId="23D7F62C"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361243C3" w14:textId="77777777" w:rsidR="006325C2" w:rsidRPr="00035DFD" w:rsidRDefault="006325C2">
            <w:pPr>
              <w:jc w:val="both"/>
              <w:rPr>
                <w:rFonts w:ascii="Arial" w:hAnsi="Arial" w:cs="Arial"/>
                <w:b/>
                <w:sz w:val="22"/>
                <w:szCs w:val="22"/>
              </w:rPr>
            </w:pPr>
            <w:r w:rsidRPr="00035DFD">
              <w:rPr>
                <w:rFonts w:ascii="Arial" w:hAnsi="Arial" w:cs="Arial"/>
                <w:sz w:val="22"/>
                <w:szCs w:val="22"/>
              </w:rPr>
              <w:t>Dologi kiadások</w:t>
            </w:r>
          </w:p>
        </w:tc>
        <w:tc>
          <w:tcPr>
            <w:tcW w:w="3118" w:type="dxa"/>
            <w:tcBorders>
              <w:top w:val="single" w:sz="4" w:space="0" w:color="auto"/>
              <w:left w:val="single" w:sz="4" w:space="0" w:color="auto"/>
              <w:bottom w:val="single" w:sz="4" w:space="0" w:color="auto"/>
              <w:right w:val="single" w:sz="4" w:space="0" w:color="auto"/>
            </w:tcBorders>
            <w:hideMark/>
          </w:tcPr>
          <w:p w14:paraId="75BE628F" w14:textId="09373848" w:rsidR="006325C2" w:rsidRPr="00035DFD" w:rsidRDefault="00EF0D81">
            <w:pPr>
              <w:jc w:val="right"/>
              <w:rPr>
                <w:rFonts w:ascii="Arial" w:hAnsi="Arial" w:cs="Arial"/>
                <w:sz w:val="22"/>
                <w:szCs w:val="22"/>
              </w:rPr>
            </w:pPr>
            <w:r>
              <w:rPr>
                <w:rFonts w:ascii="Arial" w:hAnsi="Arial" w:cs="Arial"/>
                <w:sz w:val="22"/>
                <w:szCs w:val="22"/>
              </w:rPr>
              <w:t>212 486 845</w:t>
            </w:r>
          </w:p>
        </w:tc>
      </w:tr>
      <w:tr w:rsidR="006325C2" w:rsidRPr="00035DFD" w14:paraId="32A41597"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2F0BB0F4" w14:textId="77777777" w:rsidR="006325C2" w:rsidRPr="00035DFD" w:rsidRDefault="006325C2">
            <w:pPr>
              <w:jc w:val="both"/>
              <w:rPr>
                <w:rFonts w:ascii="Arial" w:hAnsi="Arial" w:cs="Arial"/>
                <w:b/>
                <w:sz w:val="22"/>
                <w:szCs w:val="22"/>
              </w:rPr>
            </w:pPr>
            <w:r w:rsidRPr="00035DFD">
              <w:rPr>
                <w:rFonts w:ascii="Arial" w:hAnsi="Arial" w:cs="Arial"/>
                <w:sz w:val="22"/>
                <w:szCs w:val="22"/>
              </w:rPr>
              <w:t>Ellátottak pénzbeli juttatásai</w:t>
            </w:r>
          </w:p>
        </w:tc>
        <w:tc>
          <w:tcPr>
            <w:tcW w:w="3118" w:type="dxa"/>
            <w:tcBorders>
              <w:top w:val="single" w:sz="4" w:space="0" w:color="auto"/>
              <w:left w:val="single" w:sz="4" w:space="0" w:color="auto"/>
              <w:bottom w:val="single" w:sz="4" w:space="0" w:color="auto"/>
              <w:right w:val="single" w:sz="4" w:space="0" w:color="auto"/>
            </w:tcBorders>
            <w:hideMark/>
          </w:tcPr>
          <w:p w14:paraId="6E90589B" w14:textId="4AD003EF" w:rsidR="006325C2" w:rsidRPr="00035DFD" w:rsidRDefault="006C513A">
            <w:pPr>
              <w:jc w:val="right"/>
              <w:rPr>
                <w:rFonts w:ascii="Arial" w:hAnsi="Arial" w:cs="Arial"/>
                <w:sz w:val="22"/>
                <w:szCs w:val="22"/>
              </w:rPr>
            </w:pPr>
            <w:r w:rsidRPr="00035DFD">
              <w:rPr>
                <w:rFonts w:ascii="Arial" w:hAnsi="Arial" w:cs="Arial"/>
                <w:sz w:val="22"/>
                <w:szCs w:val="22"/>
              </w:rPr>
              <w:t>17 960 000</w:t>
            </w:r>
          </w:p>
        </w:tc>
      </w:tr>
      <w:tr w:rsidR="006325C2" w:rsidRPr="00035DFD" w14:paraId="56070BC8"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5BDD0F41" w14:textId="77777777" w:rsidR="006325C2" w:rsidRPr="00035DFD" w:rsidRDefault="006325C2">
            <w:pPr>
              <w:jc w:val="both"/>
              <w:rPr>
                <w:rFonts w:ascii="Arial" w:hAnsi="Arial" w:cs="Arial"/>
                <w:b/>
                <w:sz w:val="22"/>
                <w:szCs w:val="22"/>
              </w:rPr>
            </w:pPr>
            <w:r w:rsidRPr="00035DFD">
              <w:rPr>
                <w:rFonts w:ascii="Arial" w:hAnsi="Arial" w:cs="Arial"/>
                <w:sz w:val="22"/>
                <w:szCs w:val="22"/>
              </w:rPr>
              <w:t>Egyéb működési célú kiadások</w:t>
            </w:r>
          </w:p>
        </w:tc>
        <w:tc>
          <w:tcPr>
            <w:tcW w:w="3118" w:type="dxa"/>
            <w:tcBorders>
              <w:top w:val="single" w:sz="4" w:space="0" w:color="auto"/>
              <w:left w:val="single" w:sz="4" w:space="0" w:color="auto"/>
              <w:bottom w:val="single" w:sz="4" w:space="0" w:color="auto"/>
              <w:right w:val="single" w:sz="4" w:space="0" w:color="auto"/>
            </w:tcBorders>
            <w:hideMark/>
          </w:tcPr>
          <w:p w14:paraId="4A9F22CE" w14:textId="6AEBD3E2" w:rsidR="006325C2" w:rsidRPr="00035DFD" w:rsidRDefault="00EF0D81">
            <w:pPr>
              <w:jc w:val="right"/>
              <w:rPr>
                <w:rFonts w:ascii="Arial" w:hAnsi="Arial" w:cs="Arial"/>
                <w:sz w:val="22"/>
                <w:szCs w:val="22"/>
              </w:rPr>
            </w:pPr>
            <w:r>
              <w:rPr>
                <w:rFonts w:ascii="Arial" w:hAnsi="Arial" w:cs="Arial"/>
                <w:sz w:val="22"/>
                <w:szCs w:val="22"/>
              </w:rPr>
              <w:t>895 844 286</w:t>
            </w:r>
            <w:r w:rsidR="006C513A" w:rsidRPr="00035DFD">
              <w:rPr>
                <w:rFonts w:ascii="Arial" w:hAnsi="Arial" w:cs="Arial"/>
                <w:sz w:val="22"/>
                <w:szCs w:val="22"/>
              </w:rPr>
              <w:t xml:space="preserve"> </w:t>
            </w:r>
          </w:p>
        </w:tc>
      </w:tr>
      <w:tr w:rsidR="006325C2" w:rsidRPr="00035DFD" w14:paraId="5C11EE53"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675BD46A" w14:textId="75C2BD17" w:rsidR="006325C2" w:rsidRPr="00035DFD" w:rsidRDefault="006C513A">
            <w:pPr>
              <w:jc w:val="both"/>
              <w:rPr>
                <w:rFonts w:ascii="Arial" w:hAnsi="Arial" w:cs="Arial"/>
                <w:sz w:val="22"/>
                <w:szCs w:val="22"/>
              </w:rPr>
            </w:pPr>
            <w:r w:rsidRPr="00035DFD">
              <w:rPr>
                <w:rFonts w:ascii="Arial" w:hAnsi="Arial" w:cs="Arial"/>
                <w:sz w:val="22"/>
                <w:szCs w:val="22"/>
              </w:rPr>
              <w:t xml:space="preserve">       Ebből: </w:t>
            </w:r>
            <w:r w:rsidR="006325C2" w:rsidRPr="00035DFD">
              <w:rPr>
                <w:rFonts w:ascii="Arial" w:hAnsi="Arial" w:cs="Arial"/>
                <w:sz w:val="22"/>
                <w:szCs w:val="22"/>
              </w:rPr>
              <w:t>Tartalék</w:t>
            </w:r>
          </w:p>
        </w:tc>
        <w:tc>
          <w:tcPr>
            <w:tcW w:w="3118" w:type="dxa"/>
            <w:tcBorders>
              <w:top w:val="single" w:sz="4" w:space="0" w:color="auto"/>
              <w:left w:val="single" w:sz="4" w:space="0" w:color="auto"/>
              <w:bottom w:val="single" w:sz="4" w:space="0" w:color="auto"/>
              <w:right w:val="single" w:sz="4" w:space="0" w:color="auto"/>
            </w:tcBorders>
            <w:hideMark/>
          </w:tcPr>
          <w:p w14:paraId="48F0E1C4" w14:textId="4E86A21F" w:rsidR="006325C2" w:rsidRPr="00035DFD" w:rsidRDefault="00EF0D81">
            <w:pPr>
              <w:jc w:val="right"/>
              <w:rPr>
                <w:rFonts w:ascii="Arial" w:hAnsi="Arial" w:cs="Arial"/>
                <w:sz w:val="22"/>
                <w:szCs w:val="22"/>
              </w:rPr>
            </w:pPr>
            <w:r>
              <w:rPr>
                <w:rFonts w:ascii="Arial" w:hAnsi="Arial" w:cs="Arial"/>
                <w:sz w:val="22"/>
                <w:szCs w:val="22"/>
              </w:rPr>
              <w:t>37 225 473</w:t>
            </w:r>
          </w:p>
        </w:tc>
      </w:tr>
      <w:tr w:rsidR="006325C2" w:rsidRPr="00035DFD" w14:paraId="261C5CEF"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36F0C2FD" w14:textId="77777777" w:rsidR="006325C2" w:rsidRPr="00035DFD" w:rsidRDefault="006325C2">
            <w:pPr>
              <w:jc w:val="both"/>
              <w:rPr>
                <w:rFonts w:ascii="Arial" w:hAnsi="Arial" w:cs="Arial"/>
                <w:b/>
                <w:sz w:val="22"/>
                <w:szCs w:val="22"/>
              </w:rPr>
            </w:pPr>
            <w:r w:rsidRPr="00035DFD">
              <w:rPr>
                <w:rFonts w:ascii="Arial" w:hAnsi="Arial" w:cs="Arial"/>
                <w:sz w:val="22"/>
                <w:szCs w:val="22"/>
              </w:rPr>
              <w:t>Beruházások</w:t>
            </w:r>
          </w:p>
        </w:tc>
        <w:tc>
          <w:tcPr>
            <w:tcW w:w="3118" w:type="dxa"/>
            <w:tcBorders>
              <w:top w:val="single" w:sz="4" w:space="0" w:color="auto"/>
              <w:left w:val="single" w:sz="4" w:space="0" w:color="auto"/>
              <w:bottom w:val="single" w:sz="4" w:space="0" w:color="auto"/>
              <w:right w:val="single" w:sz="4" w:space="0" w:color="auto"/>
            </w:tcBorders>
            <w:hideMark/>
          </w:tcPr>
          <w:p w14:paraId="4D753FC6" w14:textId="630932BB" w:rsidR="006325C2" w:rsidRPr="00035DFD" w:rsidRDefault="006C513A">
            <w:pPr>
              <w:jc w:val="right"/>
              <w:rPr>
                <w:rFonts w:ascii="Arial" w:hAnsi="Arial" w:cs="Arial"/>
                <w:sz w:val="22"/>
                <w:szCs w:val="22"/>
              </w:rPr>
            </w:pPr>
            <w:r w:rsidRPr="00035DFD">
              <w:rPr>
                <w:rFonts w:ascii="Arial" w:hAnsi="Arial" w:cs="Arial"/>
                <w:sz w:val="22"/>
                <w:szCs w:val="22"/>
              </w:rPr>
              <w:t>157 563 979</w:t>
            </w:r>
          </w:p>
        </w:tc>
      </w:tr>
      <w:tr w:rsidR="006325C2" w:rsidRPr="00035DFD" w14:paraId="53DAAF69"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2925F3AC" w14:textId="77777777" w:rsidR="006325C2" w:rsidRPr="00035DFD" w:rsidRDefault="006325C2">
            <w:pPr>
              <w:jc w:val="both"/>
              <w:rPr>
                <w:rFonts w:ascii="Arial" w:hAnsi="Arial" w:cs="Arial"/>
                <w:b/>
                <w:sz w:val="22"/>
                <w:szCs w:val="22"/>
              </w:rPr>
            </w:pPr>
            <w:r w:rsidRPr="00035DFD">
              <w:rPr>
                <w:rFonts w:ascii="Arial" w:hAnsi="Arial" w:cs="Arial"/>
                <w:sz w:val="22"/>
                <w:szCs w:val="22"/>
              </w:rPr>
              <w:t>Felújítások</w:t>
            </w:r>
          </w:p>
        </w:tc>
        <w:tc>
          <w:tcPr>
            <w:tcW w:w="3118" w:type="dxa"/>
            <w:tcBorders>
              <w:top w:val="single" w:sz="4" w:space="0" w:color="auto"/>
              <w:left w:val="single" w:sz="4" w:space="0" w:color="auto"/>
              <w:bottom w:val="single" w:sz="4" w:space="0" w:color="auto"/>
              <w:right w:val="single" w:sz="4" w:space="0" w:color="auto"/>
            </w:tcBorders>
            <w:hideMark/>
          </w:tcPr>
          <w:p w14:paraId="3001E5D3" w14:textId="3D30A768" w:rsidR="006325C2" w:rsidRPr="00035DFD" w:rsidRDefault="006C513A">
            <w:pPr>
              <w:jc w:val="right"/>
              <w:rPr>
                <w:rFonts w:ascii="Arial" w:hAnsi="Arial" w:cs="Arial"/>
                <w:sz w:val="22"/>
                <w:szCs w:val="22"/>
              </w:rPr>
            </w:pPr>
            <w:r w:rsidRPr="00035DFD">
              <w:rPr>
                <w:rFonts w:ascii="Arial" w:hAnsi="Arial" w:cs="Arial"/>
                <w:sz w:val="22"/>
                <w:szCs w:val="22"/>
              </w:rPr>
              <w:t>9 700 000</w:t>
            </w:r>
          </w:p>
        </w:tc>
      </w:tr>
      <w:tr w:rsidR="006325C2" w:rsidRPr="00035DFD" w14:paraId="6D43BB14"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07882E3B" w14:textId="77777777" w:rsidR="006325C2" w:rsidRPr="00035DFD" w:rsidRDefault="006325C2">
            <w:pPr>
              <w:jc w:val="both"/>
              <w:rPr>
                <w:rFonts w:ascii="Arial" w:hAnsi="Arial" w:cs="Arial"/>
                <w:b/>
                <w:sz w:val="22"/>
                <w:szCs w:val="22"/>
              </w:rPr>
            </w:pPr>
            <w:r w:rsidRPr="00035DFD">
              <w:rPr>
                <w:rFonts w:ascii="Arial" w:hAnsi="Arial" w:cs="Arial"/>
                <w:sz w:val="22"/>
                <w:szCs w:val="22"/>
              </w:rPr>
              <w:t>Egyéb felhalmozási kiadások</w:t>
            </w:r>
          </w:p>
        </w:tc>
        <w:tc>
          <w:tcPr>
            <w:tcW w:w="3118" w:type="dxa"/>
            <w:tcBorders>
              <w:top w:val="single" w:sz="4" w:space="0" w:color="auto"/>
              <w:left w:val="single" w:sz="4" w:space="0" w:color="auto"/>
              <w:bottom w:val="single" w:sz="4" w:space="0" w:color="auto"/>
              <w:right w:val="single" w:sz="4" w:space="0" w:color="auto"/>
            </w:tcBorders>
            <w:hideMark/>
          </w:tcPr>
          <w:p w14:paraId="0E62542B" w14:textId="0C4050AE" w:rsidR="006325C2" w:rsidRPr="00035DFD" w:rsidRDefault="006C513A">
            <w:pPr>
              <w:jc w:val="right"/>
              <w:rPr>
                <w:rFonts w:ascii="Arial" w:hAnsi="Arial" w:cs="Arial"/>
                <w:sz w:val="22"/>
                <w:szCs w:val="22"/>
              </w:rPr>
            </w:pPr>
            <w:r w:rsidRPr="00035DFD">
              <w:rPr>
                <w:rFonts w:ascii="Arial" w:hAnsi="Arial" w:cs="Arial"/>
                <w:sz w:val="22"/>
                <w:szCs w:val="22"/>
              </w:rPr>
              <w:t>215 900</w:t>
            </w:r>
          </w:p>
        </w:tc>
      </w:tr>
      <w:tr w:rsidR="006325C2" w:rsidRPr="00035DFD" w14:paraId="77C7017E"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5A6CD6B7" w14:textId="77777777" w:rsidR="006325C2" w:rsidRPr="00035DFD" w:rsidRDefault="006325C2">
            <w:pPr>
              <w:jc w:val="both"/>
              <w:rPr>
                <w:rFonts w:ascii="Arial" w:hAnsi="Arial" w:cs="Arial"/>
                <w:b/>
                <w:sz w:val="22"/>
                <w:szCs w:val="22"/>
              </w:rPr>
            </w:pPr>
            <w:r w:rsidRPr="00035DFD">
              <w:rPr>
                <w:rFonts w:ascii="Arial" w:hAnsi="Arial" w:cs="Arial"/>
                <w:b/>
                <w:sz w:val="22"/>
                <w:szCs w:val="22"/>
              </w:rPr>
              <w:t>Költségvetési kiadások összesen:</w:t>
            </w:r>
          </w:p>
        </w:tc>
        <w:tc>
          <w:tcPr>
            <w:tcW w:w="3118" w:type="dxa"/>
            <w:tcBorders>
              <w:top w:val="single" w:sz="4" w:space="0" w:color="auto"/>
              <w:left w:val="single" w:sz="4" w:space="0" w:color="auto"/>
              <w:bottom w:val="single" w:sz="4" w:space="0" w:color="auto"/>
              <w:right w:val="single" w:sz="4" w:space="0" w:color="auto"/>
            </w:tcBorders>
            <w:hideMark/>
          </w:tcPr>
          <w:p w14:paraId="1C760C6A" w14:textId="183B92A6" w:rsidR="006325C2" w:rsidRPr="00035DFD" w:rsidRDefault="006C513A">
            <w:pPr>
              <w:jc w:val="right"/>
              <w:rPr>
                <w:rFonts w:ascii="Arial" w:hAnsi="Arial" w:cs="Arial"/>
                <w:b/>
                <w:sz w:val="22"/>
                <w:szCs w:val="22"/>
              </w:rPr>
            </w:pPr>
            <w:r w:rsidRPr="00035DFD">
              <w:rPr>
                <w:rFonts w:ascii="Arial" w:hAnsi="Arial" w:cs="Arial"/>
                <w:b/>
                <w:sz w:val="22"/>
                <w:szCs w:val="22"/>
              </w:rPr>
              <w:t>1 526 876 180</w:t>
            </w:r>
          </w:p>
        </w:tc>
      </w:tr>
      <w:tr w:rsidR="006325C2" w:rsidRPr="00035DFD" w14:paraId="07888F5E"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28912773" w14:textId="77777777" w:rsidR="006325C2" w:rsidRPr="00035DFD" w:rsidRDefault="006325C2">
            <w:pPr>
              <w:rPr>
                <w:rFonts w:ascii="Arial" w:hAnsi="Arial" w:cs="Arial"/>
                <w:sz w:val="22"/>
                <w:szCs w:val="22"/>
              </w:rPr>
            </w:pPr>
            <w:r w:rsidRPr="00035DFD">
              <w:rPr>
                <w:rFonts w:ascii="Arial" w:hAnsi="Arial" w:cs="Arial"/>
                <w:sz w:val="22"/>
                <w:szCs w:val="22"/>
              </w:rPr>
              <w:t xml:space="preserve">Belföldi </w:t>
            </w:r>
            <w:proofErr w:type="gramStart"/>
            <w:r w:rsidRPr="00035DFD">
              <w:rPr>
                <w:rFonts w:ascii="Arial" w:hAnsi="Arial" w:cs="Arial"/>
                <w:sz w:val="22"/>
                <w:szCs w:val="22"/>
              </w:rPr>
              <w:t>finanszírozás</w:t>
            </w:r>
            <w:proofErr w:type="gramEnd"/>
            <w:r w:rsidRPr="00035DFD">
              <w:rPr>
                <w:rFonts w:ascii="Arial" w:hAnsi="Arial" w:cs="Arial"/>
                <w:sz w:val="22"/>
                <w:szCs w:val="22"/>
              </w:rPr>
              <w:t xml:space="preserve"> kiadásai </w:t>
            </w:r>
          </w:p>
        </w:tc>
        <w:tc>
          <w:tcPr>
            <w:tcW w:w="3118" w:type="dxa"/>
            <w:tcBorders>
              <w:top w:val="single" w:sz="4" w:space="0" w:color="auto"/>
              <w:left w:val="single" w:sz="4" w:space="0" w:color="auto"/>
              <w:bottom w:val="single" w:sz="4" w:space="0" w:color="auto"/>
              <w:right w:val="single" w:sz="4" w:space="0" w:color="auto"/>
            </w:tcBorders>
            <w:hideMark/>
          </w:tcPr>
          <w:p w14:paraId="63A3372C" w14:textId="30657DC7" w:rsidR="006325C2" w:rsidRPr="00035DFD" w:rsidRDefault="006C513A">
            <w:pPr>
              <w:jc w:val="right"/>
              <w:rPr>
                <w:rFonts w:ascii="Arial" w:hAnsi="Arial" w:cs="Arial"/>
                <w:sz w:val="22"/>
                <w:szCs w:val="22"/>
              </w:rPr>
            </w:pPr>
            <w:r w:rsidRPr="00035DFD">
              <w:rPr>
                <w:rFonts w:ascii="Arial" w:hAnsi="Arial" w:cs="Arial"/>
                <w:sz w:val="22"/>
                <w:szCs w:val="22"/>
              </w:rPr>
              <w:t>28 057 064</w:t>
            </w:r>
          </w:p>
        </w:tc>
      </w:tr>
      <w:tr w:rsidR="006325C2" w:rsidRPr="00035DFD" w14:paraId="1731A133"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1CF0D0B5" w14:textId="77777777" w:rsidR="006325C2" w:rsidRPr="00035DFD" w:rsidRDefault="006325C2">
            <w:pPr>
              <w:jc w:val="both"/>
              <w:rPr>
                <w:rFonts w:ascii="Arial" w:hAnsi="Arial" w:cs="Arial"/>
                <w:b/>
                <w:sz w:val="22"/>
                <w:szCs w:val="22"/>
              </w:rPr>
            </w:pPr>
            <w:proofErr w:type="gramStart"/>
            <w:r w:rsidRPr="00035DFD">
              <w:rPr>
                <w:rFonts w:ascii="Arial" w:hAnsi="Arial" w:cs="Arial"/>
                <w:b/>
                <w:sz w:val="22"/>
                <w:szCs w:val="22"/>
              </w:rPr>
              <w:t>Finanszírozás</w:t>
            </w:r>
            <w:proofErr w:type="gramEnd"/>
            <w:r w:rsidRPr="00035DFD">
              <w:rPr>
                <w:rFonts w:ascii="Arial" w:hAnsi="Arial" w:cs="Arial"/>
                <w:b/>
                <w:sz w:val="22"/>
                <w:szCs w:val="22"/>
              </w:rPr>
              <w:t xml:space="preserve"> kiadások összesen:</w:t>
            </w:r>
          </w:p>
        </w:tc>
        <w:tc>
          <w:tcPr>
            <w:tcW w:w="3118" w:type="dxa"/>
            <w:tcBorders>
              <w:top w:val="single" w:sz="4" w:space="0" w:color="auto"/>
              <w:left w:val="single" w:sz="4" w:space="0" w:color="auto"/>
              <w:bottom w:val="single" w:sz="4" w:space="0" w:color="auto"/>
              <w:right w:val="single" w:sz="4" w:space="0" w:color="auto"/>
            </w:tcBorders>
            <w:hideMark/>
          </w:tcPr>
          <w:p w14:paraId="5D837523" w14:textId="6F74F4CC" w:rsidR="006325C2" w:rsidRPr="00035DFD" w:rsidRDefault="006C513A">
            <w:pPr>
              <w:jc w:val="right"/>
              <w:rPr>
                <w:rFonts w:ascii="Arial" w:eastAsia="Calibri" w:hAnsi="Arial" w:cs="Arial"/>
                <w:b/>
                <w:sz w:val="22"/>
                <w:szCs w:val="22"/>
                <w:lang w:eastAsia="en-US"/>
              </w:rPr>
            </w:pPr>
            <w:r w:rsidRPr="00035DFD">
              <w:rPr>
                <w:rFonts w:ascii="Arial" w:eastAsia="Calibri" w:hAnsi="Arial" w:cs="Arial"/>
                <w:b/>
                <w:sz w:val="22"/>
                <w:szCs w:val="22"/>
                <w:lang w:eastAsia="en-US"/>
              </w:rPr>
              <w:t>28 057 064</w:t>
            </w:r>
          </w:p>
        </w:tc>
      </w:tr>
      <w:tr w:rsidR="006325C2" w:rsidRPr="00AE7B18" w14:paraId="128E200F" w14:textId="77777777" w:rsidTr="006325C2">
        <w:tc>
          <w:tcPr>
            <w:tcW w:w="4928" w:type="dxa"/>
            <w:tcBorders>
              <w:top w:val="single" w:sz="4" w:space="0" w:color="auto"/>
              <w:left w:val="single" w:sz="4" w:space="0" w:color="auto"/>
              <w:bottom w:val="single" w:sz="4" w:space="0" w:color="auto"/>
              <w:right w:val="single" w:sz="4" w:space="0" w:color="auto"/>
            </w:tcBorders>
            <w:hideMark/>
          </w:tcPr>
          <w:p w14:paraId="6601E111" w14:textId="77777777" w:rsidR="006325C2" w:rsidRPr="00035DFD" w:rsidRDefault="006325C2">
            <w:pPr>
              <w:jc w:val="both"/>
              <w:rPr>
                <w:rFonts w:ascii="Arial" w:hAnsi="Arial" w:cs="Arial"/>
                <w:b/>
                <w:sz w:val="22"/>
                <w:szCs w:val="22"/>
              </w:rPr>
            </w:pPr>
            <w:r w:rsidRPr="00035DFD">
              <w:rPr>
                <w:rFonts w:ascii="Arial" w:hAnsi="Arial" w:cs="Arial"/>
                <w:b/>
                <w:sz w:val="22"/>
                <w:szCs w:val="22"/>
              </w:rPr>
              <w:t>KIADÁSOK ÖSSZESEN:</w:t>
            </w:r>
          </w:p>
        </w:tc>
        <w:tc>
          <w:tcPr>
            <w:tcW w:w="3118" w:type="dxa"/>
            <w:tcBorders>
              <w:top w:val="single" w:sz="4" w:space="0" w:color="auto"/>
              <w:left w:val="single" w:sz="4" w:space="0" w:color="auto"/>
              <w:bottom w:val="single" w:sz="4" w:space="0" w:color="auto"/>
              <w:right w:val="single" w:sz="4" w:space="0" w:color="auto"/>
            </w:tcBorders>
            <w:hideMark/>
          </w:tcPr>
          <w:p w14:paraId="71242436" w14:textId="53C8DFDA" w:rsidR="006325C2" w:rsidRPr="00035DFD" w:rsidRDefault="006C513A">
            <w:pPr>
              <w:jc w:val="right"/>
              <w:rPr>
                <w:rFonts w:ascii="Arial" w:hAnsi="Arial" w:cs="Arial"/>
                <w:b/>
                <w:sz w:val="22"/>
                <w:szCs w:val="22"/>
              </w:rPr>
            </w:pPr>
            <w:r w:rsidRPr="00035DFD">
              <w:rPr>
                <w:rFonts w:ascii="Arial" w:eastAsia="Calibri" w:hAnsi="Arial" w:cs="Arial"/>
                <w:b/>
                <w:sz w:val="22"/>
                <w:szCs w:val="22"/>
                <w:lang w:eastAsia="en-US"/>
              </w:rPr>
              <w:t>1 554 933 244</w:t>
            </w:r>
          </w:p>
        </w:tc>
      </w:tr>
    </w:tbl>
    <w:p w14:paraId="71709D6A" w14:textId="77777777" w:rsidR="006325C2" w:rsidRPr="00AE7B18" w:rsidRDefault="006325C2" w:rsidP="006325C2">
      <w:pPr>
        <w:spacing w:before="120"/>
        <w:jc w:val="both"/>
        <w:rPr>
          <w:rFonts w:ascii="Arial" w:hAnsi="Arial" w:cs="Arial"/>
          <w:b/>
          <w:sz w:val="22"/>
          <w:szCs w:val="22"/>
          <w:highlight w:val="yellow"/>
          <w:u w:val="single"/>
        </w:rPr>
      </w:pPr>
    </w:p>
    <w:p w14:paraId="0853CDAB" w14:textId="77777777" w:rsidR="006325C2" w:rsidRPr="00AE7B18" w:rsidRDefault="006325C2" w:rsidP="006F433B">
      <w:pPr>
        <w:rPr>
          <w:rFonts w:ascii="Arial" w:hAnsi="Arial" w:cs="Arial"/>
          <w:sz w:val="22"/>
          <w:szCs w:val="22"/>
          <w:highlight w:val="yellow"/>
        </w:rPr>
      </w:pPr>
    </w:p>
    <w:p w14:paraId="1205CACD" w14:textId="77777777" w:rsidR="006325C2" w:rsidRPr="00AE7B18" w:rsidRDefault="006325C2" w:rsidP="006325C2">
      <w:pPr>
        <w:jc w:val="both"/>
        <w:rPr>
          <w:rFonts w:ascii="Arial" w:hAnsi="Arial" w:cs="Arial"/>
          <w:sz w:val="22"/>
          <w:szCs w:val="22"/>
          <w:highlight w:val="yellow"/>
        </w:rPr>
      </w:pPr>
    </w:p>
    <w:p w14:paraId="0341DE5D" w14:textId="77777777" w:rsidR="006325C2" w:rsidRPr="00AE7B18" w:rsidRDefault="006325C2" w:rsidP="006325C2">
      <w:pPr>
        <w:jc w:val="both"/>
        <w:rPr>
          <w:rFonts w:ascii="Arial" w:hAnsi="Arial" w:cs="Arial"/>
          <w:sz w:val="22"/>
          <w:szCs w:val="22"/>
          <w:highlight w:val="yellow"/>
        </w:rPr>
      </w:pPr>
    </w:p>
    <w:p w14:paraId="10FC38A1" w14:textId="77777777" w:rsidR="006325C2" w:rsidRPr="00AE7B18" w:rsidRDefault="006325C2" w:rsidP="006325C2">
      <w:pPr>
        <w:jc w:val="both"/>
        <w:rPr>
          <w:rFonts w:ascii="Arial" w:hAnsi="Arial" w:cs="Arial"/>
          <w:sz w:val="22"/>
          <w:szCs w:val="22"/>
          <w:highlight w:val="yellow"/>
        </w:rPr>
      </w:pPr>
    </w:p>
    <w:p w14:paraId="78125DA8" w14:textId="33D33109" w:rsidR="00EC5BD3" w:rsidRDefault="00EC5BD3" w:rsidP="006325C2">
      <w:pPr>
        <w:jc w:val="both"/>
        <w:rPr>
          <w:rFonts w:ascii="Arial" w:hAnsi="Arial" w:cs="Arial"/>
          <w:sz w:val="22"/>
          <w:szCs w:val="22"/>
          <w:highlight w:val="yellow"/>
        </w:rPr>
      </w:pPr>
    </w:p>
    <w:p w14:paraId="58A54557" w14:textId="5761F20C" w:rsidR="00EC5BD3" w:rsidRDefault="00EC5BD3" w:rsidP="006325C2">
      <w:pPr>
        <w:jc w:val="both"/>
        <w:rPr>
          <w:rFonts w:ascii="Arial" w:hAnsi="Arial" w:cs="Arial"/>
          <w:sz w:val="22"/>
          <w:szCs w:val="22"/>
          <w:highlight w:val="yellow"/>
        </w:rPr>
      </w:pPr>
    </w:p>
    <w:p w14:paraId="638F8F39" w14:textId="157667E2" w:rsidR="00EC5BD3" w:rsidRDefault="00EC5BD3" w:rsidP="006325C2">
      <w:pPr>
        <w:jc w:val="both"/>
        <w:rPr>
          <w:rFonts w:ascii="Arial" w:hAnsi="Arial" w:cs="Arial"/>
          <w:sz w:val="22"/>
          <w:szCs w:val="22"/>
          <w:highlight w:val="yellow"/>
        </w:rPr>
      </w:pPr>
    </w:p>
    <w:p w14:paraId="7A7C0B56" w14:textId="03CBD1F7" w:rsidR="00EC5BD3" w:rsidRDefault="00EC5BD3" w:rsidP="006325C2">
      <w:pPr>
        <w:jc w:val="both"/>
        <w:rPr>
          <w:rFonts w:ascii="Arial" w:hAnsi="Arial" w:cs="Arial"/>
          <w:sz w:val="22"/>
          <w:szCs w:val="22"/>
          <w:highlight w:val="yellow"/>
        </w:rPr>
      </w:pPr>
    </w:p>
    <w:p w14:paraId="3D429D9D" w14:textId="3FA5624F" w:rsidR="00EC5BD3" w:rsidRDefault="00EC5BD3" w:rsidP="006325C2">
      <w:pPr>
        <w:jc w:val="both"/>
        <w:rPr>
          <w:rFonts w:ascii="Arial" w:hAnsi="Arial" w:cs="Arial"/>
          <w:sz w:val="22"/>
          <w:szCs w:val="22"/>
          <w:highlight w:val="yellow"/>
        </w:rPr>
      </w:pPr>
    </w:p>
    <w:p w14:paraId="46B9351C" w14:textId="4A3746CB" w:rsidR="00EC5BD3" w:rsidRDefault="00EC5BD3" w:rsidP="006325C2">
      <w:pPr>
        <w:jc w:val="both"/>
        <w:rPr>
          <w:rFonts w:ascii="Arial" w:hAnsi="Arial" w:cs="Arial"/>
          <w:sz w:val="22"/>
          <w:szCs w:val="22"/>
          <w:highlight w:val="yellow"/>
        </w:rPr>
      </w:pPr>
    </w:p>
    <w:p w14:paraId="45A3A87F" w14:textId="3283E64E" w:rsidR="00EC5BD3" w:rsidRDefault="00EC5BD3" w:rsidP="006325C2">
      <w:pPr>
        <w:jc w:val="both"/>
        <w:rPr>
          <w:rFonts w:ascii="Arial" w:hAnsi="Arial" w:cs="Arial"/>
          <w:sz w:val="22"/>
          <w:szCs w:val="22"/>
          <w:highlight w:val="yellow"/>
        </w:rPr>
      </w:pPr>
    </w:p>
    <w:p w14:paraId="092713D5" w14:textId="3B308F85" w:rsidR="00EC5BD3" w:rsidRDefault="00EC5BD3" w:rsidP="006325C2">
      <w:pPr>
        <w:jc w:val="both"/>
        <w:rPr>
          <w:rFonts w:ascii="Arial" w:hAnsi="Arial" w:cs="Arial"/>
          <w:sz w:val="22"/>
          <w:szCs w:val="22"/>
          <w:highlight w:val="yellow"/>
        </w:rPr>
      </w:pPr>
    </w:p>
    <w:p w14:paraId="50FEC38C" w14:textId="58A0B0B8" w:rsidR="00EC5BD3" w:rsidRDefault="00EC5BD3" w:rsidP="006325C2">
      <w:pPr>
        <w:jc w:val="both"/>
        <w:rPr>
          <w:rFonts w:ascii="Arial" w:hAnsi="Arial" w:cs="Arial"/>
          <w:sz w:val="22"/>
          <w:szCs w:val="22"/>
          <w:highlight w:val="yellow"/>
        </w:rPr>
      </w:pPr>
    </w:p>
    <w:p w14:paraId="27A85B09" w14:textId="00B93A18" w:rsidR="00EC5BD3" w:rsidRDefault="00EC5BD3" w:rsidP="006325C2">
      <w:pPr>
        <w:jc w:val="both"/>
        <w:rPr>
          <w:rFonts w:ascii="Arial" w:hAnsi="Arial" w:cs="Arial"/>
          <w:sz w:val="22"/>
          <w:szCs w:val="22"/>
          <w:highlight w:val="yellow"/>
        </w:rPr>
      </w:pPr>
    </w:p>
    <w:p w14:paraId="45CFCAF4" w14:textId="527B4D7E" w:rsidR="00EC5BD3" w:rsidRDefault="00EC5BD3" w:rsidP="006325C2">
      <w:pPr>
        <w:jc w:val="both"/>
        <w:rPr>
          <w:rFonts w:ascii="Arial" w:hAnsi="Arial" w:cs="Arial"/>
          <w:sz w:val="22"/>
          <w:szCs w:val="22"/>
          <w:highlight w:val="yellow"/>
        </w:rPr>
      </w:pPr>
    </w:p>
    <w:p w14:paraId="3D6FFAE0" w14:textId="77777777" w:rsidR="00EC5BD3" w:rsidRDefault="00EC5BD3" w:rsidP="006325C2">
      <w:pPr>
        <w:jc w:val="both"/>
        <w:rPr>
          <w:rFonts w:ascii="Arial" w:hAnsi="Arial" w:cs="Arial"/>
          <w:sz w:val="22"/>
          <w:szCs w:val="22"/>
          <w:highlight w:val="yellow"/>
        </w:rPr>
      </w:pPr>
    </w:p>
    <w:p w14:paraId="37153DBA" w14:textId="1C2B7C04" w:rsidR="006325C2" w:rsidRPr="00AE7B18" w:rsidRDefault="00EC5BD3" w:rsidP="006325C2">
      <w:pPr>
        <w:jc w:val="both"/>
        <w:rPr>
          <w:rFonts w:ascii="Arial" w:hAnsi="Arial" w:cs="Arial"/>
          <w:sz w:val="22"/>
          <w:szCs w:val="22"/>
          <w:highlight w:val="yellow"/>
        </w:rPr>
      </w:pPr>
      <w:r w:rsidRPr="00035DFD">
        <w:rPr>
          <w:rFonts w:ascii="Arial" w:hAnsi="Arial" w:cs="Arial"/>
          <w:sz w:val="22"/>
          <w:szCs w:val="22"/>
        </w:rPr>
        <w:t xml:space="preserve">A </w:t>
      </w:r>
      <w:r w:rsidR="000943F3" w:rsidRPr="00035DFD">
        <w:rPr>
          <w:rFonts w:ascii="Arial" w:hAnsi="Arial" w:cs="Arial"/>
          <w:sz w:val="22"/>
          <w:szCs w:val="22"/>
        </w:rPr>
        <w:t>2023</w:t>
      </w:r>
      <w:r w:rsidR="006325C2" w:rsidRPr="00035DFD">
        <w:rPr>
          <w:rFonts w:ascii="Arial" w:hAnsi="Arial" w:cs="Arial"/>
          <w:sz w:val="22"/>
          <w:szCs w:val="22"/>
        </w:rPr>
        <w:t xml:space="preserve">. évi költségvetési kiadások tervezett előirányzata </w:t>
      </w:r>
      <w:r w:rsidR="000943F3" w:rsidRPr="00035DFD">
        <w:rPr>
          <w:rFonts w:ascii="Arial" w:hAnsi="Arial" w:cs="Arial"/>
          <w:sz w:val="22"/>
          <w:szCs w:val="22"/>
        </w:rPr>
        <w:t>1</w:t>
      </w:r>
      <w:r w:rsidR="00035DFD" w:rsidRPr="00035DFD">
        <w:rPr>
          <w:rFonts w:ascii="Arial" w:hAnsi="Arial" w:cs="Arial"/>
          <w:sz w:val="22"/>
          <w:szCs w:val="22"/>
        </w:rPr>
        <w:t> 526 876 180</w:t>
      </w:r>
      <w:r w:rsidR="006325C2" w:rsidRPr="00035DFD">
        <w:rPr>
          <w:rFonts w:ascii="Arial" w:hAnsi="Arial" w:cs="Arial"/>
          <w:sz w:val="22"/>
          <w:szCs w:val="22"/>
        </w:rPr>
        <w:t xml:space="preserve"> Ft</w:t>
      </w:r>
      <w:r w:rsidR="006325C2" w:rsidRPr="00035DFD">
        <w:rPr>
          <w:rFonts w:ascii="Arial" w:hAnsi="Arial" w:cs="Arial"/>
          <w:b/>
          <w:sz w:val="22"/>
          <w:szCs w:val="22"/>
        </w:rPr>
        <w:t>,</w:t>
      </w:r>
      <w:r w:rsidR="000943F3" w:rsidRPr="00035DFD">
        <w:rPr>
          <w:rFonts w:ascii="Arial" w:hAnsi="Arial" w:cs="Arial"/>
          <w:sz w:val="22"/>
          <w:szCs w:val="22"/>
        </w:rPr>
        <w:t xml:space="preserve"> a </w:t>
      </w:r>
      <w:proofErr w:type="gramStart"/>
      <w:r w:rsidR="000943F3" w:rsidRPr="00035DFD">
        <w:rPr>
          <w:rFonts w:ascii="Arial" w:hAnsi="Arial" w:cs="Arial"/>
          <w:sz w:val="22"/>
          <w:szCs w:val="22"/>
        </w:rPr>
        <w:t>finanszírozási</w:t>
      </w:r>
      <w:proofErr w:type="gramEnd"/>
      <w:r w:rsidR="000943F3" w:rsidRPr="00035DFD">
        <w:rPr>
          <w:rFonts w:ascii="Arial" w:hAnsi="Arial" w:cs="Arial"/>
          <w:sz w:val="22"/>
          <w:szCs w:val="22"/>
        </w:rPr>
        <w:t xml:space="preserve"> kiadások előirányzata </w:t>
      </w:r>
      <w:r w:rsidR="00035DFD" w:rsidRPr="00035DFD">
        <w:rPr>
          <w:rFonts w:ascii="Arial" w:hAnsi="Arial" w:cs="Arial"/>
          <w:sz w:val="22"/>
          <w:szCs w:val="22"/>
        </w:rPr>
        <w:t>28 057 064</w:t>
      </w:r>
      <w:r w:rsidR="000943F3" w:rsidRPr="00035DFD">
        <w:rPr>
          <w:rFonts w:ascii="Arial" w:hAnsi="Arial" w:cs="Arial"/>
          <w:sz w:val="22"/>
          <w:szCs w:val="22"/>
        </w:rPr>
        <w:t xml:space="preserve"> Ft</w:t>
      </w:r>
      <w:r w:rsidR="000943F3" w:rsidRPr="00035DFD">
        <w:rPr>
          <w:rFonts w:ascii="Arial" w:hAnsi="Arial" w:cs="Arial"/>
          <w:b/>
          <w:sz w:val="22"/>
          <w:szCs w:val="22"/>
        </w:rPr>
        <w:t>, a kiadási fő összeg</w:t>
      </w:r>
      <w:r w:rsidR="000943F3" w:rsidRPr="00035DFD">
        <w:rPr>
          <w:rFonts w:ascii="Arial" w:hAnsi="Arial" w:cs="Arial"/>
          <w:sz w:val="22"/>
          <w:szCs w:val="22"/>
        </w:rPr>
        <w:t xml:space="preserve"> </w:t>
      </w:r>
      <w:r w:rsidR="00035DFD" w:rsidRPr="00035DFD">
        <w:rPr>
          <w:rFonts w:ascii="Arial" w:hAnsi="Arial" w:cs="Arial"/>
          <w:b/>
          <w:sz w:val="22"/>
          <w:szCs w:val="22"/>
        </w:rPr>
        <w:t>1 554 933 244</w:t>
      </w:r>
      <w:r w:rsidR="006325C2" w:rsidRPr="00035DFD">
        <w:rPr>
          <w:rFonts w:ascii="Arial" w:hAnsi="Arial" w:cs="Arial"/>
          <w:b/>
          <w:sz w:val="22"/>
          <w:szCs w:val="22"/>
        </w:rPr>
        <w:t xml:space="preserve"> Ft</w:t>
      </w:r>
      <w:r w:rsidR="006325C2" w:rsidRPr="00035DFD">
        <w:rPr>
          <w:rFonts w:ascii="Arial" w:hAnsi="Arial" w:cs="Arial"/>
          <w:sz w:val="22"/>
          <w:szCs w:val="22"/>
        </w:rPr>
        <w:t xml:space="preserve"> kiadással számoltunk</w:t>
      </w:r>
      <w:r w:rsidR="006325C2" w:rsidRPr="00DC3024">
        <w:rPr>
          <w:rFonts w:ascii="Arial" w:hAnsi="Arial" w:cs="Arial"/>
          <w:sz w:val="22"/>
          <w:szCs w:val="22"/>
        </w:rPr>
        <w:t>,</w:t>
      </w:r>
      <w:r w:rsidR="001F0C1D" w:rsidRPr="00DC3024">
        <w:rPr>
          <w:rFonts w:ascii="Arial" w:hAnsi="Arial" w:cs="Arial"/>
          <w:sz w:val="22"/>
          <w:szCs w:val="22"/>
        </w:rPr>
        <w:t xml:space="preserve"> mely közel 1 %-</w:t>
      </w:r>
      <w:proofErr w:type="spellStart"/>
      <w:r w:rsidR="001F0C1D" w:rsidRPr="00DC3024">
        <w:rPr>
          <w:rFonts w:ascii="Arial" w:hAnsi="Arial" w:cs="Arial"/>
          <w:sz w:val="22"/>
          <w:szCs w:val="22"/>
        </w:rPr>
        <w:t>kal</w:t>
      </w:r>
      <w:proofErr w:type="spellEnd"/>
      <w:r w:rsidR="001F0C1D" w:rsidRPr="00DC3024">
        <w:rPr>
          <w:rFonts w:ascii="Arial" w:hAnsi="Arial" w:cs="Arial"/>
          <w:sz w:val="22"/>
          <w:szCs w:val="22"/>
        </w:rPr>
        <w:t xml:space="preserve"> magasabb az előző évinél.</w:t>
      </w:r>
    </w:p>
    <w:p w14:paraId="44EDCCC1" w14:textId="77777777" w:rsidR="006325C2" w:rsidRPr="00AE7B18" w:rsidRDefault="006325C2" w:rsidP="006325C2">
      <w:pPr>
        <w:jc w:val="both"/>
        <w:rPr>
          <w:rFonts w:ascii="Arial" w:hAnsi="Arial" w:cs="Arial"/>
          <w:sz w:val="22"/>
          <w:szCs w:val="22"/>
          <w:highlight w:val="yellow"/>
        </w:rPr>
      </w:pPr>
    </w:p>
    <w:p w14:paraId="71D4ED30" w14:textId="71B9DCED" w:rsidR="006325C2" w:rsidRPr="00035DFD" w:rsidRDefault="00EC5BD3" w:rsidP="006325C2">
      <w:pPr>
        <w:jc w:val="both"/>
        <w:rPr>
          <w:rFonts w:ascii="Arial" w:hAnsi="Arial" w:cs="Arial"/>
          <w:i/>
          <w:sz w:val="22"/>
          <w:szCs w:val="22"/>
        </w:rPr>
      </w:pPr>
      <w:r w:rsidRPr="00035DFD">
        <w:rPr>
          <w:rFonts w:ascii="Arial" w:hAnsi="Arial" w:cs="Arial"/>
          <w:sz w:val="22"/>
          <w:szCs w:val="22"/>
        </w:rPr>
        <w:t>A</w:t>
      </w:r>
      <w:r w:rsidR="006325C2" w:rsidRPr="00035DFD">
        <w:rPr>
          <w:rFonts w:ascii="Arial" w:hAnsi="Arial" w:cs="Arial"/>
          <w:sz w:val="22"/>
          <w:szCs w:val="22"/>
        </w:rPr>
        <w:t xml:space="preserve"> költségvetés</w:t>
      </w:r>
      <w:r w:rsidRPr="00035DFD">
        <w:rPr>
          <w:rFonts w:ascii="Arial" w:hAnsi="Arial" w:cs="Arial"/>
          <w:sz w:val="22"/>
          <w:szCs w:val="22"/>
        </w:rPr>
        <w:t xml:space="preserve">i kiadások </w:t>
      </w:r>
      <w:proofErr w:type="gramStart"/>
      <w:r w:rsidRPr="00035DFD">
        <w:rPr>
          <w:rFonts w:ascii="Arial" w:hAnsi="Arial" w:cs="Arial"/>
          <w:sz w:val="22"/>
          <w:szCs w:val="22"/>
        </w:rPr>
        <w:t>konszolidált</w:t>
      </w:r>
      <w:proofErr w:type="gramEnd"/>
      <w:r w:rsidRPr="00035DFD">
        <w:rPr>
          <w:rFonts w:ascii="Arial" w:hAnsi="Arial" w:cs="Arial"/>
          <w:sz w:val="22"/>
          <w:szCs w:val="22"/>
        </w:rPr>
        <w:t xml:space="preserve"> összegei tartalmazzák </w:t>
      </w:r>
      <w:r w:rsidR="006325C2" w:rsidRPr="00035DFD">
        <w:rPr>
          <w:rFonts w:ascii="Arial" w:hAnsi="Arial" w:cs="Arial"/>
          <w:sz w:val="22"/>
          <w:szCs w:val="22"/>
        </w:rPr>
        <w:t xml:space="preserve">Bátaszék Város Önkormányzata, a Közös Önkormányzati Hivatal, valamint a Keresztély Gyula Könyvtár </w:t>
      </w:r>
      <w:r w:rsidR="00C55948" w:rsidRPr="00035DFD">
        <w:rPr>
          <w:rFonts w:ascii="Arial" w:hAnsi="Arial" w:cs="Arial"/>
          <w:sz w:val="22"/>
          <w:szCs w:val="22"/>
        </w:rPr>
        <w:t>kiadásait is.</w:t>
      </w:r>
    </w:p>
    <w:p w14:paraId="109C4BEB" w14:textId="77777777" w:rsidR="006325C2" w:rsidRPr="00AE7B18" w:rsidRDefault="006325C2" w:rsidP="006325C2">
      <w:pPr>
        <w:jc w:val="both"/>
        <w:rPr>
          <w:rFonts w:ascii="Arial" w:hAnsi="Arial" w:cs="Arial"/>
          <w:sz w:val="22"/>
          <w:szCs w:val="22"/>
          <w:highlight w:val="yellow"/>
          <w:u w:val="single"/>
        </w:rPr>
      </w:pPr>
    </w:p>
    <w:p w14:paraId="209322BA" w14:textId="77777777" w:rsidR="000943F3" w:rsidRDefault="000943F3" w:rsidP="006325C2">
      <w:pPr>
        <w:jc w:val="both"/>
        <w:rPr>
          <w:rFonts w:ascii="Arial" w:hAnsi="Arial" w:cs="Arial"/>
          <w:sz w:val="22"/>
          <w:szCs w:val="22"/>
          <w:highlight w:val="yellow"/>
          <w:u w:val="single"/>
        </w:rPr>
      </w:pPr>
    </w:p>
    <w:p w14:paraId="14AA4414" w14:textId="77777777" w:rsidR="000943F3" w:rsidRDefault="000943F3" w:rsidP="006325C2">
      <w:pPr>
        <w:jc w:val="both"/>
        <w:rPr>
          <w:rFonts w:ascii="Arial" w:hAnsi="Arial" w:cs="Arial"/>
          <w:sz w:val="22"/>
          <w:szCs w:val="22"/>
          <w:highlight w:val="yellow"/>
          <w:u w:val="single"/>
        </w:rPr>
      </w:pPr>
    </w:p>
    <w:p w14:paraId="5719250D" w14:textId="0289BF05" w:rsidR="006325C2" w:rsidRPr="000056A9" w:rsidRDefault="000943F3" w:rsidP="006325C2">
      <w:pPr>
        <w:jc w:val="both"/>
        <w:rPr>
          <w:rFonts w:ascii="Arial" w:hAnsi="Arial" w:cs="Arial"/>
          <w:b/>
          <w:sz w:val="22"/>
          <w:szCs w:val="22"/>
          <w:u w:val="single"/>
        </w:rPr>
      </w:pPr>
      <w:r w:rsidRPr="000056A9">
        <w:rPr>
          <w:rFonts w:ascii="Arial" w:hAnsi="Arial" w:cs="Arial"/>
          <w:b/>
          <w:sz w:val="22"/>
          <w:szCs w:val="22"/>
          <w:u w:val="single"/>
        </w:rPr>
        <w:t xml:space="preserve">A személyi juttatások előirányzata </w:t>
      </w:r>
      <w:r w:rsidR="00C45C6A" w:rsidRPr="000056A9">
        <w:rPr>
          <w:rFonts w:ascii="Arial" w:hAnsi="Arial" w:cs="Arial"/>
          <w:b/>
          <w:sz w:val="22"/>
          <w:szCs w:val="22"/>
          <w:u w:val="single"/>
        </w:rPr>
        <w:t>205 810 000 Ft.</w:t>
      </w:r>
    </w:p>
    <w:p w14:paraId="7AAF43C7" w14:textId="77777777" w:rsidR="006325C2" w:rsidRPr="00752073" w:rsidRDefault="006325C2" w:rsidP="006325C2">
      <w:pPr>
        <w:jc w:val="both"/>
        <w:rPr>
          <w:rFonts w:ascii="Arial" w:hAnsi="Arial" w:cs="Arial"/>
          <w:sz w:val="22"/>
          <w:szCs w:val="22"/>
          <w:u w:val="single"/>
        </w:rPr>
      </w:pPr>
    </w:p>
    <w:p w14:paraId="30C82440" w14:textId="3CD9EF91" w:rsidR="006325C2" w:rsidRPr="00752073" w:rsidRDefault="006325C2" w:rsidP="006325C2">
      <w:pPr>
        <w:jc w:val="both"/>
        <w:rPr>
          <w:rFonts w:ascii="Arial" w:hAnsi="Arial" w:cs="Arial"/>
          <w:sz w:val="22"/>
          <w:szCs w:val="22"/>
        </w:rPr>
      </w:pPr>
      <w:r w:rsidRPr="00752073">
        <w:rPr>
          <w:rFonts w:ascii="Arial" w:hAnsi="Arial" w:cs="Arial"/>
          <w:sz w:val="22"/>
          <w:szCs w:val="22"/>
        </w:rPr>
        <w:t xml:space="preserve">A személyi juttatások keretében terveztük meg a rendszeres (munkabérek) és nem rendszeres egyéb kifizetéseket (közlekedési költségtérítés, </w:t>
      </w:r>
      <w:proofErr w:type="spellStart"/>
      <w:r w:rsidRPr="00752073">
        <w:rPr>
          <w:rFonts w:ascii="Arial" w:hAnsi="Arial" w:cs="Arial"/>
          <w:sz w:val="22"/>
          <w:szCs w:val="22"/>
        </w:rPr>
        <w:t>cafetéria</w:t>
      </w:r>
      <w:proofErr w:type="spellEnd"/>
      <w:r w:rsidRPr="00752073">
        <w:rPr>
          <w:rFonts w:ascii="Arial" w:hAnsi="Arial" w:cs="Arial"/>
          <w:sz w:val="22"/>
          <w:szCs w:val="22"/>
        </w:rPr>
        <w:t xml:space="preserve">, bankszámlavezetési díj, </w:t>
      </w:r>
      <w:proofErr w:type="gramStart"/>
      <w:r w:rsidRPr="00752073">
        <w:rPr>
          <w:rFonts w:ascii="Arial" w:hAnsi="Arial" w:cs="Arial"/>
          <w:sz w:val="22"/>
          <w:szCs w:val="22"/>
        </w:rPr>
        <w:t>jubileumi</w:t>
      </w:r>
      <w:proofErr w:type="gramEnd"/>
      <w:r w:rsidRPr="00752073">
        <w:rPr>
          <w:rFonts w:ascii="Arial" w:hAnsi="Arial" w:cs="Arial"/>
          <w:sz w:val="22"/>
          <w:szCs w:val="22"/>
        </w:rPr>
        <w:t xml:space="preserve"> jutalom,</w:t>
      </w:r>
      <w:r w:rsidR="00C55948" w:rsidRPr="00752073">
        <w:rPr>
          <w:rFonts w:ascii="Arial" w:hAnsi="Arial" w:cs="Arial"/>
          <w:sz w:val="22"/>
          <w:szCs w:val="22"/>
        </w:rPr>
        <w:t xml:space="preserve"> megbízási díjak).  2023</w:t>
      </w:r>
      <w:r w:rsidRPr="00752073">
        <w:rPr>
          <w:rFonts w:ascii="Arial" w:hAnsi="Arial" w:cs="Arial"/>
          <w:sz w:val="22"/>
          <w:szCs w:val="22"/>
        </w:rPr>
        <w:t xml:space="preserve">. január 1-től változott a minimálbér és a </w:t>
      </w:r>
      <w:proofErr w:type="gramStart"/>
      <w:r w:rsidRPr="00752073">
        <w:rPr>
          <w:rFonts w:ascii="Arial" w:hAnsi="Arial" w:cs="Arial"/>
          <w:sz w:val="22"/>
          <w:szCs w:val="22"/>
        </w:rPr>
        <w:t>garantált</w:t>
      </w:r>
      <w:proofErr w:type="gramEnd"/>
      <w:r w:rsidRPr="00752073">
        <w:rPr>
          <w:rFonts w:ascii="Arial" w:hAnsi="Arial" w:cs="Arial"/>
          <w:sz w:val="22"/>
          <w:szCs w:val="22"/>
        </w:rPr>
        <w:t xml:space="preserve"> bérminimum összege, így a minimálbér ese</w:t>
      </w:r>
      <w:r w:rsidR="00C55948" w:rsidRPr="00752073">
        <w:rPr>
          <w:rFonts w:ascii="Arial" w:hAnsi="Arial" w:cs="Arial"/>
          <w:sz w:val="22"/>
          <w:szCs w:val="22"/>
        </w:rPr>
        <w:t xml:space="preserve">tében a meghatározott bruttó 232 </w:t>
      </w:r>
      <w:r w:rsidRPr="00752073">
        <w:rPr>
          <w:rFonts w:ascii="Arial" w:hAnsi="Arial" w:cs="Arial"/>
          <w:sz w:val="22"/>
          <w:szCs w:val="22"/>
        </w:rPr>
        <w:t>000 Ft-tal, a garantált bérminimum</w:t>
      </w:r>
      <w:r w:rsidR="00C55948" w:rsidRPr="00752073">
        <w:rPr>
          <w:rFonts w:ascii="Arial" w:hAnsi="Arial" w:cs="Arial"/>
          <w:sz w:val="22"/>
          <w:szCs w:val="22"/>
        </w:rPr>
        <w:t xml:space="preserve"> esetében pedig a bruttó 296 400</w:t>
      </w:r>
      <w:r w:rsidRPr="00752073">
        <w:rPr>
          <w:rFonts w:ascii="Arial" w:hAnsi="Arial" w:cs="Arial"/>
          <w:sz w:val="22"/>
          <w:szCs w:val="22"/>
        </w:rPr>
        <w:t xml:space="preserve"> Ft-tal számoltunk. </w:t>
      </w:r>
    </w:p>
    <w:p w14:paraId="092387F1" w14:textId="77777777" w:rsidR="006325C2" w:rsidRPr="00AE7B18" w:rsidRDefault="006325C2" w:rsidP="006325C2">
      <w:pPr>
        <w:jc w:val="both"/>
        <w:rPr>
          <w:rFonts w:ascii="Arial" w:hAnsi="Arial" w:cs="Arial"/>
          <w:sz w:val="22"/>
          <w:szCs w:val="22"/>
          <w:highlight w:val="yellow"/>
        </w:rPr>
      </w:pPr>
    </w:p>
    <w:p w14:paraId="3322D01D" w14:textId="0E64F7FB" w:rsidR="006325C2" w:rsidRPr="00EE5C76" w:rsidRDefault="006325C2" w:rsidP="006325C2">
      <w:pPr>
        <w:spacing w:line="276" w:lineRule="auto"/>
        <w:jc w:val="both"/>
        <w:rPr>
          <w:rFonts w:ascii="Arial" w:hAnsi="Arial" w:cs="Arial"/>
          <w:sz w:val="22"/>
          <w:szCs w:val="22"/>
        </w:rPr>
      </w:pPr>
      <w:r w:rsidRPr="00752073">
        <w:rPr>
          <w:rFonts w:ascii="Arial" w:hAnsi="Arial" w:cs="Arial"/>
          <w:sz w:val="22"/>
          <w:szCs w:val="22"/>
          <w:u w:val="single"/>
        </w:rPr>
        <w:t>Bátaszék Város Önkormányzatának</w:t>
      </w:r>
      <w:r w:rsidRPr="00752073">
        <w:rPr>
          <w:rFonts w:ascii="Arial" w:hAnsi="Arial" w:cs="Arial"/>
          <w:sz w:val="22"/>
          <w:szCs w:val="22"/>
        </w:rPr>
        <w:t xml:space="preserve"> létszáma változatlanul 2 fő. A IV. háziorvosi körzet feladat-ellátását 2021.01.01-től átmenetileg Bátaszék Város Önkormányzata vette át, ahol helyettesítő orvos látja el a feladatokat, és az </w:t>
      </w:r>
      <w:proofErr w:type="gramStart"/>
      <w:r w:rsidRPr="00752073">
        <w:rPr>
          <w:rFonts w:ascii="Arial" w:hAnsi="Arial" w:cs="Arial"/>
          <w:sz w:val="22"/>
          <w:szCs w:val="22"/>
        </w:rPr>
        <w:t>asszisztens</w:t>
      </w:r>
      <w:proofErr w:type="gramEnd"/>
      <w:r w:rsidRPr="00752073">
        <w:rPr>
          <w:rFonts w:ascii="Arial" w:hAnsi="Arial" w:cs="Arial"/>
          <w:sz w:val="22"/>
          <w:szCs w:val="22"/>
        </w:rPr>
        <w:t xml:space="preserve"> önkormányzati állományban van</w:t>
      </w:r>
      <w:r w:rsidR="00527184">
        <w:rPr>
          <w:rFonts w:ascii="Arial" w:hAnsi="Arial" w:cs="Arial"/>
          <w:sz w:val="22"/>
          <w:szCs w:val="22"/>
        </w:rPr>
        <w:t>, egészségügyi szolgálati jogviszonyban</w:t>
      </w:r>
      <w:r w:rsidRPr="00752073">
        <w:rPr>
          <w:rFonts w:ascii="Arial" w:hAnsi="Arial" w:cs="Arial"/>
          <w:sz w:val="22"/>
          <w:szCs w:val="22"/>
        </w:rPr>
        <w:t>.</w:t>
      </w:r>
      <w:r w:rsidR="00EE5C76">
        <w:rPr>
          <w:rFonts w:ascii="Arial" w:hAnsi="Arial" w:cs="Arial"/>
          <w:sz w:val="22"/>
          <w:szCs w:val="22"/>
        </w:rPr>
        <w:t xml:space="preserve"> </w:t>
      </w:r>
      <w:r w:rsidR="00527184" w:rsidRPr="00EE5C76">
        <w:rPr>
          <w:rFonts w:ascii="Arial" w:hAnsi="Arial" w:cs="Arial"/>
          <w:sz w:val="22"/>
          <w:szCs w:val="22"/>
        </w:rPr>
        <w:t>Bérnövekedéssel nem számoltunk,</w:t>
      </w:r>
      <w:r w:rsidR="00EE5C76" w:rsidRPr="00EE5C76">
        <w:rPr>
          <w:rFonts w:ascii="Arial" w:hAnsi="Arial" w:cs="Arial"/>
          <w:sz w:val="22"/>
          <w:szCs w:val="22"/>
        </w:rPr>
        <w:t xml:space="preserve"> jelenleg a bér és járulékköltség 53%-át NEAK támogatás keretében megigényelhető.</w:t>
      </w:r>
      <w:r w:rsidR="00527184" w:rsidRPr="00EE5C76">
        <w:rPr>
          <w:rFonts w:ascii="Arial" w:hAnsi="Arial" w:cs="Arial"/>
          <w:sz w:val="22"/>
          <w:szCs w:val="22"/>
        </w:rPr>
        <w:t xml:space="preserve"> </w:t>
      </w:r>
      <w:r w:rsidR="00FB3B08">
        <w:rPr>
          <w:rFonts w:ascii="Arial" w:hAnsi="Arial" w:cs="Arial"/>
          <w:sz w:val="22"/>
          <w:szCs w:val="22"/>
        </w:rPr>
        <w:t>A másik dolgozó esetében bruttó 20 000 Ft béremelést terveztünk.</w:t>
      </w:r>
    </w:p>
    <w:p w14:paraId="5996BEC7" w14:textId="77777777" w:rsidR="006325C2" w:rsidRPr="00AE7B18" w:rsidRDefault="006325C2" w:rsidP="006325C2">
      <w:pPr>
        <w:spacing w:line="276" w:lineRule="auto"/>
        <w:jc w:val="both"/>
        <w:rPr>
          <w:rFonts w:ascii="Arial" w:hAnsi="Arial" w:cs="Arial"/>
          <w:sz w:val="22"/>
          <w:szCs w:val="22"/>
          <w:highlight w:val="yellow"/>
        </w:rPr>
      </w:pPr>
    </w:p>
    <w:p w14:paraId="1F2CACD5" w14:textId="77777777" w:rsidR="0056555E" w:rsidRDefault="006325C2" w:rsidP="006325C2">
      <w:pPr>
        <w:suppressAutoHyphens/>
        <w:overflowPunct w:val="0"/>
        <w:autoSpaceDE w:val="0"/>
        <w:spacing w:line="276" w:lineRule="auto"/>
        <w:jc w:val="both"/>
        <w:textAlignment w:val="baseline"/>
        <w:rPr>
          <w:rFonts w:ascii="Arial" w:hAnsi="Arial" w:cs="Arial"/>
          <w:sz w:val="22"/>
          <w:szCs w:val="22"/>
        </w:rPr>
      </w:pPr>
      <w:r w:rsidRPr="00752073">
        <w:rPr>
          <w:rFonts w:ascii="Arial" w:hAnsi="Arial" w:cs="Arial"/>
          <w:sz w:val="22"/>
          <w:szCs w:val="22"/>
        </w:rPr>
        <w:t xml:space="preserve">A </w:t>
      </w:r>
      <w:r w:rsidRPr="00752073">
        <w:rPr>
          <w:rFonts w:ascii="Arial" w:hAnsi="Arial" w:cs="Arial"/>
          <w:sz w:val="22"/>
          <w:szCs w:val="22"/>
          <w:u w:val="single"/>
        </w:rPr>
        <w:t>Közös Önkormányzati Hivatalnál</w:t>
      </w:r>
      <w:r w:rsidRPr="00752073">
        <w:rPr>
          <w:rFonts w:ascii="Arial" w:hAnsi="Arial" w:cs="Arial"/>
          <w:sz w:val="22"/>
          <w:szCs w:val="22"/>
        </w:rPr>
        <w:t xml:space="preserve"> </w:t>
      </w:r>
      <w:r w:rsidR="001F0C1D" w:rsidRPr="00752073">
        <w:rPr>
          <w:rFonts w:ascii="Arial" w:hAnsi="Arial" w:cs="Arial"/>
          <w:sz w:val="22"/>
          <w:szCs w:val="22"/>
        </w:rPr>
        <w:t xml:space="preserve">az előző évhez hasonlóan </w:t>
      </w:r>
      <w:r w:rsidRPr="00752073">
        <w:rPr>
          <w:rFonts w:ascii="Arial" w:hAnsi="Arial" w:cs="Arial"/>
          <w:sz w:val="22"/>
          <w:szCs w:val="22"/>
        </w:rPr>
        <w:t>30 fő közszolgálati tisztvisel</w:t>
      </w:r>
      <w:r w:rsidR="001F0C1D" w:rsidRPr="00752073">
        <w:rPr>
          <w:rFonts w:ascii="Arial" w:hAnsi="Arial" w:cs="Arial"/>
          <w:sz w:val="22"/>
          <w:szCs w:val="22"/>
        </w:rPr>
        <w:t>ő foglalkoztatásával terveztünk, továbbá 1</w:t>
      </w:r>
      <w:r w:rsidRPr="00752073">
        <w:rPr>
          <w:rFonts w:ascii="Arial" w:hAnsi="Arial" w:cs="Arial"/>
          <w:sz w:val="22"/>
          <w:szCs w:val="22"/>
        </w:rPr>
        <w:t xml:space="preserve"> fő 4 </w:t>
      </w:r>
      <w:r w:rsidR="001F0C1D" w:rsidRPr="00752073">
        <w:rPr>
          <w:rFonts w:ascii="Arial" w:hAnsi="Arial" w:cs="Arial"/>
          <w:sz w:val="22"/>
          <w:szCs w:val="22"/>
        </w:rPr>
        <w:t xml:space="preserve">órás </w:t>
      </w:r>
      <w:r w:rsidRPr="00752073">
        <w:rPr>
          <w:rFonts w:ascii="Arial" w:hAnsi="Arial" w:cs="Arial"/>
          <w:sz w:val="22"/>
          <w:szCs w:val="22"/>
        </w:rPr>
        <w:t xml:space="preserve">és </w:t>
      </w:r>
      <w:r w:rsidR="001F0C1D" w:rsidRPr="00752073">
        <w:rPr>
          <w:rFonts w:ascii="Arial" w:hAnsi="Arial" w:cs="Arial"/>
          <w:sz w:val="22"/>
          <w:szCs w:val="22"/>
        </w:rPr>
        <w:t xml:space="preserve">1 fő </w:t>
      </w:r>
      <w:r w:rsidRPr="00752073">
        <w:rPr>
          <w:rFonts w:ascii="Arial" w:hAnsi="Arial" w:cs="Arial"/>
          <w:sz w:val="22"/>
          <w:szCs w:val="22"/>
        </w:rPr>
        <w:t>5 órás Munka törvénykönyve alapján foglalkoztatott munkatárssal. Az előző évhez képest az álláshe</w:t>
      </w:r>
      <w:r w:rsidR="008C296E" w:rsidRPr="00752073">
        <w:rPr>
          <w:rFonts w:ascii="Arial" w:hAnsi="Arial" w:cs="Arial"/>
          <w:sz w:val="22"/>
          <w:szCs w:val="22"/>
        </w:rPr>
        <w:t>lyek száma nem</w:t>
      </w:r>
      <w:r w:rsidR="0056555E">
        <w:rPr>
          <w:rFonts w:ascii="Arial" w:hAnsi="Arial" w:cs="Arial"/>
          <w:sz w:val="22"/>
          <w:szCs w:val="22"/>
        </w:rPr>
        <w:t xml:space="preserve"> változott.         </w:t>
      </w:r>
      <w:r w:rsidRPr="00752073">
        <w:rPr>
          <w:rFonts w:ascii="Arial" w:hAnsi="Arial" w:cs="Arial"/>
          <w:sz w:val="22"/>
          <w:szCs w:val="22"/>
        </w:rPr>
        <w:t xml:space="preserve"> </w:t>
      </w:r>
      <w:r w:rsidR="0056555E" w:rsidRPr="0056555E">
        <w:rPr>
          <w:rFonts w:ascii="Arial" w:hAnsi="Arial" w:cs="Arial"/>
          <w:sz w:val="22"/>
          <w:szCs w:val="22"/>
        </w:rPr>
        <w:t>A 2023. évre a központi bérintézkedések vonzataként bruttó 20 000 Ft jövedelem-emelkedéssel számoltunk minden dolgozó esetében. Emellett bruttó 2 920 000 Ft összegű  végkiel</w:t>
      </w:r>
      <w:r w:rsidR="0056555E">
        <w:rPr>
          <w:rFonts w:ascii="Arial" w:hAnsi="Arial" w:cs="Arial"/>
          <w:sz w:val="22"/>
          <w:szCs w:val="22"/>
        </w:rPr>
        <w:t xml:space="preserve">égítés merül fel 1 fő esetében, </w:t>
      </w:r>
      <w:proofErr w:type="gramStart"/>
      <w:r w:rsidR="0056555E" w:rsidRPr="0056555E">
        <w:rPr>
          <w:rFonts w:ascii="Arial" w:hAnsi="Arial" w:cs="Arial"/>
          <w:sz w:val="22"/>
          <w:szCs w:val="22"/>
        </w:rPr>
        <w:t>jubileumi</w:t>
      </w:r>
      <w:proofErr w:type="gramEnd"/>
      <w:r w:rsidR="0056555E" w:rsidRPr="0056555E">
        <w:rPr>
          <w:rFonts w:ascii="Arial" w:hAnsi="Arial" w:cs="Arial"/>
          <w:sz w:val="22"/>
          <w:szCs w:val="22"/>
        </w:rPr>
        <w:t xml:space="preserve"> jutalom kifizetés 2 főt érint 1 351 900 Ft összeggel. Béren kívüli juttatásként a </w:t>
      </w:r>
      <w:proofErr w:type="spellStart"/>
      <w:r w:rsidR="0056555E" w:rsidRPr="0056555E">
        <w:rPr>
          <w:rFonts w:ascii="Arial" w:hAnsi="Arial" w:cs="Arial"/>
          <w:sz w:val="22"/>
          <w:szCs w:val="22"/>
        </w:rPr>
        <w:t>cafetéria</w:t>
      </w:r>
      <w:proofErr w:type="spellEnd"/>
      <w:r w:rsidR="0056555E" w:rsidRPr="0056555E">
        <w:rPr>
          <w:rFonts w:ascii="Arial" w:hAnsi="Arial" w:cs="Arial"/>
          <w:sz w:val="22"/>
          <w:szCs w:val="22"/>
        </w:rPr>
        <w:t xml:space="preserve"> juttatás szerepel, bruttó 250 000 Ft/fő összeggel, az előző évi mértékkel egyezően. A munkába járással kapcsolatos költségtérítést az előző évhez képest magasabb mértékkel szerepeltettük, tekintettel arra, hogy az előző évben az első félévig térítés </w:t>
      </w:r>
      <w:proofErr w:type="gramStart"/>
      <w:r w:rsidR="0056555E" w:rsidRPr="0056555E">
        <w:rPr>
          <w:rFonts w:ascii="Arial" w:hAnsi="Arial" w:cs="Arial"/>
          <w:sz w:val="22"/>
          <w:szCs w:val="22"/>
        </w:rPr>
        <w:t>mentes</w:t>
      </w:r>
      <w:proofErr w:type="gramEnd"/>
      <w:r w:rsidR="0056555E" w:rsidRPr="0056555E">
        <w:rPr>
          <w:rFonts w:ascii="Arial" w:hAnsi="Arial" w:cs="Arial"/>
          <w:sz w:val="22"/>
          <w:szCs w:val="22"/>
        </w:rPr>
        <w:t xml:space="preserve"> munkába járás igénybevételére volt lehetőség, mely megszűnt. Az egyéb költségtérítésekre (szemüveg, telefon, bankszámla), továbbá egyéb </w:t>
      </w:r>
      <w:proofErr w:type="gramStart"/>
      <w:r w:rsidR="0056555E" w:rsidRPr="0056555E">
        <w:rPr>
          <w:rFonts w:ascii="Arial" w:hAnsi="Arial" w:cs="Arial"/>
          <w:sz w:val="22"/>
          <w:szCs w:val="22"/>
        </w:rPr>
        <w:t>bér juttatásokra</w:t>
      </w:r>
      <w:proofErr w:type="gramEnd"/>
      <w:r w:rsidR="0056555E" w:rsidRPr="0056555E">
        <w:rPr>
          <w:rFonts w:ascii="Arial" w:hAnsi="Arial" w:cs="Arial"/>
          <w:sz w:val="22"/>
          <w:szCs w:val="22"/>
        </w:rPr>
        <w:t xml:space="preserve"> (egyéb szociális juttatás, betegszabadság, bérkompenzáció) az előző év előirányzata szerinti összeg került beállításra. A megbízási díjak előirányzatát a TOP pályázatból kifizethető összeggel növelten terveztük az előző évhez képest.  . </w:t>
      </w:r>
    </w:p>
    <w:p w14:paraId="0721B4C2" w14:textId="1DCEBCC6" w:rsidR="006325C2" w:rsidRPr="00752073" w:rsidRDefault="0056555E" w:rsidP="006325C2">
      <w:pPr>
        <w:suppressAutoHyphens/>
        <w:overflowPunct w:val="0"/>
        <w:autoSpaceDE w:val="0"/>
        <w:spacing w:line="276" w:lineRule="auto"/>
        <w:jc w:val="both"/>
        <w:textAlignment w:val="baseline"/>
        <w:rPr>
          <w:rFonts w:ascii="Arial" w:hAnsi="Arial" w:cs="Arial"/>
          <w:sz w:val="22"/>
          <w:szCs w:val="22"/>
        </w:rPr>
      </w:pPr>
      <w:r w:rsidRPr="0056555E">
        <w:rPr>
          <w:rFonts w:ascii="Arial" w:hAnsi="Arial" w:cs="Arial"/>
          <w:sz w:val="22"/>
          <w:szCs w:val="22"/>
        </w:rPr>
        <w:t>A KÖH költségvetését az Együttes Testületi ülés támogatta.</w:t>
      </w:r>
    </w:p>
    <w:p w14:paraId="33202F80" w14:textId="77777777" w:rsidR="006325C2" w:rsidRPr="00AE7B18" w:rsidRDefault="006325C2" w:rsidP="006325C2">
      <w:pPr>
        <w:spacing w:line="276" w:lineRule="auto"/>
        <w:jc w:val="both"/>
        <w:rPr>
          <w:rFonts w:ascii="Arial" w:hAnsi="Arial" w:cs="Arial"/>
          <w:sz w:val="22"/>
          <w:szCs w:val="22"/>
          <w:highlight w:val="yellow"/>
        </w:rPr>
      </w:pPr>
    </w:p>
    <w:p w14:paraId="73CBD0AB" w14:textId="6D03FAB9" w:rsidR="00576BB2" w:rsidRPr="00576BB2" w:rsidRDefault="006325C2" w:rsidP="00576BB2">
      <w:pPr>
        <w:suppressAutoHyphens/>
        <w:overflowPunct w:val="0"/>
        <w:autoSpaceDE w:val="0"/>
        <w:spacing w:line="276" w:lineRule="auto"/>
        <w:jc w:val="both"/>
        <w:textAlignment w:val="baseline"/>
        <w:rPr>
          <w:rFonts w:ascii="Arial" w:hAnsi="Arial" w:cs="Arial"/>
          <w:sz w:val="22"/>
          <w:szCs w:val="22"/>
          <w:highlight w:val="yellow"/>
          <w:u w:val="single"/>
        </w:rPr>
      </w:pPr>
      <w:r w:rsidRPr="00576BB2">
        <w:rPr>
          <w:rFonts w:ascii="Arial" w:hAnsi="Arial" w:cs="Arial"/>
          <w:sz w:val="22"/>
          <w:szCs w:val="22"/>
          <w:u w:val="single"/>
        </w:rPr>
        <w:t>K</w:t>
      </w:r>
      <w:r w:rsidR="00576BB2" w:rsidRPr="00576BB2">
        <w:rPr>
          <w:rFonts w:ascii="Arial" w:hAnsi="Arial" w:cs="Arial"/>
          <w:sz w:val="22"/>
          <w:szCs w:val="22"/>
          <w:u w:val="single"/>
        </w:rPr>
        <w:t>eresztély Gyula Városi Könyvtár</w:t>
      </w:r>
      <w:r w:rsidR="00576BB2" w:rsidRPr="00576BB2">
        <w:rPr>
          <w:rFonts w:ascii="Arial" w:hAnsi="Arial" w:cs="Arial"/>
          <w:sz w:val="22"/>
          <w:szCs w:val="22"/>
        </w:rPr>
        <w:t>nál a 2022. évben a két munkatárs foglalkoztatásához kapcsolódó személyi jellegű kiadások ere</w:t>
      </w:r>
      <w:r w:rsidR="00576BB2">
        <w:rPr>
          <w:rFonts w:ascii="Arial" w:hAnsi="Arial" w:cs="Arial"/>
          <w:sz w:val="22"/>
          <w:szCs w:val="22"/>
        </w:rPr>
        <w:t xml:space="preserve">deti előirányzata 8 891 000 Ft </w:t>
      </w:r>
      <w:r w:rsidR="00576BB2" w:rsidRPr="00576BB2">
        <w:rPr>
          <w:rFonts w:ascii="Arial" w:hAnsi="Arial" w:cs="Arial"/>
          <w:sz w:val="22"/>
          <w:szCs w:val="22"/>
        </w:rPr>
        <w:t>volt</w:t>
      </w:r>
      <w:r w:rsidR="00576BB2">
        <w:rPr>
          <w:rFonts w:ascii="Arial" w:hAnsi="Arial" w:cs="Arial"/>
          <w:sz w:val="22"/>
          <w:szCs w:val="22"/>
        </w:rPr>
        <w:t>,</w:t>
      </w:r>
      <w:r w:rsidR="00576BB2" w:rsidRPr="00576BB2">
        <w:rPr>
          <w:rFonts w:ascii="Arial" w:hAnsi="Arial" w:cs="Arial"/>
          <w:sz w:val="22"/>
          <w:szCs w:val="22"/>
        </w:rPr>
        <w:t xml:space="preserve"> melyhez 1 160 000 Ft munkaadót terhelő járulék kapcsolódott. Az előző évben központi bérrendezés kertében sor került a kulturális ágazat bérfejlesztésére, mellyel összefüggően jelentkező többletforrás – 1 683 610 Ft - pályázat útj</w:t>
      </w:r>
      <w:r w:rsidR="00576BB2">
        <w:rPr>
          <w:rFonts w:ascii="Arial" w:hAnsi="Arial" w:cs="Arial"/>
          <w:sz w:val="22"/>
          <w:szCs w:val="22"/>
        </w:rPr>
        <w:t xml:space="preserve">án megigényelhető volt, </w:t>
      </w:r>
      <w:r w:rsidR="00576BB2" w:rsidRPr="00576BB2">
        <w:rPr>
          <w:rFonts w:ascii="Arial" w:hAnsi="Arial" w:cs="Arial"/>
          <w:sz w:val="22"/>
          <w:szCs w:val="22"/>
        </w:rPr>
        <w:t>ez évben beépítésre került a normatívába. A 2023. évben bruttó 20 000 Ft béremeléssel számolunk, melynek éves összege 480 000 Ft</w:t>
      </w:r>
      <w:proofErr w:type="gramStart"/>
      <w:r w:rsidR="00576BB2" w:rsidRPr="00576BB2">
        <w:rPr>
          <w:rFonts w:ascii="Arial" w:hAnsi="Arial" w:cs="Arial"/>
          <w:sz w:val="22"/>
          <w:szCs w:val="22"/>
        </w:rPr>
        <w:t xml:space="preserve">, </w:t>
      </w:r>
      <w:r w:rsidR="00576BB2">
        <w:rPr>
          <w:rFonts w:ascii="Arial" w:hAnsi="Arial" w:cs="Arial"/>
          <w:sz w:val="22"/>
          <w:szCs w:val="22"/>
        </w:rPr>
        <w:t xml:space="preserve">     </w:t>
      </w:r>
      <w:r w:rsidR="00576BB2" w:rsidRPr="00576BB2">
        <w:rPr>
          <w:rFonts w:ascii="Arial" w:hAnsi="Arial" w:cs="Arial"/>
          <w:sz w:val="22"/>
          <w:szCs w:val="22"/>
        </w:rPr>
        <w:t>a</w:t>
      </w:r>
      <w:proofErr w:type="gramEnd"/>
      <w:r w:rsidR="00576BB2" w:rsidRPr="00576BB2">
        <w:rPr>
          <w:rFonts w:ascii="Arial" w:hAnsi="Arial" w:cs="Arial"/>
          <w:sz w:val="22"/>
          <w:szCs w:val="22"/>
        </w:rPr>
        <w:t xml:space="preserve"> kapcsolódó járulék 62 400 Ft, összesen 542 400 Ft. Az egyéb bérjellegű juttatások az előző évi szinten kerülnek számbavételre, ezért a többletforrás igény 542 400 Ft járulékkal együtt.</w:t>
      </w:r>
    </w:p>
    <w:p w14:paraId="6EBFDC71" w14:textId="0D4963EF" w:rsidR="006325C2" w:rsidRPr="00AE7B18" w:rsidRDefault="006325C2" w:rsidP="006325C2">
      <w:pPr>
        <w:spacing w:line="276" w:lineRule="auto"/>
        <w:jc w:val="both"/>
        <w:rPr>
          <w:rFonts w:ascii="Arial" w:hAnsi="Arial" w:cs="Arial"/>
          <w:sz w:val="22"/>
          <w:szCs w:val="22"/>
          <w:highlight w:val="yellow"/>
        </w:rPr>
      </w:pPr>
    </w:p>
    <w:p w14:paraId="249FBD04" w14:textId="46529B08" w:rsidR="006325C2" w:rsidRPr="00576BB2" w:rsidRDefault="006325C2" w:rsidP="006325C2">
      <w:pPr>
        <w:spacing w:line="276" w:lineRule="auto"/>
        <w:jc w:val="both"/>
        <w:rPr>
          <w:rFonts w:ascii="Arial" w:hAnsi="Arial" w:cs="Arial"/>
          <w:sz w:val="22"/>
          <w:szCs w:val="22"/>
        </w:rPr>
      </w:pPr>
      <w:r w:rsidRPr="00576BB2">
        <w:rPr>
          <w:rFonts w:ascii="Arial" w:hAnsi="Arial" w:cs="Arial"/>
          <w:sz w:val="22"/>
          <w:szCs w:val="22"/>
        </w:rPr>
        <w:t xml:space="preserve">Bátaszék Város Önkormányzata továbbra is két társulásban vesz részt gesztorként. A </w:t>
      </w:r>
      <w:proofErr w:type="spellStart"/>
      <w:r w:rsidRPr="00576BB2">
        <w:rPr>
          <w:rFonts w:ascii="Arial" w:hAnsi="Arial" w:cs="Arial"/>
          <w:sz w:val="22"/>
          <w:szCs w:val="22"/>
        </w:rPr>
        <w:t>Mikrotérségi</w:t>
      </w:r>
      <w:proofErr w:type="spellEnd"/>
      <w:r w:rsidRPr="00576BB2">
        <w:rPr>
          <w:rFonts w:ascii="Arial" w:hAnsi="Arial" w:cs="Arial"/>
          <w:sz w:val="22"/>
          <w:szCs w:val="22"/>
        </w:rPr>
        <w:t xml:space="preserve"> Óvoda és Bölcsőde Intézmény-fenntartó Társulás, valamint a Bátaszék és Környéke Önkormányzatainak Egészségügyi, Szociális és Gyermekjóléti Társulása. Mindkét Társulás a működésének lebonyolításához egy-egy intézményt </w:t>
      </w:r>
      <w:r w:rsidR="00576BB2" w:rsidRPr="00576BB2">
        <w:rPr>
          <w:rFonts w:ascii="Arial" w:hAnsi="Arial" w:cs="Arial"/>
          <w:sz w:val="22"/>
          <w:szCs w:val="22"/>
        </w:rPr>
        <w:t>tart fenn</w:t>
      </w:r>
      <w:r w:rsidRPr="00576BB2">
        <w:rPr>
          <w:rFonts w:ascii="Arial" w:hAnsi="Arial" w:cs="Arial"/>
          <w:sz w:val="22"/>
          <w:szCs w:val="22"/>
        </w:rPr>
        <w:t xml:space="preserve">. (MOB és Gondozási Központ). A </w:t>
      </w:r>
      <w:proofErr w:type="gramStart"/>
      <w:r w:rsidRPr="00576BB2">
        <w:rPr>
          <w:rFonts w:ascii="Arial" w:hAnsi="Arial" w:cs="Arial"/>
          <w:sz w:val="22"/>
          <w:szCs w:val="22"/>
        </w:rPr>
        <w:t>f</w:t>
      </w:r>
      <w:r w:rsidR="00576BB2">
        <w:rPr>
          <w:rFonts w:ascii="Arial" w:hAnsi="Arial" w:cs="Arial"/>
          <w:sz w:val="22"/>
          <w:szCs w:val="22"/>
        </w:rPr>
        <w:t>inanszírozásuk</w:t>
      </w:r>
      <w:proofErr w:type="gramEnd"/>
      <w:r w:rsidR="00576BB2">
        <w:rPr>
          <w:rFonts w:ascii="Arial" w:hAnsi="Arial" w:cs="Arial"/>
          <w:sz w:val="22"/>
          <w:szCs w:val="22"/>
        </w:rPr>
        <w:t xml:space="preserve">  </w:t>
      </w:r>
      <w:r w:rsidRPr="00576BB2">
        <w:rPr>
          <w:rFonts w:ascii="Arial" w:hAnsi="Arial" w:cs="Arial"/>
          <w:sz w:val="22"/>
          <w:szCs w:val="22"/>
        </w:rPr>
        <w:t>forrás</w:t>
      </w:r>
      <w:r w:rsidR="00576BB2">
        <w:rPr>
          <w:rFonts w:ascii="Arial" w:hAnsi="Arial" w:cs="Arial"/>
          <w:sz w:val="22"/>
          <w:szCs w:val="22"/>
        </w:rPr>
        <w:t xml:space="preserve">aként </w:t>
      </w:r>
      <w:r w:rsidRPr="00576BB2">
        <w:rPr>
          <w:rFonts w:ascii="Arial" w:hAnsi="Arial" w:cs="Arial"/>
          <w:sz w:val="22"/>
          <w:szCs w:val="22"/>
        </w:rPr>
        <w:t xml:space="preserve">állami támogatás, </w:t>
      </w:r>
      <w:r w:rsidR="00576BB2">
        <w:rPr>
          <w:rFonts w:ascii="Arial" w:hAnsi="Arial" w:cs="Arial"/>
          <w:sz w:val="22"/>
          <w:szCs w:val="22"/>
        </w:rPr>
        <w:t>(</w:t>
      </w:r>
      <w:r w:rsidRPr="00576BB2">
        <w:rPr>
          <w:rFonts w:ascii="Arial" w:hAnsi="Arial" w:cs="Arial"/>
          <w:sz w:val="22"/>
          <w:szCs w:val="22"/>
        </w:rPr>
        <w:t>melyet Bátaszék Város Önkormányzata igényel</w:t>
      </w:r>
      <w:r w:rsidR="00576BB2">
        <w:rPr>
          <w:rFonts w:ascii="Arial" w:hAnsi="Arial" w:cs="Arial"/>
          <w:sz w:val="22"/>
          <w:szCs w:val="22"/>
        </w:rPr>
        <w:t>)</w:t>
      </w:r>
      <w:r w:rsidRPr="00576BB2">
        <w:rPr>
          <w:rFonts w:ascii="Arial" w:hAnsi="Arial" w:cs="Arial"/>
          <w:sz w:val="22"/>
          <w:szCs w:val="22"/>
        </w:rPr>
        <w:t xml:space="preserve">, valamint a társulásban részt vevő önkormányzatok létszám és </w:t>
      </w:r>
      <w:r w:rsidR="00576BB2">
        <w:rPr>
          <w:rFonts w:ascii="Arial" w:hAnsi="Arial" w:cs="Arial"/>
          <w:sz w:val="22"/>
          <w:szCs w:val="22"/>
        </w:rPr>
        <w:t>feladatarányos hozzájárulásából történik. Ezen kívül</w:t>
      </w:r>
      <w:r w:rsidRPr="00576BB2">
        <w:rPr>
          <w:rFonts w:ascii="Arial" w:hAnsi="Arial" w:cs="Arial"/>
          <w:sz w:val="22"/>
          <w:szCs w:val="22"/>
        </w:rPr>
        <w:t xml:space="preserve"> az ESZGY az orvosi ügyeletre és a védőnői szolgálatra az NEAK </w:t>
      </w:r>
      <w:proofErr w:type="gramStart"/>
      <w:r w:rsidRPr="00576BB2">
        <w:rPr>
          <w:rFonts w:ascii="Arial" w:hAnsi="Arial" w:cs="Arial"/>
          <w:sz w:val="22"/>
          <w:szCs w:val="22"/>
        </w:rPr>
        <w:t>finanszírozási</w:t>
      </w:r>
      <w:proofErr w:type="gramEnd"/>
      <w:r w:rsidRPr="00576BB2">
        <w:rPr>
          <w:rFonts w:ascii="Arial" w:hAnsi="Arial" w:cs="Arial"/>
          <w:sz w:val="22"/>
          <w:szCs w:val="22"/>
        </w:rPr>
        <w:t xml:space="preserve"> rendszeréből is támogatásban részesül</w:t>
      </w:r>
      <w:r w:rsidR="00576BB2">
        <w:rPr>
          <w:rFonts w:ascii="Arial" w:hAnsi="Arial" w:cs="Arial"/>
          <w:sz w:val="22"/>
          <w:szCs w:val="22"/>
        </w:rPr>
        <w:t xml:space="preserve">ünk. </w:t>
      </w:r>
    </w:p>
    <w:p w14:paraId="1F22FC73" w14:textId="77777777" w:rsidR="006325C2" w:rsidRPr="00AE7B18" w:rsidRDefault="006325C2" w:rsidP="006325C2">
      <w:pPr>
        <w:spacing w:line="276" w:lineRule="auto"/>
        <w:jc w:val="both"/>
        <w:rPr>
          <w:rFonts w:ascii="Arial" w:hAnsi="Arial" w:cs="Arial"/>
          <w:sz w:val="22"/>
          <w:szCs w:val="22"/>
          <w:highlight w:val="yellow"/>
        </w:rPr>
      </w:pPr>
    </w:p>
    <w:p w14:paraId="0DD92734" w14:textId="1C3E7D4D" w:rsidR="006325C2" w:rsidRPr="00C45C6A" w:rsidRDefault="006325C2" w:rsidP="006325C2">
      <w:pPr>
        <w:suppressAutoHyphens/>
        <w:overflowPunct w:val="0"/>
        <w:autoSpaceDE w:val="0"/>
        <w:spacing w:line="276" w:lineRule="auto"/>
        <w:jc w:val="both"/>
        <w:textAlignment w:val="baseline"/>
        <w:rPr>
          <w:rFonts w:ascii="Arial" w:hAnsi="Arial" w:cs="Arial"/>
          <w:sz w:val="22"/>
          <w:szCs w:val="22"/>
        </w:rPr>
      </w:pPr>
      <w:r w:rsidRPr="00C45C6A">
        <w:rPr>
          <w:rFonts w:ascii="Arial" w:hAnsi="Arial" w:cs="Arial"/>
          <w:sz w:val="22"/>
          <w:szCs w:val="22"/>
          <w:u w:val="single"/>
        </w:rPr>
        <w:t>A MOB</w:t>
      </w:r>
      <w:r w:rsidRPr="00C45C6A">
        <w:rPr>
          <w:rFonts w:ascii="Arial" w:hAnsi="Arial" w:cs="Arial"/>
          <w:b/>
          <w:sz w:val="22"/>
          <w:szCs w:val="22"/>
          <w:u w:val="single"/>
        </w:rPr>
        <w:t xml:space="preserve"> </w:t>
      </w:r>
      <w:r w:rsidRPr="00C45C6A">
        <w:rPr>
          <w:rFonts w:ascii="Arial" w:hAnsi="Arial" w:cs="Arial"/>
          <w:sz w:val="22"/>
          <w:szCs w:val="22"/>
        </w:rPr>
        <w:t xml:space="preserve">közalkalmazottjainak jóváhagyott álláshelyszáma a 14/2021. (VII.14.) </w:t>
      </w:r>
      <w:r w:rsidR="00576BB2" w:rsidRPr="00C45C6A">
        <w:rPr>
          <w:rFonts w:ascii="Arial" w:hAnsi="Arial" w:cs="Arial"/>
          <w:sz w:val="22"/>
          <w:szCs w:val="22"/>
        </w:rPr>
        <w:t>TT határozat alapján 63,69 fő</w:t>
      </w:r>
      <w:r w:rsidRPr="00C45C6A">
        <w:rPr>
          <w:rFonts w:ascii="Arial" w:hAnsi="Arial" w:cs="Arial"/>
          <w:sz w:val="22"/>
          <w:szCs w:val="22"/>
        </w:rPr>
        <w:t xml:space="preserve">. </w:t>
      </w:r>
      <w:r w:rsidR="00620722">
        <w:rPr>
          <w:rFonts w:ascii="Arial" w:hAnsi="Arial" w:cs="Arial"/>
          <w:sz w:val="22"/>
          <w:szCs w:val="22"/>
        </w:rPr>
        <w:t>A</w:t>
      </w:r>
      <w:r w:rsidR="00620722" w:rsidRPr="00620722">
        <w:rPr>
          <w:rFonts w:ascii="Arial" w:hAnsi="Arial" w:cs="Arial"/>
          <w:sz w:val="22"/>
          <w:szCs w:val="22"/>
        </w:rPr>
        <w:t xml:space="preserve"> 2022.évi személyi juttatások és a hozzá kapcsolódó szociális hozzájárulási adó 294 961 e Ft. 2023-ban várhatóan 330 483 e Ft lesz, ami 35 522 e Ft-os növekedést mutat. 2023. január 1-től emelkedett a minimálbér, a </w:t>
      </w:r>
      <w:proofErr w:type="gramStart"/>
      <w:r w:rsidR="00620722" w:rsidRPr="00620722">
        <w:rPr>
          <w:rFonts w:ascii="Arial" w:hAnsi="Arial" w:cs="Arial"/>
          <w:sz w:val="22"/>
          <w:szCs w:val="22"/>
        </w:rPr>
        <w:t>garantált</w:t>
      </w:r>
      <w:proofErr w:type="gramEnd"/>
      <w:r w:rsidR="00620722" w:rsidRPr="00620722">
        <w:rPr>
          <w:rFonts w:ascii="Arial" w:hAnsi="Arial" w:cs="Arial"/>
          <w:sz w:val="22"/>
          <w:szCs w:val="22"/>
        </w:rPr>
        <w:t xml:space="preserve"> bérminimum, valamint óvodapedagógusoknál az ágazati pótlék 20%-</w:t>
      </w:r>
      <w:proofErr w:type="spellStart"/>
      <w:r w:rsidR="00620722" w:rsidRPr="00620722">
        <w:rPr>
          <w:rFonts w:ascii="Arial" w:hAnsi="Arial" w:cs="Arial"/>
          <w:sz w:val="22"/>
          <w:szCs w:val="22"/>
        </w:rPr>
        <w:t>ról</w:t>
      </w:r>
      <w:proofErr w:type="spellEnd"/>
      <w:r w:rsidR="00620722" w:rsidRPr="00620722">
        <w:rPr>
          <w:rFonts w:ascii="Arial" w:hAnsi="Arial" w:cs="Arial"/>
          <w:sz w:val="22"/>
          <w:szCs w:val="22"/>
        </w:rPr>
        <w:t xml:space="preserve"> 32%-</w:t>
      </w:r>
      <w:proofErr w:type="spellStart"/>
      <w:r w:rsidR="00620722" w:rsidRPr="00620722">
        <w:rPr>
          <w:rFonts w:ascii="Arial" w:hAnsi="Arial" w:cs="Arial"/>
          <w:sz w:val="22"/>
          <w:szCs w:val="22"/>
        </w:rPr>
        <w:t>ra</w:t>
      </w:r>
      <w:proofErr w:type="spellEnd"/>
      <w:r w:rsidR="00620722" w:rsidRPr="00620722">
        <w:rPr>
          <w:rFonts w:ascii="Arial" w:hAnsi="Arial" w:cs="Arial"/>
          <w:sz w:val="22"/>
          <w:szCs w:val="22"/>
        </w:rPr>
        <w:t>. Bátaszék vonatkozásában 2022 évről 2023 évre 27 638 e Ft a változás az ered</w:t>
      </w:r>
      <w:r w:rsidR="00620722">
        <w:rPr>
          <w:rFonts w:ascii="Arial" w:hAnsi="Arial" w:cs="Arial"/>
          <w:sz w:val="22"/>
          <w:szCs w:val="22"/>
        </w:rPr>
        <w:t xml:space="preserve">eti előirányzathoz képest, ami </w:t>
      </w:r>
      <w:r w:rsidR="00620722" w:rsidRPr="00620722">
        <w:rPr>
          <w:rFonts w:ascii="Arial" w:hAnsi="Arial" w:cs="Arial"/>
          <w:sz w:val="22"/>
          <w:szCs w:val="22"/>
        </w:rPr>
        <w:t>többletforrást igényel.</w:t>
      </w:r>
      <w:r w:rsidR="00620722">
        <w:rPr>
          <w:rFonts w:ascii="Arial" w:hAnsi="Arial" w:cs="Arial"/>
          <w:sz w:val="22"/>
          <w:szCs w:val="22"/>
        </w:rPr>
        <w:t xml:space="preserve"> </w:t>
      </w:r>
      <w:r w:rsidRPr="00C45C6A">
        <w:rPr>
          <w:rFonts w:ascii="Arial" w:hAnsi="Arial" w:cs="Arial"/>
          <w:sz w:val="22"/>
          <w:szCs w:val="22"/>
        </w:rPr>
        <w:t xml:space="preserve">Az egyéb nem rendszeres juttatásoknál a bankszámlavezetési díjak, a közlekedési költségtérítések, a magáncélú telefon használati díjak és a megbízási díjak szerepelnek. </w:t>
      </w:r>
    </w:p>
    <w:p w14:paraId="5EC1B9ED" w14:textId="769D27D7" w:rsidR="006325C2" w:rsidRPr="00C45C6A" w:rsidRDefault="006325C2" w:rsidP="006325C2">
      <w:pPr>
        <w:suppressAutoHyphens/>
        <w:overflowPunct w:val="0"/>
        <w:autoSpaceDE w:val="0"/>
        <w:spacing w:line="276" w:lineRule="auto"/>
        <w:jc w:val="both"/>
        <w:textAlignment w:val="baseline"/>
        <w:rPr>
          <w:rFonts w:ascii="Arial" w:hAnsi="Arial" w:cs="Arial"/>
          <w:sz w:val="22"/>
          <w:szCs w:val="22"/>
        </w:rPr>
      </w:pPr>
      <w:r w:rsidRPr="00C45C6A">
        <w:rPr>
          <w:rFonts w:ascii="Arial" w:hAnsi="Arial" w:cs="Arial"/>
          <w:sz w:val="22"/>
          <w:szCs w:val="22"/>
        </w:rPr>
        <w:t>A Társulás az általa fenntartott intézményeknél foglalkoztato</w:t>
      </w:r>
      <w:r w:rsidR="00620722" w:rsidRPr="00C45C6A">
        <w:rPr>
          <w:rFonts w:ascii="Arial" w:hAnsi="Arial" w:cs="Arial"/>
          <w:sz w:val="22"/>
          <w:szCs w:val="22"/>
        </w:rPr>
        <w:t>tt közalkalmazottak részére 2023</w:t>
      </w:r>
      <w:r w:rsidRPr="00C45C6A">
        <w:rPr>
          <w:rFonts w:ascii="Arial" w:hAnsi="Arial" w:cs="Arial"/>
          <w:sz w:val="22"/>
          <w:szCs w:val="22"/>
        </w:rPr>
        <w:t xml:space="preserve">. év során </w:t>
      </w:r>
      <w:proofErr w:type="spellStart"/>
      <w:r w:rsidRPr="00C45C6A">
        <w:rPr>
          <w:rFonts w:ascii="Arial" w:hAnsi="Arial" w:cs="Arial"/>
          <w:sz w:val="22"/>
          <w:szCs w:val="22"/>
        </w:rPr>
        <w:t>cafetéria</w:t>
      </w:r>
      <w:proofErr w:type="spellEnd"/>
      <w:r w:rsidRPr="00C45C6A">
        <w:rPr>
          <w:rFonts w:ascii="Arial" w:hAnsi="Arial" w:cs="Arial"/>
          <w:sz w:val="22"/>
          <w:szCs w:val="22"/>
        </w:rPr>
        <w:t xml:space="preserve"> - juttatást </w:t>
      </w:r>
      <w:r w:rsidR="00620722" w:rsidRPr="00C45C6A">
        <w:rPr>
          <w:rFonts w:ascii="Arial" w:hAnsi="Arial" w:cs="Arial"/>
          <w:sz w:val="22"/>
          <w:szCs w:val="22"/>
        </w:rPr>
        <w:t>ez évben s</w:t>
      </w:r>
      <w:r w:rsidRPr="00C45C6A">
        <w:rPr>
          <w:rFonts w:ascii="Arial" w:hAnsi="Arial" w:cs="Arial"/>
          <w:sz w:val="22"/>
          <w:szCs w:val="22"/>
        </w:rPr>
        <w:t xml:space="preserve">em tud biztosítani. A Társulás 2022. évre jutalomalapot nem hoz létre a költségvetésében. </w:t>
      </w:r>
    </w:p>
    <w:p w14:paraId="4906903D" w14:textId="77777777" w:rsidR="006325C2" w:rsidRPr="00AE7B18" w:rsidRDefault="006325C2" w:rsidP="006325C2">
      <w:pPr>
        <w:suppressAutoHyphens/>
        <w:overflowPunct w:val="0"/>
        <w:autoSpaceDE w:val="0"/>
        <w:spacing w:line="276" w:lineRule="auto"/>
        <w:jc w:val="both"/>
        <w:textAlignment w:val="baseline"/>
        <w:rPr>
          <w:rFonts w:ascii="Arial" w:hAnsi="Arial" w:cs="Arial"/>
          <w:sz w:val="22"/>
          <w:szCs w:val="22"/>
          <w:highlight w:val="yellow"/>
        </w:rPr>
      </w:pPr>
    </w:p>
    <w:p w14:paraId="1BD85785" w14:textId="6D26749D" w:rsidR="006325C2" w:rsidRPr="00C45C6A" w:rsidRDefault="006325C2" w:rsidP="006325C2">
      <w:pPr>
        <w:overflowPunct w:val="0"/>
        <w:autoSpaceDE w:val="0"/>
        <w:autoSpaceDN w:val="0"/>
        <w:adjustRightInd w:val="0"/>
        <w:spacing w:line="276" w:lineRule="auto"/>
        <w:jc w:val="both"/>
        <w:textAlignment w:val="baseline"/>
        <w:rPr>
          <w:rFonts w:ascii="Arial" w:hAnsi="Arial" w:cs="Arial"/>
          <w:sz w:val="22"/>
          <w:szCs w:val="22"/>
          <w:lang w:eastAsia="hu-HU"/>
        </w:rPr>
      </w:pPr>
      <w:r w:rsidRPr="00C45C6A">
        <w:rPr>
          <w:rFonts w:ascii="Arial" w:hAnsi="Arial" w:cs="Arial"/>
          <w:sz w:val="22"/>
          <w:szCs w:val="22"/>
          <w:lang w:eastAsia="hu-HU"/>
        </w:rPr>
        <w:t xml:space="preserve">A </w:t>
      </w:r>
      <w:r w:rsidRPr="00C45C6A">
        <w:rPr>
          <w:rFonts w:ascii="Arial" w:hAnsi="Arial" w:cs="Arial"/>
          <w:sz w:val="22"/>
          <w:szCs w:val="22"/>
          <w:u w:val="single"/>
          <w:lang w:eastAsia="hu-HU"/>
        </w:rPr>
        <w:t>Gondozási Központ</w:t>
      </w:r>
      <w:r w:rsidRPr="00C45C6A">
        <w:rPr>
          <w:rFonts w:ascii="Arial" w:hAnsi="Arial" w:cs="Arial"/>
          <w:sz w:val="22"/>
          <w:szCs w:val="22"/>
          <w:lang w:eastAsia="hu-HU"/>
        </w:rPr>
        <w:t xml:space="preserve"> munkatársai a közalkalmazotti törvény alapján kerülnek alkalmazásra. A közalkalmazotti bértábla fizetési fokozatai és osztályai szerinti alapilletmény besorolás a minimálbér és </w:t>
      </w:r>
      <w:proofErr w:type="gramStart"/>
      <w:r w:rsidRPr="00C45C6A">
        <w:rPr>
          <w:rFonts w:ascii="Arial" w:hAnsi="Arial" w:cs="Arial"/>
          <w:sz w:val="22"/>
          <w:szCs w:val="22"/>
          <w:lang w:eastAsia="hu-HU"/>
        </w:rPr>
        <w:t>garantált</w:t>
      </w:r>
      <w:proofErr w:type="gramEnd"/>
      <w:r w:rsidRPr="00C45C6A">
        <w:rPr>
          <w:rFonts w:ascii="Arial" w:hAnsi="Arial" w:cs="Arial"/>
          <w:sz w:val="22"/>
          <w:szCs w:val="22"/>
          <w:lang w:eastAsia="hu-HU"/>
        </w:rPr>
        <w:t xml:space="preserve"> bérminimum összegeivel azonosak még 20-30 éves munkaviszony elérése esetén is. </w:t>
      </w:r>
      <w:r w:rsidR="00C45C6A" w:rsidRPr="00C45C6A">
        <w:rPr>
          <w:rFonts w:ascii="Arial" w:hAnsi="Arial" w:cs="Arial"/>
          <w:sz w:val="22"/>
          <w:szCs w:val="22"/>
          <w:lang w:eastAsia="hu-HU"/>
        </w:rPr>
        <w:t xml:space="preserve">Az előzőek alapján </w:t>
      </w:r>
      <w:r w:rsidRPr="00C45C6A">
        <w:rPr>
          <w:rFonts w:ascii="Arial" w:hAnsi="Arial" w:cs="Arial"/>
          <w:sz w:val="22"/>
          <w:szCs w:val="22"/>
          <w:lang w:eastAsia="hu-HU"/>
        </w:rPr>
        <w:t>az itt dolgozó munkatársak többsége kiegészítésként ágazati pótlékban is részesül, de még így is jelentősen alacsonyabb a bérük a versenyszférához képest. A személyi juttatások között került betervezésre a 26 fő közalkalmazott rendszeres bére, a közlekedési költségtérítés, a bankszámlavezetési díjak, valamint az időszaki megbízási díjak. (A 8/2019.(XII.19) TT határozat értelmében 24,5 fő az álláshelyek száma, de a részmunkaidősök miatt 26 fővel került betöltésre az engedélyezett álláshely).</w:t>
      </w:r>
    </w:p>
    <w:p w14:paraId="55A2373F" w14:textId="6F2AC018" w:rsidR="006325C2" w:rsidRPr="00C45C6A" w:rsidRDefault="006325C2" w:rsidP="006325C2">
      <w:pPr>
        <w:overflowPunct w:val="0"/>
        <w:autoSpaceDE w:val="0"/>
        <w:autoSpaceDN w:val="0"/>
        <w:adjustRightInd w:val="0"/>
        <w:spacing w:line="276" w:lineRule="auto"/>
        <w:jc w:val="both"/>
        <w:textAlignment w:val="baseline"/>
        <w:rPr>
          <w:rFonts w:ascii="Arial" w:hAnsi="Arial" w:cs="Arial"/>
          <w:sz w:val="22"/>
          <w:szCs w:val="22"/>
          <w:lang w:eastAsia="hu-HU"/>
        </w:rPr>
      </w:pPr>
      <w:r w:rsidRPr="00C45C6A">
        <w:rPr>
          <w:rFonts w:ascii="Arial" w:hAnsi="Arial" w:cs="Arial"/>
          <w:sz w:val="22"/>
          <w:szCs w:val="22"/>
          <w:lang w:eastAsia="hu-HU"/>
        </w:rPr>
        <w:t xml:space="preserve">A Társulás az általa fenntartott intézményeknél foglalkoztatott közalkalmazottak részére </w:t>
      </w:r>
      <w:r w:rsidR="00C45C6A" w:rsidRPr="00C45C6A">
        <w:rPr>
          <w:rFonts w:ascii="Arial" w:hAnsi="Arial" w:cs="Arial"/>
          <w:sz w:val="22"/>
          <w:szCs w:val="22"/>
          <w:lang w:eastAsia="hu-HU"/>
        </w:rPr>
        <w:t>a 2023</w:t>
      </w:r>
      <w:r w:rsidRPr="00C45C6A">
        <w:rPr>
          <w:rFonts w:ascii="Arial" w:hAnsi="Arial" w:cs="Arial"/>
          <w:sz w:val="22"/>
          <w:szCs w:val="22"/>
          <w:lang w:eastAsia="hu-HU"/>
        </w:rPr>
        <w:t xml:space="preserve">. év során </w:t>
      </w:r>
      <w:r w:rsidR="00C45C6A" w:rsidRPr="00C45C6A">
        <w:rPr>
          <w:rFonts w:ascii="Arial" w:hAnsi="Arial" w:cs="Arial"/>
          <w:sz w:val="22"/>
          <w:szCs w:val="22"/>
          <w:lang w:eastAsia="hu-HU"/>
        </w:rPr>
        <w:t xml:space="preserve">sem tud </w:t>
      </w:r>
      <w:proofErr w:type="spellStart"/>
      <w:r w:rsidR="00C45C6A" w:rsidRPr="00C45C6A">
        <w:rPr>
          <w:rFonts w:ascii="Arial" w:hAnsi="Arial" w:cs="Arial"/>
          <w:sz w:val="22"/>
          <w:szCs w:val="22"/>
          <w:lang w:eastAsia="hu-HU"/>
        </w:rPr>
        <w:t>cafetéria</w:t>
      </w:r>
      <w:proofErr w:type="spellEnd"/>
      <w:r w:rsidR="00C45C6A" w:rsidRPr="00C45C6A">
        <w:rPr>
          <w:rFonts w:ascii="Arial" w:hAnsi="Arial" w:cs="Arial"/>
          <w:sz w:val="22"/>
          <w:szCs w:val="22"/>
          <w:lang w:eastAsia="hu-HU"/>
        </w:rPr>
        <w:t xml:space="preserve"> – juttatást </w:t>
      </w:r>
      <w:r w:rsidRPr="00C45C6A">
        <w:rPr>
          <w:rFonts w:ascii="Arial" w:hAnsi="Arial" w:cs="Arial"/>
          <w:sz w:val="22"/>
          <w:szCs w:val="22"/>
          <w:lang w:eastAsia="hu-HU"/>
        </w:rPr>
        <w:t xml:space="preserve">biztosítani. A társulás 2022. évre jutalomalapot nem hoz létre a költségvetésében. </w:t>
      </w:r>
    </w:p>
    <w:p w14:paraId="4B2E52FD" w14:textId="77777777" w:rsidR="006325C2" w:rsidRPr="00AE7B18" w:rsidRDefault="006325C2" w:rsidP="006325C2">
      <w:pPr>
        <w:suppressAutoHyphens/>
        <w:overflowPunct w:val="0"/>
        <w:autoSpaceDE w:val="0"/>
        <w:spacing w:line="276" w:lineRule="auto"/>
        <w:jc w:val="both"/>
        <w:textAlignment w:val="baseline"/>
        <w:rPr>
          <w:rFonts w:ascii="Arial" w:hAnsi="Arial" w:cs="Arial"/>
          <w:sz w:val="22"/>
          <w:szCs w:val="22"/>
          <w:highlight w:val="yellow"/>
        </w:rPr>
      </w:pPr>
    </w:p>
    <w:p w14:paraId="6D18D48F" w14:textId="717260F7" w:rsidR="006325C2" w:rsidRPr="000056A9" w:rsidRDefault="006325C2" w:rsidP="006325C2">
      <w:pPr>
        <w:jc w:val="both"/>
        <w:rPr>
          <w:rFonts w:ascii="Arial" w:hAnsi="Arial" w:cs="Arial"/>
          <w:b/>
          <w:sz w:val="22"/>
          <w:szCs w:val="22"/>
          <w:u w:val="single"/>
        </w:rPr>
      </w:pPr>
      <w:r w:rsidRPr="000056A9">
        <w:rPr>
          <w:rFonts w:ascii="Arial" w:hAnsi="Arial" w:cs="Arial"/>
          <w:b/>
          <w:sz w:val="22"/>
          <w:szCs w:val="22"/>
          <w:u w:val="single"/>
        </w:rPr>
        <w:t>Munkaadót terhelő járulékok</w:t>
      </w:r>
      <w:r w:rsidR="00BF58A4" w:rsidRPr="000056A9">
        <w:rPr>
          <w:rFonts w:ascii="Arial" w:hAnsi="Arial" w:cs="Arial"/>
          <w:b/>
          <w:sz w:val="22"/>
          <w:szCs w:val="22"/>
          <w:u w:val="single"/>
        </w:rPr>
        <w:t xml:space="preserve"> és szociális hozzájárulási adó előirányzata 27 295 170 Ft.</w:t>
      </w:r>
      <w:r w:rsidRPr="000056A9">
        <w:rPr>
          <w:rFonts w:ascii="Arial" w:hAnsi="Arial" w:cs="Arial"/>
          <w:b/>
          <w:sz w:val="22"/>
          <w:szCs w:val="22"/>
          <w:u w:val="single"/>
        </w:rPr>
        <w:t xml:space="preserve"> </w:t>
      </w:r>
    </w:p>
    <w:p w14:paraId="6C9F5C1F" w14:textId="77777777" w:rsidR="006325C2" w:rsidRPr="000056A9" w:rsidRDefault="006325C2" w:rsidP="006325C2">
      <w:pPr>
        <w:jc w:val="both"/>
        <w:rPr>
          <w:rFonts w:ascii="Arial" w:hAnsi="Arial" w:cs="Arial"/>
          <w:b/>
          <w:sz w:val="22"/>
          <w:szCs w:val="22"/>
          <w:u w:val="single"/>
        </w:rPr>
      </w:pPr>
    </w:p>
    <w:p w14:paraId="389DF9F0" w14:textId="02E42376" w:rsidR="006325C2" w:rsidRPr="00C45C6A" w:rsidRDefault="006325C2" w:rsidP="006325C2">
      <w:pPr>
        <w:jc w:val="both"/>
        <w:rPr>
          <w:rFonts w:ascii="Arial" w:hAnsi="Arial" w:cs="Arial"/>
          <w:sz w:val="22"/>
          <w:szCs w:val="22"/>
        </w:rPr>
      </w:pPr>
      <w:r w:rsidRPr="00C45C6A">
        <w:rPr>
          <w:rFonts w:ascii="Arial" w:hAnsi="Arial" w:cs="Arial"/>
          <w:sz w:val="22"/>
          <w:szCs w:val="22"/>
        </w:rPr>
        <w:t xml:space="preserve">A személyi juttatások soron megjelenő összegek munkaadót terhelő járulékai és a szociális hozzájárulási adó összege ezen a soron került betervezésre a törvényi </w:t>
      </w:r>
      <w:r w:rsidR="00C45C6A" w:rsidRPr="00C45C6A">
        <w:rPr>
          <w:rFonts w:ascii="Arial" w:hAnsi="Arial" w:cs="Arial"/>
          <w:sz w:val="22"/>
          <w:szCs w:val="22"/>
        </w:rPr>
        <w:t>előírásoknak megfelelően. A 2022</w:t>
      </w:r>
      <w:r w:rsidRPr="00C45C6A">
        <w:rPr>
          <w:rFonts w:ascii="Arial" w:hAnsi="Arial" w:cs="Arial"/>
          <w:sz w:val="22"/>
          <w:szCs w:val="22"/>
        </w:rPr>
        <w:t xml:space="preserve">. évihez képest </w:t>
      </w:r>
      <w:r w:rsidR="00C45C6A" w:rsidRPr="00C45C6A">
        <w:rPr>
          <w:rFonts w:ascii="Arial" w:hAnsi="Arial" w:cs="Arial"/>
          <w:sz w:val="22"/>
          <w:szCs w:val="22"/>
        </w:rPr>
        <w:t>a mértéke nem változott, továbbra 13 %.</w:t>
      </w:r>
    </w:p>
    <w:p w14:paraId="1F8A3C96" w14:textId="77777777" w:rsidR="006325C2" w:rsidRPr="00AE7B18" w:rsidRDefault="006325C2" w:rsidP="006325C2">
      <w:pPr>
        <w:jc w:val="both"/>
        <w:rPr>
          <w:rFonts w:ascii="Arial" w:hAnsi="Arial" w:cs="Arial"/>
          <w:sz w:val="22"/>
          <w:szCs w:val="22"/>
          <w:highlight w:val="yellow"/>
        </w:rPr>
      </w:pPr>
    </w:p>
    <w:p w14:paraId="15431C83" w14:textId="683D5507" w:rsidR="006325C2" w:rsidRPr="000056A9" w:rsidRDefault="00BF58A4" w:rsidP="006325C2">
      <w:pPr>
        <w:jc w:val="both"/>
        <w:rPr>
          <w:rFonts w:ascii="Arial" w:hAnsi="Arial" w:cs="Arial"/>
          <w:b/>
          <w:sz w:val="22"/>
          <w:szCs w:val="22"/>
          <w:u w:val="single"/>
        </w:rPr>
      </w:pPr>
      <w:r w:rsidRPr="000056A9">
        <w:rPr>
          <w:rFonts w:ascii="Arial" w:hAnsi="Arial" w:cs="Arial"/>
          <w:b/>
          <w:sz w:val="22"/>
          <w:szCs w:val="22"/>
          <w:u w:val="single"/>
        </w:rPr>
        <w:t>A d</w:t>
      </w:r>
      <w:r w:rsidR="006325C2" w:rsidRPr="000056A9">
        <w:rPr>
          <w:rFonts w:ascii="Arial" w:hAnsi="Arial" w:cs="Arial"/>
          <w:b/>
          <w:sz w:val="22"/>
          <w:szCs w:val="22"/>
          <w:u w:val="single"/>
        </w:rPr>
        <w:t>ologi kiadások</w:t>
      </w:r>
      <w:r w:rsidRPr="000056A9">
        <w:rPr>
          <w:rFonts w:ascii="Arial" w:hAnsi="Arial" w:cs="Arial"/>
          <w:b/>
          <w:sz w:val="22"/>
          <w:szCs w:val="22"/>
          <w:u w:val="single"/>
        </w:rPr>
        <w:t xml:space="preserve"> előirányzata </w:t>
      </w:r>
      <w:r w:rsidR="00460649">
        <w:rPr>
          <w:rFonts w:ascii="Arial" w:hAnsi="Arial" w:cs="Arial"/>
          <w:b/>
          <w:sz w:val="22"/>
          <w:szCs w:val="22"/>
          <w:u w:val="single"/>
        </w:rPr>
        <w:t>212 486 845</w:t>
      </w:r>
      <w:r w:rsidRPr="000056A9">
        <w:rPr>
          <w:rFonts w:ascii="Arial" w:hAnsi="Arial" w:cs="Arial"/>
          <w:b/>
          <w:sz w:val="22"/>
          <w:szCs w:val="22"/>
          <w:u w:val="single"/>
        </w:rPr>
        <w:t xml:space="preserve"> Ft.</w:t>
      </w:r>
    </w:p>
    <w:p w14:paraId="5938FF46" w14:textId="6E81C7B2" w:rsidR="006325C2" w:rsidRPr="00BF58A4" w:rsidRDefault="006325C2" w:rsidP="006325C2">
      <w:pPr>
        <w:spacing w:before="120"/>
        <w:jc w:val="both"/>
        <w:rPr>
          <w:rFonts w:ascii="Arial" w:hAnsi="Arial" w:cs="Arial"/>
          <w:sz w:val="22"/>
          <w:szCs w:val="22"/>
        </w:rPr>
      </w:pPr>
      <w:r w:rsidRPr="00BF58A4">
        <w:rPr>
          <w:rFonts w:ascii="Arial" w:hAnsi="Arial" w:cs="Arial"/>
          <w:sz w:val="22"/>
          <w:szCs w:val="22"/>
        </w:rPr>
        <w:t xml:space="preserve">A dologi kiadások tervezésénél </w:t>
      </w:r>
      <w:r w:rsidR="00BF58A4" w:rsidRPr="00BF58A4">
        <w:rPr>
          <w:rFonts w:ascii="Arial" w:hAnsi="Arial" w:cs="Arial"/>
          <w:sz w:val="22"/>
          <w:szCs w:val="22"/>
        </w:rPr>
        <w:t xml:space="preserve">általában 15% emeléssel számoltunk, az energia költségeket az éves becsült fogyasztás alapján az ismert, </w:t>
      </w:r>
      <w:proofErr w:type="gramStart"/>
      <w:r w:rsidR="00BF58A4" w:rsidRPr="00BF58A4">
        <w:rPr>
          <w:rFonts w:ascii="Arial" w:hAnsi="Arial" w:cs="Arial"/>
          <w:sz w:val="22"/>
          <w:szCs w:val="22"/>
        </w:rPr>
        <w:t>fi</w:t>
      </w:r>
      <w:r w:rsidR="0013145A">
        <w:rPr>
          <w:rFonts w:ascii="Arial" w:hAnsi="Arial" w:cs="Arial"/>
          <w:sz w:val="22"/>
          <w:szCs w:val="22"/>
        </w:rPr>
        <w:t>x</w:t>
      </w:r>
      <w:proofErr w:type="gramEnd"/>
      <w:r w:rsidR="00BF58A4" w:rsidRPr="00BF58A4">
        <w:rPr>
          <w:rFonts w:ascii="Arial" w:hAnsi="Arial" w:cs="Arial"/>
          <w:sz w:val="22"/>
          <w:szCs w:val="22"/>
        </w:rPr>
        <w:t xml:space="preserve"> árakkal kalkuláltuk.</w:t>
      </w:r>
    </w:p>
    <w:p w14:paraId="7AA5FB77" w14:textId="77777777" w:rsidR="006325C2" w:rsidRPr="00035DFD" w:rsidRDefault="006325C2" w:rsidP="006325C2">
      <w:pPr>
        <w:spacing w:before="120"/>
        <w:jc w:val="both"/>
        <w:rPr>
          <w:rFonts w:ascii="Arial" w:hAnsi="Arial" w:cs="Arial"/>
          <w:sz w:val="22"/>
          <w:szCs w:val="22"/>
        </w:rPr>
      </w:pPr>
      <w:r w:rsidRPr="00035DFD">
        <w:rPr>
          <w:rFonts w:ascii="Arial" w:hAnsi="Arial" w:cs="Arial"/>
          <w:sz w:val="22"/>
          <w:szCs w:val="22"/>
        </w:rPr>
        <w:t>A költségvetésben jóváhagyásra javasolt városüzemeltetési dologi kiadások:</w:t>
      </w:r>
    </w:p>
    <w:p w14:paraId="4CACF8AB" w14:textId="77777777" w:rsidR="006325C2" w:rsidRPr="00035DFD" w:rsidRDefault="006325C2" w:rsidP="006325C2">
      <w:pPr>
        <w:jc w:val="both"/>
        <w:rPr>
          <w:rFonts w:ascii="Arial" w:hAnsi="Arial" w:cs="Arial"/>
          <w:b/>
          <w:sz w:val="18"/>
          <w:szCs w:val="18"/>
        </w:rPr>
      </w:pPr>
    </w:p>
    <w:p w14:paraId="21337F8C" w14:textId="77777777" w:rsidR="0013145A" w:rsidRDefault="0013145A" w:rsidP="0013145A">
      <w:pPr>
        <w:rPr>
          <w:b/>
        </w:rPr>
      </w:pPr>
      <w:r>
        <w:rPr>
          <w:b/>
        </w:rPr>
        <w:t>Városüzemeltetés kiadások (dologi)</w:t>
      </w:r>
    </w:p>
    <w:p w14:paraId="4FB0DC20" w14:textId="77777777" w:rsidR="0013145A" w:rsidRDefault="0013145A" w:rsidP="0013145A">
      <w:pPr>
        <w:pStyle w:val="Listaszerbekezds"/>
        <w:numPr>
          <w:ilvl w:val="0"/>
          <w:numId w:val="17"/>
        </w:numPr>
        <w:ind w:left="502"/>
        <w:jc w:val="both"/>
      </w:pPr>
      <w:r>
        <w:t>külterületi csapv. víz. rendezés (kaszálás)</w:t>
      </w:r>
      <w:r>
        <w:tab/>
      </w:r>
      <w:r>
        <w:tab/>
      </w:r>
      <w:r>
        <w:tab/>
      </w:r>
      <w:r>
        <w:tab/>
      </w:r>
      <w:r>
        <w:tab/>
        <w:t>1.500 e Ft</w:t>
      </w:r>
    </w:p>
    <w:p w14:paraId="4EF98F4A" w14:textId="77777777" w:rsidR="0013145A" w:rsidRDefault="0013145A" w:rsidP="0013145A">
      <w:pPr>
        <w:pStyle w:val="Listaszerbekezds"/>
        <w:numPr>
          <w:ilvl w:val="0"/>
          <w:numId w:val="17"/>
        </w:numPr>
        <w:ind w:left="502"/>
        <w:jc w:val="both"/>
      </w:pPr>
      <w:r>
        <w:t xml:space="preserve">utcabútorok </w:t>
      </w:r>
      <w:r>
        <w:rPr>
          <w:i/>
        </w:rPr>
        <w:t>(kukák, biciklitárolók, padok</w:t>
      </w:r>
      <w:proofErr w:type="gramStart"/>
      <w:r>
        <w:rPr>
          <w:i/>
        </w:rPr>
        <w:t>)</w:t>
      </w:r>
      <w:r>
        <w:rPr>
          <w:i/>
        </w:rPr>
        <w:tab/>
      </w:r>
      <w:r>
        <w:rPr>
          <w:i/>
        </w:rPr>
        <w:tab/>
      </w:r>
      <w:r>
        <w:rPr>
          <w:i/>
        </w:rPr>
        <w:tab/>
      </w:r>
      <w:r>
        <w:rPr>
          <w:i/>
        </w:rPr>
        <w:tab/>
      </w:r>
      <w:r>
        <w:rPr>
          <w:i/>
        </w:rPr>
        <w:tab/>
        <w:t xml:space="preserve">   </w:t>
      </w:r>
      <w:r w:rsidRPr="00076883">
        <w:t>500</w:t>
      </w:r>
      <w:proofErr w:type="gramEnd"/>
      <w:r w:rsidRPr="00076883">
        <w:t xml:space="preserve"> e Ft</w:t>
      </w:r>
    </w:p>
    <w:p w14:paraId="56FAF7A7" w14:textId="77777777" w:rsidR="0013145A" w:rsidRDefault="0013145A" w:rsidP="0013145A">
      <w:pPr>
        <w:pStyle w:val="Listaszerbekezds"/>
        <w:numPr>
          <w:ilvl w:val="0"/>
          <w:numId w:val="17"/>
        </w:numPr>
        <w:ind w:left="502"/>
        <w:jc w:val="both"/>
      </w:pPr>
      <w:r>
        <w:t xml:space="preserve">egyéb </w:t>
      </w:r>
      <w:proofErr w:type="spellStart"/>
      <w:r>
        <w:t>városüz</w:t>
      </w:r>
      <w:proofErr w:type="spellEnd"/>
      <w:r>
        <w:t xml:space="preserve">. feladatok </w:t>
      </w:r>
      <w:r>
        <w:rPr>
          <w:i/>
        </w:rPr>
        <w:t>(anyag költségek pl. mart aszfalt, zúzott kő)</w:t>
      </w:r>
      <w:r>
        <w:tab/>
        <w:t>3.000 e</w:t>
      </w:r>
      <w:r>
        <w:tab/>
        <w:t xml:space="preserve"> Ft</w:t>
      </w:r>
    </w:p>
    <w:p w14:paraId="74FB9F7A" w14:textId="77777777" w:rsidR="0013145A" w:rsidRDefault="0013145A" w:rsidP="0013145A">
      <w:pPr>
        <w:pStyle w:val="Listaszerbekezds"/>
        <w:numPr>
          <w:ilvl w:val="0"/>
          <w:numId w:val="17"/>
        </w:numPr>
        <w:ind w:left="502"/>
        <w:jc w:val="both"/>
      </w:pPr>
      <w:r>
        <w:t xml:space="preserve">karácsonyi világítás </w:t>
      </w:r>
      <w:r>
        <w:rPr>
          <w:i/>
        </w:rPr>
        <w:t>(fel és le szer</w:t>
      </w:r>
      <w:proofErr w:type="gramStart"/>
      <w:r>
        <w:rPr>
          <w:i/>
        </w:rPr>
        <w:t>.,</w:t>
      </w:r>
      <w:proofErr w:type="gramEnd"/>
      <w:r>
        <w:rPr>
          <w:i/>
        </w:rPr>
        <w:t xml:space="preserve"> érintésvédelmi kiépítés a fákon</w:t>
      </w:r>
      <w:r w:rsidRPr="002030C4">
        <w:rPr>
          <w:i/>
        </w:rPr>
        <w:t xml:space="preserve"> )</w:t>
      </w:r>
      <w:r>
        <w:rPr>
          <w:i/>
        </w:rPr>
        <w:t xml:space="preserve">   </w:t>
      </w:r>
      <w:r w:rsidRPr="002030C4">
        <w:rPr>
          <w:i/>
        </w:rPr>
        <w:tab/>
      </w:r>
      <w:r>
        <w:t>2.000 e Ft</w:t>
      </w:r>
    </w:p>
    <w:p w14:paraId="7421F50B" w14:textId="77777777" w:rsidR="0013145A" w:rsidRDefault="0013145A" w:rsidP="0013145A">
      <w:pPr>
        <w:pStyle w:val="Listaszerbekezds"/>
        <w:numPr>
          <w:ilvl w:val="0"/>
          <w:numId w:val="17"/>
        </w:numPr>
        <w:ind w:left="502"/>
        <w:jc w:val="both"/>
      </w:pPr>
      <w:proofErr w:type="spellStart"/>
      <w:r>
        <w:t>közvill</w:t>
      </w:r>
      <w:proofErr w:type="spellEnd"/>
      <w:r>
        <w:t xml:space="preserve">. hálózat üzemelt. </w:t>
      </w:r>
      <w:proofErr w:type="gramStart"/>
      <w:r>
        <w:t>szerződés</w:t>
      </w:r>
      <w:r>
        <w:tab/>
      </w:r>
      <w:r>
        <w:tab/>
      </w:r>
      <w:r>
        <w:tab/>
      </w:r>
      <w:r>
        <w:tab/>
        <w:t xml:space="preserve">   </w:t>
      </w:r>
      <w:r>
        <w:tab/>
        <w:t xml:space="preserve">            1</w:t>
      </w:r>
      <w:proofErr w:type="gramEnd"/>
      <w:r>
        <w:t xml:space="preserve">.130 e Ft  </w:t>
      </w:r>
    </w:p>
    <w:p w14:paraId="55C28C39" w14:textId="77777777" w:rsidR="0013145A" w:rsidRDefault="0013145A" w:rsidP="0013145A">
      <w:pPr>
        <w:pStyle w:val="Listaszerbekezds"/>
        <w:numPr>
          <w:ilvl w:val="0"/>
          <w:numId w:val="17"/>
        </w:numPr>
        <w:ind w:left="502"/>
        <w:jc w:val="both"/>
      </w:pPr>
      <w:r>
        <w:t>hulladéklerakó monitoring</w:t>
      </w:r>
      <w:r>
        <w:tab/>
      </w:r>
      <w:r>
        <w:tab/>
      </w:r>
      <w:r>
        <w:tab/>
      </w:r>
      <w:r>
        <w:tab/>
      </w:r>
      <w:r>
        <w:tab/>
      </w:r>
      <w:r>
        <w:tab/>
      </w:r>
      <w:r>
        <w:tab/>
        <w:t>1.800 e Ft</w:t>
      </w:r>
    </w:p>
    <w:p w14:paraId="238A4FD5" w14:textId="77777777" w:rsidR="0013145A" w:rsidRDefault="0013145A" w:rsidP="0013145A">
      <w:pPr>
        <w:pStyle w:val="Listaszerbekezds"/>
        <w:numPr>
          <w:ilvl w:val="0"/>
          <w:numId w:val="17"/>
        </w:numPr>
        <w:ind w:left="502"/>
        <w:jc w:val="both"/>
      </w:pPr>
      <w:proofErr w:type="spellStart"/>
      <w:r>
        <w:t>főépítészi</w:t>
      </w:r>
      <w:proofErr w:type="spellEnd"/>
      <w:r>
        <w:t xml:space="preserve"> tevékenység</w:t>
      </w:r>
      <w:r>
        <w:tab/>
      </w:r>
      <w:r>
        <w:tab/>
        <w:t>110.000*12</w:t>
      </w:r>
      <w:r>
        <w:tab/>
      </w:r>
      <w:r>
        <w:tab/>
      </w:r>
      <w:r>
        <w:tab/>
      </w:r>
      <w:r>
        <w:tab/>
      </w:r>
      <w:r>
        <w:tab/>
        <w:t>1.320 e Ft</w:t>
      </w:r>
    </w:p>
    <w:p w14:paraId="0C257227" w14:textId="77777777" w:rsidR="0013145A" w:rsidRDefault="0013145A" w:rsidP="0013145A">
      <w:pPr>
        <w:pStyle w:val="Listaszerbekezds"/>
        <w:numPr>
          <w:ilvl w:val="0"/>
          <w:numId w:val="17"/>
        </w:numPr>
        <w:ind w:left="502"/>
        <w:jc w:val="both"/>
      </w:pPr>
      <w:r>
        <w:t>lakossági járda program</w:t>
      </w:r>
      <w:r>
        <w:tab/>
      </w:r>
      <w:r>
        <w:tab/>
      </w:r>
      <w:r>
        <w:tab/>
      </w:r>
      <w:r>
        <w:tab/>
      </w:r>
      <w:r>
        <w:tab/>
      </w:r>
      <w:r>
        <w:tab/>
      </w:r>
      <w:r>
        <w:tab/>
      </w:r>
      <w:r>
        <w:tab/>
        <w:t>1.000 e Ft</w:t>
      </w:r>
    </w:p>
    <w:p w14:paraId="1398F87E" w14:textId="77777777" w:rsidR="0013145A" w:rsidRPr="00386864" w:rsidRDefault="0013145A" w:rsidP="0013145A">
      <w:pPr>
        <w:jc w:val="both"/>
        <w:rPr>
          <w:b/>
        </w:rPr>
      </w:pPr>
      <w:r w:rsidRPr="00386864">
        <w:rPr>
          <w:b/>
        </w:rPr>
        <w:tab/>
      </w:r>
      <w:r w:rsidRPr="00386864">
        <w:rPr>
          <w:b/>
        </w:rPr>
        <w:tab/>
      </w:r>
      <w:r w:rsidRPr="00386864">
        <w:rPr>
          <w:b/>
        </w:rPr>
        <w:tab/>
      </w:r>
      <w:r w:rsidRPr="00386864">
        <w:rPr>
          <w:b/>
        </w:rPr>
        <w:tab/>
      </w:r>
    </w:p>
    <w:p w14:paraId="7BE90463" w14:textId="47AE8F91" w:rsidR="006325C2" w:rsidRPr="00035DFD" w:rsidRDefault="006325C2" w:rsidP="006325C2">
      <w:pPr>
        <w:ind w:left="1416"/>
        <w:jc w:val="both"/>
        <w:rPr>
          <w:rFonts w:ascii="Arial" w:hAnsi="Arial" w:cs="Arial"/>
          <w:b/>
          <w:sz w:val="22"/>
          <w:szCs w:val="22"/>
        </w:rPr>
      </w:pPr>
      <w:r w:rsidRPr="00035DFD">
        <w:rPr>
          <w:rFonts w:ascii="Arial" w:hAnsi="Arial" w:cs="Arial"/>
          <w:b/>
          <w:sz w:val="22"/>
          <w:szCs w:val="22"/>
        </w:rPr>
        <w:t>ÖSSZESEN</w:t>
      </w:r>
      <w:proofErr w:type="gramStart"/>
      <w:r w:rsidRPr="00035DFD">
        <w:rPr>
          <w:rFonts w:ascii="Arial" w:hAnsi="Arial" w:cs="Arial"/>
          <w:b/>
          <w:sz w:val="22"/>
          <w:szCs w:val="22"/>
        </w:rPr>
        <w:t>:</w:t>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r>
      <w:r w:rsidRPr="00035DFD">
        <w:rPr>
          <w:rFonts w:ascii="Arial" w:hAnsi="Arial" w:cs="Arial"/>
          <w:b/>
          <w:sz w:val="22"/>
          <w:szCs w:val="22"/>
        </w:rPr>
        <w:tab/>
        <w:t xml:space="preserve">        12</w:t>
      </w:r>
      <w:proofErr w:type="gramEnd"/>
      <w:r w:rsidRPr="00035DFD">
        <w:rPr>
          <w:rFonts w:ascii="Arial" w:hAnsi="Arial" w:cs="Arial"/>
          <w:b/>
          <w:sz w:val="22"/>
          <w:szCs w:val="22"/>
        </w:rPr>
        <w:t> </w:t>
      </w:r>
      <w:r w:rsidR="00035DFD">
        <w:rPr>
          <w:rFonts w:ascii="Arial" w:hAnsi="Arial" w:cs="Arial"/>
          <w:b/>
          <w:sz w:val="22"/>
          <w:szCs w:val="22"/>
        </w:rPr>
        <w:t>2</w:t>
      </w:r>
      <w:r w:rsidRPr="00035DFD">
        <w:rPr>
          <w:rFonts w:ascii="Arial" w:hAnsi="Arial" w:cs="Arial"/>
          <w:b/>
          <w:sz w:val="22"/>
          <w:szCs w:val="22"/>
        </w:rPr>
        <w:t>50 e Ft</w:t>
      </w:r>
    </w:p>
    <w:p w14:paraId="65BC2FD8" w14:textId="54AC81DC" w:rsidR="006F433B" w:rsidRDefault="000C5EF6" w:rsidP="006325C2">
      <w:pPr>
        <w:spacing w:before="120"/>
        <w:jc w:val="both"/>
        <w:rPr>
          <w:rFonts w:ascii="Arial" w:hAnsi="Arial" w:cs="Arial"/>
          <w:sz w:val="22"/>
          <w:szCs w:val="22"/>
          <w:highlight w:val="yellow"/>
          <w:u w:val="single"/>
        </w:rPr>
      </w:pPr>
      <w:r>
        <w:rPr>
          <w:rFonts w:ascii="Arial" w:hAnsi="Arial" w:cs="Arial"/>
          <w:sz w:val="22"/>
          <w:szCs w:val="22"/>
        </w:rPr>
        <w:t xml:space="preserve">  </w:t>
      </w:r>
    </w:p>
    <w:p w14:paraId="7F845B1D" w14:textId="5CACAC9D" w:rsidR="006325C2" w:rsidRPr="00500E42" w:rsidRDefault="006325C2" w:rsidP="006325C2">
      <w:pPr>
        <w:spacing w:before="120"/>
        <w:jc w:val="both"/>
        <w:rPr>
          <w:rFonts w:ascii="Arial" w:hAnsi="Arial" w:cs="Arial"/>
          <w:sz w:val="22"/>
          <w:szCs w:val="22"/>
          <w:highlight w:val="yellow"/>
        </w:rPr>
      </w:pPr>
      <w:r w:rsidRPr="000056A9">
        <w:rPr>
          <w:rFonts w:ascii="Arial" w:hAnsi="Arial" w:cs="Arial"/>
          <w:b/>
          <w:sz w:val="22"/>
          <w:szCs w:val="22"/>
          <w:u w:val="single"/>
        </w:rPr>
        <w:t>Ellátottak pénzbeli juttatásai</w:t>
      </w:r>
      <w:r w:rsidR="000C5EF6" w:rsidRPr="000056A9">
        <w:rPr>
          <w:rFonts w:ascii="Arial" w:hAnsi="Arial" w:cs="Arial"/>
          <w:b/>
          <w:sz w:val="22"/>
          <w:szCs w:val="22"/>
          <w:u w:val="single"/>
        </w:rPr>
        <w:t xml:space="preserve"> előirányzat összege</w:t>
      </w:r>
      <w:r w:rsidR="000C5EF6" w:rsidRPr="000056A9">
        <w:rPr>
          <w:b/>
        </w:rPr>
        <w:t xml:space="preserve"> </w:t>
      </w:r>
      <w:r w:rsidR="000C5EF6" w:rsidRPr="00500E42">
        <w:rPr>
          <w:rFonts w:ascii="Arial" w:hAnsi="Arial" w:cs="Arial"/>
          <w:sz w:val="22"/>
          <w:szCs w:val="22"/>
        </w:rPr>
        <w:t xml:space="preserve">17 960 000 </w:t>
      </w:r>
      <w:r w:rsidR="00500E42" w:rsidRPr="00500E42">
        <w:rPr>
          <w:rFonts w:ascii="Arial" w:hAnsi="Arial" w:cs="Arial"/>
          <w:sz w:val="22"/>
          <w:szCs w:val="22"/>
        </w:rPr>
        <w:t>Ft az előző évi 12 399</w:t>
      </w:r>
      <w:r w:rsidR="00500E42">
        <w:rPr>
          <w:rFonts w:ascii="Arial" w:hAnsi="Arial" w:cs="Arial"/>
          <w:sz w:val="22"/>
          <w:szCs w:val="22"/>
        </w:rPr>
        <w:t> </w:t>
      </w:r>
      <w:r w:rsidR="00500E42" w:rsidRPr="00500E42">
        <w:rPr>
          <w:rFonts w:ascii="Arial" w:hAnsi="Arial" w:cs="Arial"/>
          <w:sz w:val="22"/>
          <w:szCs w:val="22"/>
        </w:rPr>
        <w:t>243</w:t>
      </w:r>
      <w:r w:rsidR="00500E42">
        <w:rPr>
          <w:rFonts w:ascii="Arial" w:hAnsi="Arial" w:cs="Arial"/>
          <w:sz w:val="22"/>
          <w:szCs w:val="22"/>
        </w:rPr>
        <w:t xml:space="preserve"> Ft-tal szemben.</w:t>
      </w:r>
    </w:p>
    <w:p w14:paraId="13A86C16" w14:textId="106504B8" w:rsidR="006325C2" w:rsidRPr="00500E42" w:rsidRDefault="006325C2" w:rsidP="006325C2">
      <w:pPr>
        <w:spacing w:before="120"/>
        <w:jc w:val="both"/>
        <w:rPr>
          <w:rFonts w:ascii="Arial" w:hAnsi="Arial" w:cs="Arial"/>
          <w:sz w:val="22"/>
          <w:szCs w:val="22"/>
        </w:rPr>
      </w:pPr>
      <w:r w:rsidRPr="00500E42">
        <w:rPr>
          <w:rFonts w:ascii="Arial" w:hAnsi="Arial" w:cs="Arial"/>
          <w:sz w:val="22"/>
          <w:szCs w:val="22"/>
        </w:rPr>
        <w:t xml:space="preserve">Részletesen a 18. melléklet </w:t>
      </w:r>
      <w:r w:rsidR="00500E42">
        <w:rPr>
          <w:rFonts w:ascii="Arial" w:hAnsi="Arial" w:cs="Arial"/>
          <w:sz w:val="22"/>
          <w:szCs w:val="22"/>
        </w:rPr>
        <w:t>tartalmazza az egyes juttatások jogcímeit.</w:t>
      </w:r>
    </w:p>
    <w:p w14:paraId="53DA7FF1" w14:textId="45BCFA9F" w:rsidR="006325C2" w:rsidRPr="00500E42" w:rsidRDefault="00500E42" w:rsidP="006325C2">
      <w:pPr>
        <w:spacing w:before="120"/>
        <w:jc w:val="both"/>
        <w:rPr>
          <w:rFonts w:ascii="Arial" w:hAnsi="Arial" w:cs="Arial"/>
          <w:sz w:val="22"/>
          <w:szCs w:val="22"/>
          <w:u w:val="single"/>
        </w:rPr>
      </w:pPr>
      <w:r w:rsidRPr="00500E42">
        <w:rPr>
          <w:rFonts w:ascii="Arial" w:hAnsi="Arial" w:cs="Arial"/>
          <w:sz w:val="22"/>
          <w:szCs w:val="22"/>
          <w:u w:val="single"/>
        </w:rPr>
        <w:t xml:space="preserve">Az egyéb működési célú kiadások előirányzata </w:t>
      </w:r>
      <w:r w:rsidR="00460649">
        <w:rPr>
          <w:rFonts w:ascii="Arial" w:hAnsi="Arial" w:cs="Arial"/>
          <w:sz w:val="22"/>
          <w:szCs w:val="22"/>
          <w:u w:val="single"/>
        </w:rPr>
        <w:t>895 844</w:t>
      </w:r>
      <w:r>
        <w:rPr>
          <w:rFonts w:ascii="Arial" w:hAnsi="Arial" w:cs="Arial"/>
          <w:sz w:val="22"/>
          <w:szCs w:val="22"/>
          <w:u w:val="single"/>
        </w:rPr>
        <w:t> </w:t>
      </w:r>
      <w:r w:rsidRPr="00500E42">
        <w:rPr>
          <w:rFonts w:ascii="Arial" w:hAnsi="Arial" w:cs="Arial"/>
          <w:sz w:val="22"/>
          <w:szCs w:val="22"/>
          <w:u w:val="single"/>
        </w:rPr>
        <w:t>286</w:t>
      </w:r>
      <w:r>
        <w:rPr>
          <w:rFonts w:ascii="Arial" w:hAnsi="Arial" w:cs="Arial"/>
          <w:sz w:val="22"/>
          <w:szCs w:val="22"/>
          <w:u w:val="single"/>
        </w:rPr>
        <w:t xml:space="preserve"> Ft</w:t>
      </w:r>
      <w:r w:rsidRPr="00500E42">
        <w:rPr>
          <w:rFonts w:ascii="Arial" w:hAnsi="Arial" w:cs="Arial"/>
          <w:sz w:val="22"/>
          <w:szCs w:val="22"/>
          <w:u w:val="single"/>
        </w:rPr>
        <w:t xml:space="preserve">. </w:t>
      </w:r>
      <w:r w:rsidR="006325C2" w:rsidRPr="00500E42">
        <w:rPr>
          <w:rFonts w:ascii="Arial" w:hAnsi="Arial" w:cs="Arial"/>
          <w:sz w:val="22"/>
          <w:szCs w:val="22"/>
        </w:rPr>
        <w:t xml:space="preserve">Itt kellett betervezni azt a </w:t>
      </w:r>
      <w:r w:rsidR="00035DFD" w:rsidRPr="00500E42">
        <w:rPr>
          <w:rFonts w:ascii="Arial" w:hAnsi="Arial" w:cs="Arial"/>
          <w:sz w:val="22"/>
          <w:szCs w:val="22"/>
        </w:rPr>
        <w:t xml:space="preserve">23 951 645 </w:t>
      </w:r>
      <w:r w:rsidR="006325C2" w:rsidRPr="00500E42">
        <w:rPr>
          <w:rFonts w:ascii="Arial" w:hAnsi="Arial" w:cs="Arial"/>
          <w:sz w:val="22"/>
          <w:szCs w:val="22"/>
        </w:rPr>
        <w:t xml:space="preserve">Ft </w:t>
      </w:r>
      <w:r w:rsidRPr="00500E42">
        <w:rPr>
          <w:rFonts w:ascii="Arial" w:hAnsi="Arial" w:cs="Arial"/>
          <w:sz w:val="22"/>
          <w:szCs w:val="22"/>
        </w:rPr>
        <w:t>összegű</w:t>
      </w:r>
      <w:r w:rsidR="006325C2" w:rsidRPr="00500E42">
        <w:rPr>
          <w:rFonts w:ascii="Arial" w:hAnsi="Arial" w:cs="Arial"/>
          <w:sz w:val="22"/>
          <w:szCs w:val="22"/>
        </w:rPr>
        <w:t xml:space="preserve">szolidaritási hozzájárulást, melyet az állami támogatásoknál már csökkentő tételként említettünk. </w:t>
      </w:r>
    </w:p>
    <w:p w14:paraId="006B269B" w14:textId="79069467" w:rsidR="006325C2" w:rsidRPr="00035DFD" w:rsidRDefault="00500E42" w:rsidP="006325C2">
      <w:pPr>
        <w:spacing w:before="120"/>
        <w:jc w:val="both"/>
        <w:rPr>
          <w:rFonts w:ascii="Arial" w:hAnsi="Arial" w:cs="Arial"/>
          <w:sz w:val="22"/>
          <w:szCs w:val="22"/>
        </w:rPr>
      </w:pPr>
      <w:r>
        <w:rPr>
          <w:rFonts w:ascii="Arial" w:hAnsi="Arial" w:cs="Arial"/>
          <w:sz w:val="22"/>
          <w:szCs w:val="22"/>
        </w:rPr>
        <w:t>Ezen kívül</w:t>
      </w:r>
      <w:r w:rsidR="006325C2" w:rsidRPr="00035DFD">
        <w:rPr>
          <w:rFonts w:ascii="Arial" w:hAnsi="Arial" w:cs="Arial"/>
          <w:sz w:val="22"/>
          <w:szCs w:val="22"/>
        </w:rPr>
        <w:t xml:space="preserve"> itt jelennek meg az </w:t>
      </w:r>
      <w:r w:rsidR="006325C2" w:rsidRPr="00035DFD">
        <w:rPr>
          <w:rFonts w:ascii="Arial" w:hAnsi="Arial" w:cs="Arial"/>
          <w:sz w:val="22"/>
          <w:szCs w:val="22"/>
          <w:u w:val="single"/>
        </w:rPr>
        <w:t>egyéb működési célú ÁH-</w:t>
      </w:r>
      <w:proofErr w:type="spellStart"/>
      <w:r w:rsidR="006325C2" w:rsidRPr="00035DFD">
        <w:rPr>
          <w:rFonts w:ascii="Arial" w:hAnsi="Arial" w:cs="Arial"/>
          <w:sz w:val="22"/>
          <w:szCs w:val="22"/>
          <w:u w:val="single"/>
        </w:rPr>
        <w:t>on</w:t>
      </w:r>
      <w:proofErr w:type="spellEnd"/>
      <w:r w:rsidR="006325C2" w:rsidRPr="00035DFD">
        <w:rPr>
          <w:rFonts w:ascii="Arial" w:hAnsi="Arial" w:cs="Arial"/>
          <w:sz w:val="22"/>
          <w:szCs w:val="22"/>
          <w:u w:val="single"/>
        </w:rPr>
        <w:t xml:space="preserve"> belülre</w:t>
      </w:r>
      <w:r w:rsidR="006325C2" w:rsidRPr="00035DFD">
        <w:rPr>
          <w:rFonts w:ascii="Arial" w:hAnsi="Arial" w:cs="Arial"/>
          <w:sz w:val="22"/>
          <w:szCs w:val="22"/>
        </w:rPr>
        <w:t xml:space="preserve"> átadott összegek </w:t>
      </w:r>
      <w:r w:rsidR="00035DFD" w:rsidRPr="00035DFD">
        <w:rPr>
          <w:rFonts w:ascii="Arial" w:hAnsi="Arial" w:cs="Arial"/>
          <w:sz w:val="22"/>
          <w:szCs w:val="22"/>
        </w:rPr>
        <w:t>597 023 168</w:t>
      </w:r>
      <w:r w:rsidR="006325C2" w:rsidRPr="00035DFD">
        <w:rPr>
          <w:rFonts w:ascii="Arial" w:hAnsi="Arial" w:cs="Arial"/>
          <w:sz w:val="22"/>
          <w:szCs w:val="22"/>
        </w:rPr>
        <w:t xml:space="preserve"> Ft összegben. A </w:t>
      </w:r>
      <w:r w:rsidR="006325C2" w:rsidRPr="00035DFD">
        <w:rPr>
          <w:rFonts w:ascii="Arial" w:hAnsi="Arial" w:cs="Arial"/>
          <w:i/>
          <w:sz w:val="22"/>
          <w:szCs w:val="22"/>
        </w:rPr>
        <w:t xml:space="preserve">12. sz. melléklet </w:t>
      </w:r>
      <w:r w:rsidR="006325C2" w:rsidRPr="00035DFD">
        <w:rPr>
          <w:rFonts w:ascii="Arial" w:hAnsi="Arial" w:cs="Arial"/>
          <w:sz w:val="22"/>
          <w:szCs w:val="22"/>
        </w:rPr>
        <w:t xml:space="preserve">részletesen bemutatja ezeket az összegeket, melyek a két társulás – az ESZGY és a MOB részére átadásra kerülnek szociális és nevelési, étkezési, bölcsődei feladatok </w:t>
      </w:r>
      <w:proofErr w:type="gramStart"/>
      <w:r w:rsidR="006325C2" w:rsidRPr="00035DFD">
        <w:rPr>
          <w:rFonts w:ascii="Arial" w:hAnsi="Arial" w:cs="Arial"/>
          <w:sz w:val="22"/>
          <w:szCs w:val="22"/>
        </w:rPr>
        <w:t>finanszírozására</w:t>
      </w:r>
      <w:proofErr w:type="gramEnd"/>
      <w:r w:rsidR="006325C2" w:rsidRPr="00035DFD">
        <w:rPr>
          <w:rFonts w:ascii="Arial" w:hAnsi="Arial" w:cs="Arial"/>
          <w:sz w:val="22"/>
          <w:szCs w:val="22"/>
        </w:rPr>
        <w:t xml:space="preserve">. </w:t>
      </w:r>
    </w:p>
    <w:p w14:paraId="17D98592" w14:textId="6B00F493" w:rsidR="006325C2" w:rsidRPr="00F8190F" w:rsidRDefault="006325C2" w:rsidP="006325C2">
      <w:pPr>
        <w:spacing w:before="120"/>
        <w:jc w:val="both"/>
        <w:rPr>
          <w:rFonts w:ascii="Arial" w:hAnsi="Arial" w:cs="Arial"/>
          <w:sz w:val="22"/>
          <w:szCs w:val="22"/>
        </w:rPr>
      </w:pPr>
      <w:r w:rsidRPr="00035DFD">
        <w:rPr>
          <w:rFonts w:ascii="Arial" w:hAnsi="Arial" w:cs="Arial"/>
          <w:sz w:val="22"/>
          <w:szCs w:val="22"/>
        </w:rPr>
        <w:t xml:space="preserve">Szintén a 12. sz. mellékletben részletesen kimutattuk az </w:t>
      </w:r>
      <w:r w:rsidRPr="00035DFD">
        <w:rPr>
          <w:rFonts w:ascii="Arial" w:hAnsi="Arial" w:cs="Arial"/>
          <w:sz w:val="22"/>
          <w:szCs w:val="22"/>
          <w:u w:val="single"/>
        </w:rPr>
        <w:t>Egyéb működési célú kiadásokat államháztartáson kívülre</w:t>
      </w:r>
      <w:r w:rsidRPr="00035DFD">
        <w:rPr>
          <w:rFonts w:ascii="Arial" w:hAnsi="Arial" w:cs="Arial"/>
          <w:sz w:val="22"/>
          <w:szCs w:val="22"/>
        </w:rPr>
        <w:t xml:space="preserve">. Az itt megjelenő </w:t>
      </w:r>
      <w:r w:rsidR="00354E5A">
        <w:rPr>
          <w:rFonts w:ascii="Arial" w:hAnsi="Arial" w:cs="Arial"/>
          <w:sz w:val="22"/>
          <w:szCs w:val="22"/>
        </w:rPr>
        <w:t>23</w:t>
      </w:r>
      <w:r w:rsidR="00F8190F" w:rsidRPr="00F8190F">
        <w:rPr>
          <w:rFonts w:ascii="Arial" w:hAnsi="Arial" w:cs="Arial"/>
          <w:sz w:val="22"/>
          <w:szCs w:val="22"/>
        </w:rPr>
        <w:t>7</w:t>
      </w:r>
      <w:r w:rsidR="00354E5A">
        <w:rPr>
          <w:rFonts w:ascii="Arial" w:hAnsi="Arial" w:cs="Arial"/>
          <w:sz w:val="22"/>
          <w:szCs w:val="22"/>
        </w:rPr>
        <w:t xml:space="preserve"> 644 000 </w:t>
      </w:r>
      <w:r w:rsidR="00500E42" w:rsidRPr="00F8190F">
        <w:rPr>
          <w:rFonts w:ascii="Arial" w:hAnsi="Arial" w:cs="Arial"/>
          <w:sz w:val="22"/>
          <w:szCs w:val="22"/>
        </w:rPr>
        <w:t xml:space="preserve">Ft </w:t>
      </w:r>
      <w:r w:rsidR="00354E5A">
        <w:rPr>
          <w:rFonts w:ascii="Arial" w:hAnsi="Arial" w:cs="Arial"/>
          <w:sz w:val="22"/>
          <w:szCs w:val="22"/>
        </w:rPr>
        <w:t xml:space="preserve">előirányzat szolgál 17 038 000 Ft összegben a </w:t>
      </w:r>
      <w:r w:rsidR="00F8190F" w:rsidRPr="00F8190F">
        <w:rPr>
          <w:rFonts w:ascii="Arial" w:hAnsi="Arial" w:cs="Arial"/>
          <w:sz w:val="22"/>
          <w:szCs w:val="22"/>
        </w:rPr>
        <w:t>kiemelt szervezetek támogatására, valamint az ö</w:t>
      </w:r>
      <w:r w:rsidRPr="00F8190F">
        <w:rPr>
          <w:rFonts w:ascii="Arial" w:hAnsi="Arial" w:cs="Arial"/>
          <w:sz w:val="22"/>
          <w:szCs w:val="22"/>
        </w:rPr>
        <w:t xml:space="preserve">nkormányzat által alapított kft-k </w:t>
      </w:r>
      <w:r w:rsidR="00354E5A">
        <w:rPr>
          <w:rFonts w:ascii="Arial" w:hAnsi="Arial" w:cs="Arial"/>
          <w:sz w:val="22"/>
          <w:szCs w:val="22"/>
        </w:rPr>
        <w:t xml:space="preserve">útján </w:t>
      </w:r>
      <w:r w:rsidR="00F8190F" w:rsidRPr="00F8190F">
        <w:rPr>
          <w:rFonts w:ascii="Arial" w:hAnsi="Arial" w:cs="Arial"/>
          <w:sz w:val="22"/>
          <w:szCs w:val="22"/>
        </w:rPr>
        <w:t xml:space="preserve">ellátott </w:t>
      </w:r>
      <w:r w:rsidRPr="00F8190F">
        <w:rPr>
          <w:rFonts w:ascii="Arial" w:hAnsi="Arial" w:cs="Arial"/>
          <w:sz w:val="22"/>
          <w:szCs w:val="22"/>
        </w:rPr>
        <w:t>önkormányzati üzemeltetési feladatokra</w:t>
      </w:r>
      <w:r w:rsidR="00F8190F" w:rsidRPr="00F8190F">
        <w:rPr>
          <w:rFonts w:ascii="Arial" w:hAnsi="Arial" w:cs="Arial"/>
          <w:sz w:val="22"/>
          <w:szCs w:val="22"/>
        </w:rPr>
        <w:t xml:space="preserve">. </w:t>
      </w:r>
      <w:r w:rsidRPr="00F8190F">
        <w:rPr>
          <w:rFonts w:ascii="Arial" w:hAnsi="Arial" w:cs="Arial"/>
          <w:sz w:val="22"/>
          <w:szCs w:val="22"/>
        </w:rPr>
        <w:t xml:space="preserve">A BÁT-KOM 2004 Kft. részére így </w:t>
      </w:r>
      <w:r w:rsidR="00035DFD" w:rsidRPr="00F8190F">
        <w:rPr>
          <w:rFonts w:ascii="Arial" w:hAnsi="Arial" w:cs="Arial"/>
          <w:sz w:val="22"/>
          <w:szCs w:val="22"/>
        </w:rPr>
        <w:t>164 295 000</w:t>
      </w:r>
      <w:r w:rsidRPr="00F8190F">
        <w:rPr>
          <w:rFonts w:ascii="Arial" w:hAnsi="Arial" w:cs="Arial"/>
          <w:sz w:val="22"/>
          <w:szCs w:val="22"/>
        </w:rPr>
        <w:t xml:space="preserve"> Ft kerül átadásra közfeladatellátásra. A Bátaszékért Marketing Kft.</w:t>
      </w:r>
      <w:r w:rsidRPr="00035DFD">
        <w:rPr>
          <w:rFonts w:ascii="Arial" w:hAnsi="Arial" w:cs="Arial"/>
          <w:sz w:val="22"/>
          <w:szCs w:val="22"/>
        </w:rPr>
        <w:t xml:space="preserve"> </w:t>
      </w:r>
      <w:r w:rsidR="00354E5A">
        <w:rPr>
          <w:rFonts w:ascii="Arial" w:hAnsi="Arial" w:cs="Arial"/>
          <w:sz w:val="22"/>
          <w:szCs w:val="22"/>
        </w:rPr>
        <w:t>47 751</w:t>
      </w:r>
      <w:r w:rsidR="00035DFD">
        <w:rPr>
          <w:rFonts w:ascii="Arial" w:hAnsi="Arial" w:cs="Arial"/>
          <w:sz w:val="22"/>
          <w:szCs w:val="22"/>
        </w:rPr>
        <w:t xml:space="preserve"> 000</w:t>
      </w:r>
      <w:r w:rsidRPr="00035DFD">
        <w:rPr>
          <w:rFonts w:ascii="Arial" w:hAnsi="Arial" w:cs="Arial"/>
          <w:sz w:val="22"/>
          <w:szCs w:val="22"/>
        </w:rPr>
        <w:t xml:space="preserve"> Ft közfeladatellátási támogatásban </w:t>
      </w:r>
      <w:r w:rsidR="00003A0C">
        <w:rPr>
          <w:rFonts w:ascii="Arial" w:hAnsi="Arial" w:cs="Arial"/>
          <w:sz w:val="22"/>
          <w:szCs w:val="22"/>
        </w:rPr>
        <w:t>részesül, további</w:t>
      </w:r>
      <w:r w:rsidR="00354E5A">
        <w:rPr>
          <w:rFonts w:ascii="Arial" w:hAnsi="Arial" w:cs="Arial"/>
          <w:sz w:val="22"/>
          <w:szCs w:val="22"/>
        </w:rPr>
        <w:t xml:space="preserve"> 1 700 000 </w:t>
      </w:r>
      <w:r w:rsidRPr="00F8190F">
        <w:rPr>
          <w:rFonts w:ascii="Arial" w:hAnsi="Arial" w:cs="Arial"/>
          <w:sz w:val="22"/>
          <w:szCs w:val="22"/>
        </w:rPr>
        <w:t>Ft</w:t>
      </w:r>
      <w:r w:rsidR="00003A0C">
        <w:rPr>
          <w:rFonts w:ascii="Arial" w:hAnsi="Arial" w:cs="Arial"/>
          <w:sz w:val="22"/>
          <w:szCs w:val="22"/>
        </w:rPr>
        <w:t>-ot</w:t>
      </w:r>
      <w:r w:rsidRPr="00F8190F">
        <w:rPr>
          <w:rFonts w:ascii="Arial" w:hAnsi="Arial" w:cs="Arial"/>
          <w:sz w:val="22"/>
          <w:szCs w:val="22"/>
        </w:rPr>
        <w:t xml:space="preserve"> </w:t>
      </w:r>
      <w:r w:rsidR="00354E5A">
        <w:rPr>
          <w:rFonts w:ascii="Arial" w:hAnsi="Arial" w:cs="Arial"/>
          <w:sz w:val="22"/>
          <w:szCs w:val="22"/>
        </w:rPr>
        <w:t xml:space="preserve">vállalkozási szerződés </w:t>
      </w:r>
      <w:r w:rsidR="00003A0C">
        <w:rPr>
          <w:rFonts w:ascii="Arial" w:hAnsi="Arial" w:cs="Arial"/>
          <w:sz w:val="22"/>
          <w:szCs w:val="22"/>
        </w:rPr>
        <w:t>keretében biztosítunk a kulturális feladatok ellátására.</w:t>
      </w:r>
    </w:p>
    <w:p w14:paraId="0EE5FC1C" w14:textId="7D52590F" w:rsidR="006325C2" w:rsidRPr="003547A4" w:rsidRDefault="006325C2" w:rsidP="006325C2">
      <w:pPr>
        <w:spacing w:before="120"/>
        <w:jc w:val="both"/>
        <w:rPr>
          <w:rFonts w:ascii="Arial" w:hAnsi="Arial" w:cs="Arial"/>
          <w:sz w:val="22"/>
          <w:szCs w:val="22"/>
        </w:rPr>
      </w:pPr>
      <w:r w:rsidRPr="003547A4">
        <w:rPr>
          <w:rFonts w:ascii="Arial" w:hAnsi="Arial" w:cs="Arial"/>
          <w:sz w:val="22"/>
          <w:szCs w:val="22"/>
          <w:u w:val="single"/>
        </w:rPr>
        <w:t xml:space="preserve"> Tartalékok</w:t>
      </w:r>
      <w:r w:rsidR="003547A4">
        <w:rPr>
          <w:rFonts w:ascii="Arial" w:hAnsi="Arial" w:cs="Arial"/>
          <w:sz w:val="22"/>
          <w:szCs w:val="22"/>
        </w:rPr>
        <w:t xml:space="preserve"> tervezésénél </w:t>
      </w:r>
      <w:r w:rsidRPr="003547A4">
        <w:rPr>
          <w:rFonts w:ascii="Arial" w:hAnsi="Arial" w:cs="Arial"/>
          <w:sz w:val="22"/>
          <w:szCs w:val="22"/>
        </w:rPr>
        <w:t>a céltartalékok közé kerültek be azok a fe</w:t>
      </w:r>
      <w:r w:rsidR="003547A4">
        <w:rPr>
          <w:rFonts w:ascii="Arial" w:hAnsi="Arial" w:cs="Arial"/>
          <w:sz w:val="22"/>
          <w:szCs w:val="22"/>
        </w:rPr>
        <w:t>jlesztési és működési célok</w:t>
      </w:r>
      <w:r w:rsidRPr="003547A4">
        <w:rPr>
          <w:rFonts w:ascii="Arial" w:hAnsi="Arial" w:cs="Arial"/>
          <w:sz w:val="22"/>
          <w:szCs w:val="22"/>
        </w:rPr>
        <w:t>, melyek határozatokhoz, kifizetési</w:t>
      </w:r>
      <w:r w:rsidR="003547A4">
        <w:rPr>
          <w:rFonts w:ascii="Arial" w:hAnsi="Arial" w:cs="Arial"/>
          <w:sz w:val="22"/>
          <w:szCs w:val="22"/>
        </w:rPr>
        <w:t xml:space="preserve"> kötelezettségekhez kapcsolódnak. </w:t>
      </w:r>
      <w:r w:rsidRPr="003547A4">
        <w:rPr>
          <w:rFonts w:ascii="Arial" w:hAnsi="Arial" w:cs="Arial"/>
          <w:sz w:val="22"/>
          <w:szCs w:val="22"/>
        </w:rPr>
        <w:t xml:space="preserve"> </w:t>
      </w:r>
      <w:r w:rsidR="003547A4">
        <w:rPr>
          <w:rFonts w:ascii="Arial" w:hAnsi="Arial" w:cs="Arial"/>
          <w:sz w:val="22"/>
          <w:szCs w:val="22"/>
        </w:rPr>
        <w:t>(</w:t>
      </w:r>
      <w:r w:rsidRPr="003547A4">
        <w:rPr>
          <w:rFonts w:ascii="Arial" w:hAnsi="Arial" w:cs="Arial"/>
          <w:sz w:val="22"/>
          <w:szCs w:val="22"/>
        </w:rPr>
        <w:t>A táblázato</w:t>
      </w:r>
      <w:r w:rsidR="00F63C5D">
        <w:rPr>
          <w:rFonts w:ascii="Arial" w:hAnsi="Arial" w:cs="Arial"/>
          <w:sz w:val="22"/>
          <w:szCs w:val="22"/>
        </w:rPr>
        <w:t xml:space="preserve">t becsatoltuk, az illetve a </w:t>
      </w:r>
      <w:r w:rsidRPr="003547A4">
        <w:rPr>
          <w:rFonts w:ascii="Arial" w:hAnsi="Arial" w:cs="Arial"/>
          <w:sz w:val="22"/>
          <w:szCs w:val="22"/>
        </w:rPr>
        <w:t>1</w:t>
      </w:r>
      <w:r w:rsidR="00035DFD" w:rsidRPr="003547A4">
        <w:rPr>
          <w:rFonts w:ascii="Arial" w:hAnsi="Arial" w:cs="Arial"/>
          <w:sz w:val="22"/>
          <w:szCs w:val="22"/>
        </w:rPr>
        <w:t xml:space="preserve">9. </w:t>
      </w:r>
      <w:r w:rsidR="00F63C5D">
        <w:rPr>
          <w:rFonts w:ascii="Arial" w:hAnsi="Arial" w:cs="Arial"/>
          <w:sz w:val="22"/>
          <w:szCs w:val="22"/>
        </w:rPr>
        <w:t>sz.melléklet szemlélteti.</w:t>
      </w:r>
      <w:r w:rsidR="003547A4">
        <w:rPr>
          <w:rFonts w:ascii="Arial" w:hAnsi="Arial" w:cs="Arial"/>
          <w:sz w:val="22"/>
          <w:szCs w:val="22"/>
        </w:rPr>
        <w:t>)</w:t>
      </w:r>
    </w:p>
    <w:p w14:paraId="280573A3" w14:textId="02A7CAE5" w:rsidR="006325C2" w:rsidRPr="00AE7B18" w:rsidRDefault="006325C2" w:rsidP="006325C2">
      <w:pPr>
        <w:spacing w:before="120"/>
        <w:jc w:val="both"/>
        <w:rPr>
          <w:rFonts w:ascii="Arial" w:hAnsi="Arial" w:cs="Arial"/>
          <w:sz w:val="22"/>
          <w:szCs w:val="22"/>
          <w:highlight w:val="yellow"/>
        </w:rPr>
      </w:pPr>
    </w:p>
    <w:tbl>
      <w:tblPr>
        <w:tblW w:w="9072" w:type="dxa"/>
        <w:jc w:val="center"/>
        <w:tblCellMar>
          <w:left w:w="70" w:type="dxa"/>
          <w:right w:w="70" w:type="dxa"/>
        </w:tblCellMar>
        <w:tblLook w:val="04A0" w:firstRow="1" w:lastRow="0" w:firstColumn="1" w:lastColumn="0" w:noHBand="0" w:noVBand="1"/>
      </w:tblPr>
      <w:tblGrid>
        <w:gridCol w:w="1150"/>
        <w:gridCol w:w="3489"/>
        <w:gridCol w:w="1298"/>
        <w:gridCol w:w="226"/>
        <w:gridCol w:w="485"/>
        <w:gridCol w:w="1757"/>
        <w:gridCol w:w="667"/>
      </w:tblGrid>
      <w:tr w:rsidR="006325C2" w:rsidRPr="00AE7B18" w14:paraId="046935A7" w14:textId="77777777" w:rsidTr="00CD43C4">
        <w:trPr>
          <w:trHeight w:val="270"/>
          <w:jc w:val="center"/>
        </w:trPr>
        <w:tc>
          <w:tcPr>
            <w:tcW w:w="5973" w:type="dxa"/>
            <w:gridSpan w:val="4"/>
            <w:noWrap/>
            <w:vAlign w:val="bottom"/>
          </w:tcPr>
          <w:p w14:paraId="279BB4FC" w14:textId="77777777" w:rsidR="006325C2" w:rsidRDefault="006325C2">
            <w:pPr>
              <w:rPr>
                <w:rFonts w:ascii="Arial" w:hAnsi="Arial" w:cs="Arial"/>
                <w:sz w:val="22"/>
                <w:szCs w:val="22"/>
                <w:highlight w:val="yellow"/>
              </w:rPr>
            </w:pPr>
          </w:p>
          <w:tbl>
            <w:tblPr>
              <w:tblW w:w="6376" w:type="dxa"/>
              <w:tblCellMar>
                <w:left w:w="70" w:type="dxa"/>
                <w:right w:w="70" w:type="dxa"/>
              </w:tblCellMar>
              <w:tblLook w:val="04A0" w:firstRow="1" w:lastRow="0" w:firstColumn="1" w:lastColumn="0" w:noHBand="0" w:noVBand="1"/>
            </w:tblPr>
            <w:tblGrid>
              <w:gridCol w:w="787"/>
              <w:gridCol w:w="1189"/>
              <w:gridCol w:w="2884"/>
              <w:gridCol w:w="1143"/>
            </w:tblGrid>
            <w:tr w:rsidR="00CD43C4" w14:paraId="1223A3CD" w14:textId="77777777" w:rsidTr="00CD43C4">
              <w:trPr>
                <w:trHeight w:val="420"/>
              </w:trPr>
              <w:tc>
                <w:tcPr>
                  <w:tcW w:w="811" w:type="dxa"/>
                  <w:tcBorders>
                    <w:top w:val="single" w:sz="8" w:space="0" w:color="auto"/>
                    <w:left w:val="single" w:sz="8" w:space="0" w:color="auto"/>
                    <w:bottom w:val="single" w:sz="4" w:space="0" w:color="auto"/>
                    <w:right w:val="single" w:sz="4" w:space="0" w:color="auto"/>
                  </w:tcBorders>
                  <w:shd w:val="clear" w:color="000000" w:fill="C5D9F1"/>
                  <w:vAlign w:val="center"/>
                  <w:hideMark/>
                </w:tcPr>
                <w:p w14:paraId="7D6C7FB7" w14:textId="77777777" w:rsidR="00CD43C4" w:rsidRDefault="00CD43C4" w:rsidP="00CD43C4">
                  <w:pPr>
                    <w:jc w:val="center"/>
                    <w:rPr>
                      <w:b/>
                      <w:bCs/>
                      <w:sz w:val="16"/>
                      <w:szCs w:val="16"/>
                      <w:lang w:eastAsia="hu-HU"/>
                    </w:rPr>
                  </w:pPr>
                  <w:r>
                    <w:rPr>
                      <w:b/>
                      <w:bCs/>
                      <w:sz w:val="16"/>
                      <w:szCs w:val="16"/>
                    </w:rPr>
                    <w:t>Határozat száma</w:t>
                  </w:r>
                </w:p>
              </w:tc>
              <w:tc>
                <w:tcPr>
                  <w:tcW w:w="1265" w:type="dxa"/>
                  <w:tcBorders>
                    <w:top w:val="single" w:sz="8" w:space="0" w:color="auto"/>
                    <w:left w:val="nil"/>
                    <w:bottom w:val="single" w:sz="4" w:space="0" w:color="auto"/>
                    <w:right w:val="single" w:sz="4" w:space="0" w:color="auto"/>
                  </w:tcBorders>
                  <w:shd w:val="clear" w:color="000000" w:fill="C5D9F1"/>
                  <w:noWrap/>
                  <w:vAlign w:val="center"/>
                  <w:hideMark/>
                </w:tcPr>
                <w:p w14:paraId="466C8CB0" w14:textId="77777777" w:rsidR="00CD43C4" w:rsidRDefault="00CD43C4" w:rsidP="00CD43C4">
                  <w:pPr>
                    <w:jc w:val="center"/>
                    <w:rPr>
                      <w:b/>
                      <w:bCs/>
                      <w:sz w:val="16"/>
                      <w:szCs w:val="16"/>
                    </w:rPr>
                  </w:pPr>
                  <w:r>
                    <w:rPr>
                      <w:b/>
                      <w:bCs/>
                      <w:sz w:val="16"/>
                      <w:szCs w:val="16"/>
                    </w:rPr>
                    <w:t>Cél</w:t>
                  </w:r>
                </w:p>
              </w:tc>
              <w:tc>
                <w:tcPr>
                  <w:tcW w:w="3084" w:type="dxa"/>
                  <w:tcBorders>
                    <w:top w:val="single" w:sz="8" w:space="0" w:color="auto"/>
                    <w:left w:val="nil"/>
                    <w:bottom w:val="single" w:sz="4" w:space="0" w:color="auto"/>
                    <w:right w:val="single" w:sz="4" w:space="0" w:color="auto"/>
                  </w:tcBorders>
                  <w:shd w:val="clear" w:color="000000" w:fill="C5D9F1"/>
                  <w:noWrap/>
                  <w:vAlign w:val="center"/>
                  <w:hideMark/>
                </w:tcPr>
                <w:p w14:paraId="4D5E037E" w14:textId="77777777" w:rsidR="00CD43C4" w:rsidRDefault="00CD43C4" w:rsidP="00CD43C4">
                  <w:pPr>
                    <w:jc w:val="center"/>
                    <w:rPr>
                      <w:b/>
                      <w:bCs/>
                      <w:sz w:val="16"/>
                      <w:szCs w:val="16"/>
                    </w:rPr>
                  </w:pPr>
                  <w:r>
                    <w:rPr>
                      <w:b/>
                      <w:bCs/>
                      <w:sz w:val="16"/>
                      <w:szCs w:val="16"/>
                    </w:rPr>
                    <w:t>Céltartalék</w:t>
                  </w:r>
                </w:p>
              </w:tc>
              <w:tc>
                <w:tcPr>
                  <w:tcW w:w="1216" w:type="dxa"/>
                  <w:tcBorders>
                    <w:top w:val="single" w:sz="8" w:space="0" w:color="auto"/>
                    <w:left w:val="nil"/>
                    <w:bottom w:val="single" w:sz="4" w:space="0" w:color="auto"/>
                    <w:right w:val="single" w:sz="8" w:space="0" w:color="auto"/>
                  </w:tcBorders>
                  <w:shd w:val="clear" w:color="000000" w:fill="B8CCE4"/>
                  <w:noWrap/>
                  <w:vAlign w:val="center"/>
                  <w:hideMark/>
                </w:tcPr>
                <w:p w14:paraId="2AB8E486" w14:textId="77777777" w:rsidR="00CD43C4" w:rsidRDefault="00CD43C4" w:rsidP="00CD43C4">
                  <w:pPr>
                    <w:jc w:val="center"/>
                    <w:rPr>
                      <w:b/>
                      <w:bCs/>
                      <w:sz w:val="16"/>
                      <w:szCs w:val="16"/>
                    </w:rPr>
                  </w:pPr>
                  <w:r>
                    <w:rPr>
                      <w:b/>
                      <w:bCs/>
                      <w:sz w:val="16"/>
                      <w:szCs w:val="16"/>
                    </w:rPr>
                    <w:t>2023.</w:t>
                  </w:r>
                </w:p>
              </w:tc>
            </w:tr>
            <w:tr w:rsidR="00CD43C4" w14:paraId="6135F862" w14:textId="77777777" w:rsidTr="00CD43C4">
              <w:trPr>
                <w:trHeight w:val="255"/>
              </w:trPr>
              <w:tc>
                <w:tcPr>
                  <w:tcW w:w="811" w:type="dxa"/>
                  <w:tcBorders>
                    <w:top w:val="nil"/>
                    <w:left w:val="single" w:sz="8" w:space="0" w:color="auto"/>
                    <w:bottom w:val="single" w:sz="4" w:space="0" w:color="auto"/>
                    <w:right w:val="single" w:sz="4" w:space="0" w:color="auto"/>
                  </w:tcBorders>
                  <w:shd w:val="clear" w:color="000000" w:fill="FFFFFF"/>
                  <w:noWrap/>
                  <w:vAlign w:val="bottom"/>
                  <w:hideMark/>
                </w:tcPr>
                <w:p w14:paraId="7C4FAF02"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000000" w:fill="FFFFFF"/>
                  <w:noWrap/>
                  <w:vAlign w:val="bottom"/>
                  <w:hideMark/>
                </w:tcPr>
                <w:p w14:paraId="17F9E121" w14:textId="77777777" w:rsidR="00CD43C4" w:rsidRDefault="00CD43C4" w:rsidP="00CD43C4">
                  <w:pPr>
                    <w:rPr>
                      <w:sz w:val="16"/>
                      <w:szCs w:val="16"/>
                    </w:rPr>
                  </w:pPr>
                  <w:r>
                    <w:rPr>
                      <w:sz w:val="16"/>
                      <w:szCs w:val="16"/>
                    </w:rPr>
                    <w:t>Fejlesztési</w:t>
                  </w:r>
                </w:p>
              </w:tc>
              <w:tc>
                <w:tcPr>
                  <w:tcW w:w="3084" w:type="dxa"/>
                  <w:tcBorders>
                    <w:top w:val="nil"/>
                    <w:left w:val="nil"/>
                    <w:bottom w:val="single" w:sz="4" w:space="0" w:color="auto"/>
                    <w:right w:val="single" w:sz="4" w:space="0" w:color="auto"/>
                  </w:tcBorders>
                  <w:shd w:val="clear" w:color="000000" w:fill="FFFFFF"/>
                  <w:vAlign w:val="bottom"/>
                  <w:hideMark/>
                </w:tcPr>
                <w:p w14:paraId="683E7D23" w14:textId="77777777" w:rsidR="00CD43C4" w:rsidRDefault="00CD43C4" w:rsidP="00CD43C4">
                  <w:pPr>
                    <w:rPr>
                      <w:sz w:val="16"/>
                      <w:szCs w:val="16"/>
                    </w:rPr>
                  </w:pPr>
                  <w:r>
                    <w:rPr>
                      <w:sz w:val="16"/>
                      <w:szCs w:val="16"/>
                    </w:rPr>
                    <w:t>Kóbor János, MÁV emléktábla</w:t>
                  </w:r>
                </w:p>
              </w:tc>
              <w:tc>
                <w:tcPr>
                  <w:tcW w:w="1216" w:type="dxa"/>
                  <w:tcBorders>
                    <w:top w:val="nil"/>
                    <w:left w:val="nil"/>
                    <w:bottom w:val="single" w:sz="4" w:space="0" w:color="auto"/>
                    <w:right w:val="single" w:sz="8" w:space="0" w:color="auto"/>
                  </w:tcBorders>
                  <w:shd w:val="clear" w:color="000000" w:fill="FFFFFF"/>
                  <w:vAlign w:val="bottom"/>
                  <w:hideMark/>
                </w:tcPr>
                <w:p w14:paraId="405392DD" w14:textId="77777777" w:rsidR="00CD43C4" w:rsidRDefault="00CD43C4" w:rsidP="00CD43C4">
                  <w:pPr>
                    <w:jc w:val="right"/>
                    <w:rPr>
                      <w:b/>
                      <w:bCs/>
                      <w:sz w:val="16"/>
                      <w:szCs w:val="16"/>
                    </w:rPr>
                  </w:pPr>
                  <w:r>
                    <w:rPr>
                      <w:b/>
                      <w:bCs/>
                      <w:sz w:val="16"/>
                      <w:szCs w:val="16"/>
                    </w:rPr>
                    <w:t>1 000 000</w:t>
                  </w:r>
                </w:p>
              </w:tc>
            </w:tr>
            <w:tr w:rsidR="00CD43C4" w14:paraId="4203DCAF" w14:textId="77777777" w:rsidTr="00CD43C4">
              <w:trPr>
                <w:trHeight w:val="255"/>
              </w:trPr>
              <w:tc>
                <w:tcPr>
                  <w:tcW w:w="811" w:type="dxa"/>
                  <w:tcBorders>
                    <w:top w:val="nil"/>
                    <w:left w:val="single" w:sz="8" w:space="0" w:color="auto"/>
                    <w:bottom w:val="single" w:sz="4" w:space="0" w:color="auto"/>
                    <w:right w:val="single" w:sz="4" w:space="0" w:color="auto"/>
                  </w:tcBorders>
                  <w:shd w:val="clear" w:color="000000" w:fill="FFFFFF"/>
                  <w:noWrap/>
                  <w:vAlign w:val="bottom"/>
                  <w:hideMark/>
                </w:tcPr>
                <w:p w14:paraId="6E86A81B"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000000" w:fill="FFFFFF"/>
                  <w:noWrap/>
                  <w:vAlign w:val="bottom"/>
                  <w:hideMark/>
                </w:tcPr>
                <w:p w14:paraId="3EEC1237" w14:textId="77777777" w:rsidR="00CD43C4" w:rsidRDefault="00CD43C4" w:rsidP="00CD43C4">
                  <w:pPr>
                    <w:rPr>
                      <w:sz w:val="16"/>
                      <w:szCs w:val="16"/>
                    </w:rPr>
                  </w:pPr>
                  <w:r>
                    <w:rPr>
                      <w:sz w:val="16"/>
                      <w:szCs w:val="16"/>
                    </w:rPr>
                    <w:t>Fejlesztési</w:t>
                  </w:r>
                </w:p>
              </w:tc>
              <w:tc>
                <w:tcPr>
                  <w:tcW w:w="3084" w:type="dxa"/>
                  <w:tcBorders>
                    <w:top w:val="nil"/>
                    <w:left w:val="nil"/>
                    <w:bottom w:val="single" w:sz="4" w:space="0" w:color="auto"/>
                    <w:right w:val="single" w:sz="4" w:space="0" w:color="auto"/>
                  </w:tcBorders>
                  <w:shd w:val="clear" w:color="000000" w:fill="FFFFFF"/>
                  <w:vAlign w:val="bottom"/>
                  <w:hideMark/>
                </w:tcPr>
                <w:p w14:paraId="01838BF2" w14:textId="77777777" w:rsidR="00CD43C4" w:rsidRDefault="00CD43C4" w:rsidP="00CD43C4">
                  <w:pPr>
                    <w:rPr>
                      <w:sz w:val="16"/>
                      <w:szCs w:val="16"/>
                    </w:rPr>
                  </w:pPr>
                  <w:r>
                    <w:rPr>
                      <w:sz w:val="16"/>
                      <w:szCs w:val="16"/>
                    </w:rPr>
                    <w:t>Széchenyi Program pénzeszköz elkülönítés</w:t>
                  </w:r>
                </w:p>
              </w:tc>
              <w:tc>
                <w:tcPr>
                  <w:tcW w:w="1216" w:type="dxa"/>
                  <w:tcBorders>
                    <w:top w:val="nil"/>
                    <w:left w:val="nil"/>
                    <w:bottom w:val="single" w:sz="4" w:space="0" w:color="auto"/>
                    <w:right w:val="single" w:sz="8" w:space="0" w:color="auto"/>
                  </w:tcBorders>
                  <w:shd w:val="clear" w:color="000000" w:fill="FFFFFF"/>
                  <w:vAlign w:val="bottom"/>
                  <w:hideMark/>
                </w:tcPr>
                <w:p w14:paraId="2E9C6CBA" w14:textId="77777777" w:rsidR="00CD43C4" w:rsidRDefault="00CD43C4" w:rsidP="00CD43C4">
                  <w:pPr>
                    <w:jc w:val="right"/>
                    <w:rPr>
                      <w:b/>
                      <w:bCs/>
                      <w:color w:val="000000"/>
                      <w:sz w:val="16"/>
                      <w:szCs w:val="16"/>
                    </w:rPr>
                  </w:pPr>
                  <w:r>
                    <w:rPr>
                      <w:b/>
                      <w:bCs/>
                      <w:color w:val="000000"/>
                      <w:sz w:val="16"/>
                      <w:szCs w:val="16"/>
                    </w:rPr>
                    <w:t>2 497 964</w:t>
                  </w:r>
                </w:p>
              </w:tc>
            </w:tr>
            <w:tr w:rsidR="00CD43C4" w14:paraId="3D95FF20" w14:textId="77777777" w:rsidTr="00CD43C4">
              <w:trPr>
                <w:trHeight w:val="255"/>
              </w:trPr>
              <w:tc>
                <w:tcPr>
                  <w:tcW w:w="811" w:type="dxa"/>
                  <w:tcBorders>
                    <w:top w:val="nil"/>
                    <w:left w:val="single" w:sz="8" w:space="0" w:color="auto"/>
                    <w:bottom w:val="single" w:sz="4" w:space="0" w:color="auto"/>
                    <w:right w:val="single" w:sz="4" w:space="0" w:color="auto"/>
                  </w:tcBorders>
                  <w:shd w:val="clear" w:color="000000" w:fill="FFFFFF"/>
                  <w:noWrap/>
                  <w:vAlign w:val="bottom"/>
                  <w:hideMark/>
                </w:tcPr>
                <w:p w14:paraId="293604FF"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000000" w:fill="FFFFFF"/>
                  <w:noWrap/>
                  <w:vAlign w:val="bottom"/>
                  <w:hideMark/>
                </w:tcPr>
                <w:p w14:paraId="186A7D83" w14:textId="77777777" w:rsidR="00CD43C4" w:rsidRDefault="00CD43C4" w:rsidP="00CD43C4">
                  <w:pPr>
                    <w:rPr>
                      <w:sz w:val="16"/>
                      <w:szCs w:val="16"/>
                    </w:rPr>
                  </w:pPr>
                  <w:r>
                    <w:rPr>
                      <w:sz w:val="16"/>
                      <w:szCs w:val="16"/>
                    </w:rPr>
                    <w:t>Fejlesztési</w:t>
                  </w:r>
                </w:p>
              </w:tc>
              <w:tc>
                <w:tcPr>
                  <w:tcW w:w="3084" w:type="dxa"/>
                  <w:tcBorders>
                    <w:top w:val="nil"/>
                    <w:left w:val="nil"/>
                    <w:bottom w:val="single" w:sz="4" w:space="0" w:color="auto"/>
                    <w:right w:val="single" w:sz="4" w:space="0" w:color="auto"/>
                  </w:tcBorders>
                  <w:shd w:val="clear" w:color="000000" w:fill="FFFFFF"/>
                  <w:vAlign w:val="bottom"/>
                  <w:hideMark/>
                </w:tcPr>
                <w:p w14:paraId="485DBA05" w14:textId="77777777" w:rsidR="00CD43C4" w:rsidRDefault="00CD43C4" w:rsidP="00CD43C4">
                  <w:pPr>
                    <w:rPr>
                      <w:sz w:val="16"/>
                      <w:szCs w:val="16"/>
                    </w:rPr>
                  </w:pPr>
                  <w:r>
                    <w:rPr>
                      <w:sz w:val="16"/>
                      <w:szCs w:val="16"/>
                    </w:rPr>
                    <w:t xml:space="preserve">Külterületi utak </w:t>
                  </w:r>
                  <w:proofErr w:type="spellStart"/>
                  <w:r>
                    <w:rPr>
                      <w:sz w:val="16"/>
                      <w:szCs w:val="16"/>
                    </w:rPr>
                    <w:t>elk</w:t>
                  </w:r>
                  <w:proofErr w:type="spellEnd"/>
                  <w:r>
                    <w:rPr>
                      <w:sz w:val="16"/>
                      <w:szCs w:val="16"/>
                    </w:rPr>
                    <w:t>. számla</w:t>
                  </w:r>
                </w:p>
              </w:tc>
              <w:tc>
                <w:tcPr>
                  <w:tcW w:w="1216" w:type="dxa"/>
                  <w:tcBorders>
                    <w:top w:val="nil"/>
                    <w:left w:val="nil"/>
                    <w:bottom w:val="single" w:sz="4" w:space="0" w:color="auto"/>
                    <w:right w:val="single" w:sz="8" w:space="0" w:color="auto"/>
                  </w:tcBorders>
                  <w:shd w:val="clear" w:color="000000" w:fill="FFFFFF"/>
                  <w:vAlign w:val="bottom"/>
                  <w:hideMark/>
                </w:tcPr>
                <w:p w14:paraId="4EB62AD5" w14:textId="77777777" w:rsidR="00CD43C4" w:rsidRDefault="00CD43C4" w:rsidP="00CD43C4">
                  <w:pPr>
                    <w:jc w:val="right"/>
                    <w:rPr>
                      <w:b/>
                      <w:bCs/>
                      <w:sz w:val="16"/>
                      <w:szCs w:val="16"/>
                    </w:rPr>
                  </w:pPr>
                  <w:r>
                    <w:rPr>
                      <w:b/>
                      <w:bCs/>
                      <w:sz w:val="16"/>
                      <w:szCs w:val="16"/>
                    </w:rPr>
                    <w:t>1 916 552</w:t>
                  </w:r>
                </w:p>
              </w:tc>
            </w:tr>
            <w:tr w:rsidR="00CD43C4" w14:paraId="23798A08" w14:textId="77777777" w:rsidTr="00B85A4D">
              <w:trPr>
                <w:trHeight w:val="255"/>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3E694EFC"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6907E3A6" w14:textId="77777777" w:rsidR="00CD43C4" w:rsidRDefault="00CD43C4" w:rsidP="00CD43C4">
                  <w:pPr>
                    <w:rPr>
                      <w:sz w:val="16"/>
                      <w:szCs w:val="16"/>
                    </w:rPr>
                  </w:pPr>
                  <w:r>
                    <w:rPr>
                      <w:sz w:val="16"/>
                      <w:szCs w:val="16"/>
                    </w:rPr>
                    <w:t>Fejlesztési</w:t>
                  </w:r>
                </w:p>
              </w:tc>
              <w:tc>
                <w:tcPr>
                  <w:tcW w:w="3084" w:type="dxa"/>
                  <w:tcBorders>
                    <w:top w:val="nil"/>
                    <w:left w:val="nil"/>
                    <w:bottom w:val="single" w:sz="4" w:space="0" w:color="auto"/>
                    <w:right w:val="single" w:sz="4" w:space="0" w:color="auto"/>
                  </w:tcBorders>
                  <w:shd w:val="clear" w:color="auto" w:fill="auto"/>
                  <w:vAlign w:val="bottom"/>
                  <w:hideMark/>
                </w:tcPr>
                <w:p w14:paraId="6EB549CB" w14:textId="77777777" w:rsidR="00CD43C4" w:rsidRDefault="00CD43C4" w:rsidP="00CD43C4">
                  <w:pPr>
                    <w:rPr>
                      <w:sz w:val="16"/>
                      <w:szCs w:val="16"/>
                    </w:rPr>
                  </w:pPr>
                  <w:r>
                    <w:rPr>
                      <w:sz w:val="16"/>
                      <w:szCs w:val="16"/>
                    </w:rPr>
                    <w:t>Jótállási biztosíték MNP</w:t>
                  </w:r>
                </w:p>
              </w:tc>
              <w:tc>
                <w:tcPr>
                  <w:tcW w:w="1216" w:type="dxa"/>
                  <w:tcBorders>
                    <w:top w:val="nil"/>
                    <w:left w:val="nil"/>
                    <w:bottom w:val="single" w:sz="4" w:space="0" w:color="auto"/>
                    <w:right w:val="single" w:sz="8" w:space="0" w:color="auto"/>
                  </w:tcBorders>
                  <w:shd w:val="clear" w:color="auto" w:fill="auto"/>
                  <w:vAlign w:val="center"/>
                  <w:hideMark/>
                </w:tcPr>
                <w:p w14:paraId="3BDCDF91" w14:textId="77777777" w:rsidR="00CD43C4" w:rsidRDefault="00CD43C4" w:rsidP="00CD43C4">
                  <w:pPr>
                    <w:jc w:val="right"/>
                    <w:rPr>
                      <w:b/>
                      <w:bCs/>
                      <w:sz w:val="16"/>
                      <w:szCs w:val="16"/>
                    </w:rPr>
                  </w:pPr>
                  <w:r>
                    <w:rPr>
                      <w:b/>
                      <w:bCs/>
                      <w:sz w:val="16"/>
                      <w:szCs w:val="16"/>
                    </w:rPr>
                    <w:t>9 625 000</w:t>
                  </w:r>
                </w:p>
              </w:tc>
            </w:tr>
            <w:tr w:rsidR="00CD43C4" w14:paraId="18031F0D" w14:textId="77777777" w:rsidTr="00B85A4D">
              <w:trPr>
                <w:trHeight w:val="255"/>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08B10BE8"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0B228333" w14:textId="77777777" w:rsidR="00CD43C4" w:rsidRDefault="00CD43C4" w:rsidP="00CD43C4">
                  <w:pPr>
                    <w:rPr>
                      <w:b/>
                      <w:bCs/>
                      <w:sz w:val="16"/>
                      <w:szCs w:val="16"/>
                    </w:rPr>
                  </w:pPr>
                  <w:r>
                    <w:rPr>
                      <w:b/>
                      <w:bCs/>
                      <w:sz w:val="16"/>
                      <w:szCs w:val="16"/>
                    </w:rPr>
                    <w:t>Fejlesztési</w:t>
                  </w:r>
                </w:p>
              </w:tc>
              <w:tc>
                <w:tcPr>
                  <w:tcW w:w="3084" w:type="dxa"/>
                  <w:tcBorders>
                    <w:top w:val="nil"/>
                    <w:left w:val="nil"/>
                    <w:bottom w:val="single" w:sz="4" w:space="0" w:color="auto"/>
                    <w:right w:val="single" w:sz="4" w:space="0" w:color="auto"/>
                  </w:tcBorders>
                  <w:shd w:val="clear" w:color="auto" w:fill="auto"/>
                  <w:vAlign w:val="bottom"/>
                  <w:hideMark/>
                </w:tcPr>
                <w:p w14:paraId="460FECAE" w14:textId="77777777" w:rsidR="00CD43C4" w:rsidRDefault="00CD43C4" w:rsidP="00CD43C4">
                  <w:pPr>
                    <w:ind w:firstLineChars="100" w:firstLine="160"/>
                    <w:rPr>
                      <w:b/>
                      <w:bCs/>
                      <w:sz w:val="16"/>
                      <w:szCs w:val="16"/>
                    </w:rPr>
                  </w:pPr>
                  <w:r>
                    <w:rPr>
                      <w:b/>
                      <w:bCs/>
                      <w:sz w:val="16"/>
                      <w:szCs w:val="16"/>
                    </w:rPr>
                    <w:t>Fejlesztési céltartalék összesen:</w:t>
                  </w:r>
                </w:p>
              </w:tc>
              <w:tc>
                <w:tcPr>
                  <w:tcW w:w="1216" w:type="dxa"/>
                  <w:tcBorders>
                    <w:top w:val="nil"/>
                    <w:left w:val="nil"/>
                    <w:bottom w:val="single" w:sz="4" w:space="0" w:color="auto"/>
                    <w:right w:val="single" w:sz="8" w:space="0" w:color="auto"/>
                  </w:tcBorders>
                  <w:shd w:val="clear" w:color="auto" w:fill="auto"/>
                  <w:vAlign w:val="bottom"/>
                  <w:hideMark/>
                </w:tcPr>
                <w:p w14:paraId="6BF7AF0B" w14:textId="77777777" w:rsidR="00CD43C4" w:rsidRDefault="00CD43C4" w:rsidP="00CD43C4">
                  <w:pPr>
                    <w:jc w:val="right"/>
                    <w:rPr>
                      <w:b/>
                      <w:bCs/>
                      <w:sz w:val="16"/>
                      <w:szCs w:val="16"/>
                    </w:rPr>
                  </w:pPr>
                  <w:r>
                    <w:rPr>
                      <w:b/>
                      <w:bCs/>
                      <w:sz w:val="16"/>
                      <w:szCs w:val="16"/>
                    </w:rPr>
                    <w:t>15 039 516</w:t>
                  </w:r>
                </w:p>
              </w:tc>
            </w:tr>
            <w:tr w:rsidR="00CD43C4" w14:paraId="23DBD59D" w14:textId="77777777" w:rsidTr="00B85A4D">
              <w:trPr>
                <w:trHeight w:val="255"/>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4ACAF87C"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67AB80D1" w14:textId="77777777" w:rsidR="00CD43C4" w:rsidRDefault="00CD43C4" w:rsidP="00CD43C4">
                  <w:pPr>
                    <w:rPr>
                      <w:sz w:val="16"/>
                      <w:szCs w:val="16"/>
                    </w:rPr>
                  </w:pPr>
                  <w:r>
                    <w:rPr>
                      <w:sz w:val="16"/>
                      <w:szCs w:val="16"/>
                    </w:rPr>
                    <w:t>Működési</w:t>
                  </w:r>
                </w:p>
              </w:tc>
              <w:tc>
                <w:tcPr>
                  <w:tcW w:w="3084" w:type="dxa"/>
                  <w:tcBorders>
                    <w:top w:val="nil"/>
                    <w:left w:val="nil"/>
                    <w:bottom w:val="single" w:sz="4" w:space="0" w:color="auto"/>
                    <w:right w:val="single" w:sz="4" w:space="0" w:color="auto"/>
                  </w:tcBorders>
                  <w:shd w:val="clear" w:color="auto" w:fill="auto"/>
                  <w:noWrap/>
                  <w:vAlign w:val="bottom"/>
                  <w:hideMark/>
                </w:tcPr>
                <w:p w14:paraId="3979AE9D" w14:textId="77777777" w:rsidR="00CD43C4" w:rsidRDefault="00CD43C4" w:rsidP="00CD43C4">
                  <w:pPr>
                    <w:rPr>
                      <w:sz w:val="16"/>
                      <w:szCs w:val="16"/>
                    </w:rPr>
                  </w:pPr>
                  <w:r>
                    <w:rPr>
                      <w:sz w:val="16"/>
                      <w:szCs w:val="16"/>
                    </w:rPr>
                    <w:t>Egyensúlyi céltartalék</w:t>
                  </w:r>
                </w:p>
              </w:tc>
              <w:tc>
                <w:tcPr>
                  <w:tcW w:w="1216" w:type="dxa"/>
                  <w:tcBorders>
                    <w:top w:val="nil"/>
                    <w:left w:val="nil"/>
                    <w:bottom w:val="single" w:sz="4" w:space="0" w:color="auto"/>
                    <w:right w:val="single" w:sz="8" w:space="0" w:color="auto"/>
                  </w:tcBorders>
                  <w:shd w:val="clear" w:color="auto" w:fill="auto"/>
                  <w:noWrap/>
                  <w:vAlign w:val="bottom"/>
                  <w:hideMark/>
                </w:tcPr>
                <w:p w14:paraId="0C2C8AF7" w14:textId="49057A48" w:rsidR="00CD43C4" w:rsidRDefault="00EF0D81" w:rsidP="00CD43C4">
                  <w:pPr>
                    <w:jc w:val="right"/>
                    <w:rPr>
                      <w:b/>
                      <w:bCs/>
                      <w:sz w:val="16"/>
                      <w:szCs w:val="16"/>
                    </w:rPr>
                  </w:pPr>
                  <w:r>
                    <w:rPr>
                      <w:b/>
                      <w:bCs/>
                      <w:sz w:val="16"/>
                      <w:szCs w:val="16"/>
                    </w:rPr>
                    <w:t>4 685 957</w:t>
                  </w:r>
                </w:p>
              </w:tc>
            </w:tr>
            <w:tr w:rsidR="00CD43C4" w14:paraId="07406B91" w14:textId="77777777" w:rsidTr="00B85A4D">
              <w:trPr>
                <w:trHeight w:val="255"/>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439E9E22"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37255DBC" w14:textId="77777777" w:rsidR="00CD43C4" w:rsidRDefault="00CD43C4" w:rsidP="00CD43C4">
                  <w:pPr>
                    <w:rPr>
                      <w:sz w:val="16"/>
                      <w:szCs w:val="16"/>
                    </w:rPr>
                  </w:pPr>
                  <w:r>
                    <w:rPr>
                      <w:sz w:val="16"/>
                      <w:szCs w:val="16"/>
                    </w:rPr>
                    <w:t>Működési</w:t>
                  </w:r>
                </w:p>
              </w:tc>
              <w:tc>
                <w:tcPr>
                  <w:tcW w:w="3084" w:type="dxa"/>
                  <w:tcBorders>
                    <w:top w:val="nil"/>
                    <w:left w:val="nil"/>
                    <w:bottom w:val="single" w:sz="4" w:space="0" w:color="auto"/>
                    <w:right w:val="single" w:sz="4" w:space="0" w:color="auto"/>
                  </w:tcBorders>
                  <w:shd w:val="clear" w:color="auto" w:fill="auto"/>
                  <w:vAlign w:val="bottom"/>
                  <w:hideMark/>
                </w:tcPr>
                <w:p w14:paraId="2F89D7E7" w14:textId="77777777" w:rsidR="00CD43C4" w:rsidRDefault="00CD43C4" w:rsidP="00CD43C4">
                  <w:pPr>
                    <w:rPr>
                      <w:sz w:val="16"/>
                      <w:szCs w:val="16"/>
                    </w:rPr>
                  </w:pPr>
                  <w:r>
                    <w:rPr>
                      <w:sz w:val="16"/>
                      <w:szCs w:val="16"/>
                    </w:rPr>
                    <w:t>Tervezési költségekre céltartalék</w:t>
                  </w:r>
                </w:p>
              </w:tc>
              <w:tc>
                <w:tcPr>
                  <w:tcW w:w="1216" w:type="dxa"/>
                  <w:tcBorders>
                    <w:top w:val="nil"/>
                    <w:left w:val="nil"/>
                    <w:bottom w:val="single" w:sz="4" w:space="0" w:color="auto"/>
                    <w:right w:val="single" w:sz="8" w:space="0" w:color="auto"/>
                  </w:tcBorders>
                  <w:shd w:val="clear" w:color="auto" w:fill="auto"/>
                  <w:vAlign w:val="bottom"/>
                  <w:hideMark/>
                </w:tcPr>
                <w:p w14:paraId="562C9441" w14:textId="77777777" w:rsidR="00CD43C4" w:rsidRDefault="00CD43C4" w:rsidP="00CD43C4">
                  <w:pPr>
                    <w:jc w:val="right"/>
                    <w:rPr>
                      <w:b/>
                      <w:bCs/>
                      <w:color w:val="000000"/>
                      <w:sz w:val="16"/>
                      <w:szCs w:val="16"/>
                    </w:rPr>
                  </w:pPr>
                  <w:r>
                    <w:rPr>
                      <w:b/>
                      <w:bCs/>
                      <w:color w:val="000000"/>
                      <w:sz w:val="16"/>
                      <w:szCs w:val="16"/>
                    </w:rPr>
                    <w:t>3 000 000</w:t>
                  </w:r>
                </w:p>
              </w:tc>
            </w:tr>
            <w:tr w:rsidR="00CD43C4" w14:paraId="41D40048" w14:textId="77777777" w:rsidTr="00B85A4D">
              <w:trPr>
                <w:trHeight w:val="450"/>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4D6B4702"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278FED72" w14:textId="77777777" w:rsidR="00CD43C4" w:rsidRDefault="00CD43C4" w:rsidP="00CD43C4">
                  <w:pPr>
                    <w:rPr>
                      <w:sz w:val="16"/>
                      <w:szCs w:val="16"/>
                    </w:rPr>
                  </w:pPr>
                  <w:r>
                    <w:rPr>
                      <w:sz w:val="16"/>
                      <w:szCs w:val="16"/>
                    </w:rPr>
                    <w:t>Működési</w:t>
                  </w:r>
                </w:p>
              </w:tc>
              <w:tc>
                <w:tcPr>
                  <w:tcW w:w="3084" w:type="dxa"/>
                  <w:tcBorders>
                    <w:top w:val="nil"/>
                    <w:left w:val="nil"/>
                    <w:bottom w:val="single" w:sz="4" w:space="0" w:color="auto"/>
                    <w:right w:val="single" w:sz="4" w:space="0" w:color="auto"/>
                  </w:tcBorders>
                  <w:shd w:val="clear" w:color="auto" w:fill="auto"/>
                  <w:vAlign w:val="bottom"/>
                  <w:hideMark/>
                </w:tcPr>
                <w:p w14:paraId="57950076" w14:textId="77777777" w:rsidR="00CD43C4" w:rsidRDefault="00CD43C4" w:rsidP="00CD43C4">
                  <w:pPr>
                    <w:rPr>
                      <w:sz w:val="16"/>
                      <w:szCs w:val="16"/>
                    </w:rPr>
                  </w:pPr>
                  <w:r>
                    <w:rPr>
                      <w:sz w:val="16"/>
                      <w:szCs w:val="16"/>
                    </w:rPr>
                    <w:t xml:space="preserve">Nem </w:t>
                  </w:r>
                  <w:proofErr w:type="spellStart"/>
                  <w:r>
                    <w:rPr>
                      <w:sz w:val="16"/>
                      <w:szCs w:val="16"/>
                    </w:rPr>
                    <w:t>bátaszéki</w:t>
                  </w:r>
                  <w:proofErr w:type="spellEnd"/>
                  <w:r>
                    <w:rPr>
                      <w:sz w:val="16"/>
                      <w:szCs w:val="16"/>
                    </w:rPr>
                    <w:t xml:space="preserve"> székhelyű civil szervezetek pályázható keretösszege</w:t>
                  </w:r>
                </w:p>
              </w:tc>
              <w:tc>
                <w:tcPr>
                  <w:tcW w:w="1216" w:type="dxa"/>
                  <w:tcBorders>
                    <w:top w:val="nil"/>
                    <w:left w:val="nil"/>
                    <w:bottom w:val="single" w:sz="4" w:space="0" w:color="auto"/>
                    <w:right w:val="single" w:sz="8" w:space="0" w:color="auto"/>
                  </w:tcBorders>
                  <w:shd w:val="clear" w:color="auto" w:fill="auto"/>
                  <w:vAlign w:val="center"/>
                  <w:hideMark/>
                </w:tcPr>
                <w:p w14:paraId="0A3F84BD" w14:textId="77777777" w:rsidR="00CD43C4" w:rsidRDefault="00CD43C4" w:rsidP="00CD43C4">
                  <w:pPr>
                    <w:jc w:val="right"/>
                    <w:rPr>
                      <w:b/>
                      <w:bCs/>
                      <w:sz w:val="16"/>
                      <w:szCs w:val="16"/>
                    </w:rPr>
                  </w:pPr>
                  <w:r>
                    <w:rPr>
                      <w:b/>
                      <w:bCs/>
                      <w:sz w:val="16"/>
                      <w:szCs w:val="16"/>
                    </w:rPr>
                    <w:t>500 000</w:t>
                  </w:r>
                </w:p>
              </w:tc>
            </w:tr>
            <w:tr w:rsidR="00CD43C4" w14:paraId="001E13A1" w14:textId="77777777" w:rsidTr="00B85A4D">
              <w:trPr>
                <w:trHeight w:val="255"/>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7D1B97C7"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269AB464" w14:textId="77777777" w:rsidR="00CD43C4" w:rsidRDefault="00CD43C4" w:rsidP="00CD43C4">
                  <w:pPr>
                    <w:rPr>
                      <w:sz w:val="16"/>
                      <w:szCs w:val="16"/>
                    </w:rPr>
                  </w:pPr>
                  <w:r>
                    <w:rPr>
                      <w:sz w:val="16"/>
                      <w:szCs w:val="16"/>
                    </w:rPr>
                    <w:t>Működési</w:t>
                  </w:r>
                </w:p>
              </w:tc>
              <w:tc>
                <w:tcPr>
                  <w:tcW w:w="3084" w:type="dxa"/>
                  <w:tcBorders>
                    <w:top w:val="nil"/>
                    <w:left w:val="nil"/>
                    <w:bottom w:val="single" w:sz="4" w:space="0" w:color="auto"/>
                    <w:right w:val="single" w:sz="4" w:space="0" w:color="auto"/>
                  </w:tcBorders>
                  <w:shd w:val="clear" w:color="auto" w:fill="auto"/>
                  <w:vAlign w:val="bottom"/>
                  <w:hideMark/>
                </w:tcPr>
                <w:p w14:paraId="180726FD" w14:textId="77777777" w:rsidR="00CD43C4" w:rsidRDefault="00CD43C4" w:rsidP="00CD43C4">
                  <w:pPr>
                    <w:rPr>
                      <w:sz w:val="16"/>
                      <w:szCs w:val="16"/>
                    </w:rPr>
                  </w:pPr>
                  <w:r>
                    <w:rPr>
                      <w:sz w:val="16"/>
                      <w:szCs w:val="16"/>
                    </w:rPr>
                    <w:t xml:space="preserve">Szociális kiadások </w:t>
                  </w:r>
                  <w:proofErr w:type="spellStart"/>
                  <w:r>
                    <w:rPr>
                      <w:sz w:val="16"/>
                      <w:szCs w:val="16"/>
                    </w:rPr>
                    <w:t>céltartaléka</w:t>
                  </w:r>
                  <w:proofErr w:type="spellEnd"/>
                </w:p>
              </w:tc>
              <w:tc>
                <w:tcPr>
                  <w:tcW w:w="1216" w:type="dxa"/>
                  <w:tcBorders>
                    <w:top w:val="nil"/>
                    <w:left w:val="nil"/>
                    <w:bottom w:val="single" w:sz="4" w:space="0" w:color="auto"/>
                    <w:right w:val="single" w:sz="8" w:space="0" w:color="auto"/>
                  </w:tcBorders>
                  <w:shd w:val="clear" w:color="auto" w:fill="auto"/>
                  <w:vAlign w:val="center"/>
                  <w:hideMark/>
                </w:tcPr>
                <w:p w14:paraId="656F7666" w14:textId="77777777" w:rsidR="00CD43C4" w:rsidRDefault="00CD43C4" w:rsidP="00CD43C4">
                  <w:pPr>
                    <w:jc w:val="right"/>
                    <w:rPr>
                      <w:b/>
                      <w:bCs/>
                      <w:sz w:val="16"/>
                      <w:szCs w:val="16"/>
                    </w:rPr>
                  </w:pPr>
                  <w:r>
                    <w:rPr>
                      <w:b/>
                      <w:bCs/>
                      <w:sz w:val="16"/>
                      <w:szCs w:val="16"/>
                    </w:rPr>
                    <w:t>2 000 000</w:t>
                  </w:r>
                </w:p>
              </w:tc>
            </w:tr>
            <w:tr w:rsidR="00CD43C4" w14:paraId="2B1DB6B4" w14:textId="77777777" w:rsidTr="00B85A4D">
              <w:trPr>
                <w:trHeight w:val="300"/>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1CE3C289"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68AABA57" w14:textId="77777777" w:rsidR="00CD43C4" w:rsidRDefault="00CD43C4" w:rsidP="00CD43C4">
                  <w:pPr>
                    <w:rPr>
                      <w:sz w:val="16"/>
                      <w:szCs w:val="16"/>
                    </w:rPr>
                  </w:pPr>
                  <w:r>
                    <w:rPr>
                      <w:sz w:val="16"/>
                      <w:szCs w:val="16"/>
                    </w:rPr>
                    <w:t>Működési</w:t>
                  </w:r>
                </w:p>
              </w:tc>
              <w:tc>
                <w:tcPr>
                  <w:tcW w:w="3084" w:type="dxa"/>
                  <w:tcBorders>
                    <w:top w:val="nil"/>
                    <w:left w:val="nil"/>
                    <w:bottom w:val="single" w:sz="4" w:space="0" w:color="auto"/>
                    <w:right w:val="single" w:sz="4" w:space="0" w:color="auto"/>
                  </w:tcBorders>
                  <w:shd w:val="clear" w:color="auto" w:fill="auto"/>
                  <w:vAlign w:val="bottom"/>
                  <w:hideMark/>
                </w:tcPr>
                <w:p w14:paraId="78BB8926" w14:textId="77777777" w:rsidR="00CD43C4" w:rsidRDefault="00CD43C4" w:rsidP="00CD43C4">
                  <w:pPr>
                    <w:rPr>
                      <w:sz w:val="16"/>
                      <w:szCs w:val="16"/>
                    </w:rPr>
                  </w:pPr>
                  <w:r>
                    <w:rPr>
                      <w:sz w:val="16"/>
                      <w:szCs w:val="16"/>
                    </w:rPr>
                    <w:t>2023. évi közfoglakoztatási program önerő a 2022.év alapján</w:t>
                  </w:r>
                </w:p>
              </w:tc>
              <w:tc>
                <w:tcPr>
                  <w:tcW w:w="1216" w:type="dxa"/>
                  <w:tcBorders>
                    <w:top w:val="nil"/>
                    <w:left w:val="nil"/>
                    <w:bottom w:val="single" w:sz="4" w:space="0" w:color="auto"/>
                    <w:right w:val="single" w:sz="8" w:space="0" w:color="auto"/>
                  </w:tcBorders>
                  <w:shd w:val="clear" w:color="auto" w:fill="auto"/>
                  <w:vAlign w:val="center"/>
                  <w:hideMark/>
                </w:tcPr>
                <w:p w14:paraId="4D896613" w14:textId="77777777" w:rsidR="00CD43C4" w:rsidRDefault="00CD43C4" w:rsidP="00CD43C4">
                  <w:pPr>
                    <w:jc w:val="right"/>
                    <w:rPr>
                      <w:b/>
                      <w:bCs/>
                      <w:sz w:val="16"/>
                      <w:szCs w:val="16"/>
                    </w:rPr>
                  </w:pPr>
                  <w:r>
                    <w:rPr>
                      <w:b/>
                      <w:bCs/>
                      <w:sz w:val="16"/>
                      <w:szCs w:val="16"/>
                    </w:rPr>
                    <w:t>2 000 000</w:t>
                  </w:r>
                </w:p>
              </w:tc>
            </w:tr>
            <w:tr w:rsidR="00CD43C4" w14:paraId="7B15A741" w14:textId="77777777" w:rsidTr="00B85A4D">
              <w:trPr>
                <w:trHeight w:val="255"/>
              </w:trPr>
              <w:tc>
                <w:tcPr>
                  <w:tcW w:w="811" w:type="dxa"/>
                  <w:tcBorders>
                    <w:top w:val="nil"/>
                    <w:left w:val="single" w:sz="8" w:space="0" w:color="auto"/>
                    <w:bottom w:val="single" w:sz="4" w:space="0" w:color="auto"/>
                    <w:right w:val="single" w:sz="4" w:space="0" w:color="auto"/>
                  </w:tcBorders>
                  <w:shd w:val="clear" w:color="auto" w:fill="auto"/>
                  <w:noWrap/>
                  <w:vAlign w:val="bottom"/>
                  <w:hideMark/>
                </w:tcPr>
                <w:p w14:paraId="2DF6DC07" w14:textId="77777777" w:rsidR="00CD43C4" w:rsidRDefault="00CD43C4" w:rsidP="00CD43C4">
                  <w:pPr>
                    <w:rPr>
                      <w:sz w:val="16"/>
                      <w:szCs w:val="16"/>
                    </w:rPr>
                  </w:pPr>
                  <w:r>
                    <w:rPr>
                      <w:sz w:val="16"/>
                      <w:szCs w:val="16"/>
                    </w:rPr>
                    <w:t> </w:t>
                  </w:r>
                </w:p>
              </w:tc>
              <w:tc>
                <w:tcPr>
                  <w:tcW w:w="1265" w:type="dxa"/>
                  <w:tcBorders>
                    <w:top w:val="nil"/>
                    <w:left w:val="nil"/>
                    <w:bottom w:val="single" w:sz="4" w:space="0" w:color="auto"/>
                    <w:right w:val="single" w:sz="4" w:space="0" w:color="auto"/>
                  </w:tcBorders>
                  <w:shd w:val="clear" w:color="auto" w:fill="auto"/>
                  <w:noWrap/>
                  <w:vAlign w:val="bottom"/>
                  <w:hideMark/>
                </w:tcPr>
                <w:p w14:paraId="7263BAB4" w14:textId="77777777" w:rsidR="00CD43C4" w:rsidRDefault="00CD43C4" w:rsidP="00CD43C4">
                  <w:pPr>
                    <w:rPr>
                      <w:b/>
                      <w:bCs/>
                      <w:sz w:val="16"/>
                      <w:szCs w:val="16"/>
                    </w:rPr>
                  </w:pPr>
                  <w:r>
                    <w:rPr>
                      <w:b/>
                      <w:bCs/>
                      <w:sz w:val="16"/>
                      <w:szCs w:val="16"/>
                    </w:rPr>
                    <w:t>Működési</w:t>
                  </w:r>
                </w:p>
              </w:tc>
              <w:tc>
                <w:tcPr>
                  <w:tcW w:w="3084" w:type="dxa"/>
                  <w:tcBorders>
                    <w:top w:val="nil"/>
                    <w:left w:val="nil"/>
                    <w:bottom w:val="single" w:sz="4" w:space="0" w:color="auto"/>
                    <w:right w:val="single" w:sz="4" w:space="0" w:color="auto"/>
                  </w:tcBorders>
                  <w:shd w:val="clear" w:color="auto" w:fill="auto"/>
                  <w:noWrap/>
                  <w:vAlign w:val="bottom"/>
                  <w:hideMark/>
                </w:tcPr>
                <w:p w14:paraId="76FE7423" w14:textId="77777777" w:rsidR="00CD43C4" w:rsidRDefault="00CD43C4" w:rsidP="00CD43C4">
                  <w:pPr>
                    <w:rPr>
                      <w:b/>
                      <w:bCs/>
                      <w:sz w:val="16"/>
                      <w:szCs w:val="16"/>
                    </w:rPr>
                  </w:pPr>
                  <w:r>
                    <w:rPr>
                      <w:b/>
                      <w:bCs/>
                      <w:sz w:val="16"/>
                      <w:szCs w:val="16"/>
                    </w:rPr>
                    <w:t>Működési céltartalékok összesen:</w:t>
                  </w:r>
                </w:p>
              </w:tc>
              <w:tc>
                <w:tcPr>
                  <w:tcW w:w="1216" w:type="dxa"/>
                  <w:tcBorders>
                    <w:top w:val="nil"/>
                    <w:left w:val="nil"/>
                    <w:bottom w:val="single" w:sz="4" w:space="0" w:color="auto"/>
                    <w:right w:val="single" w:sz="8" w:space="0" w:color="auto"/>
                  </w:tcBorders>
                  <w:shd w:val="clear" w:color="auto" w:fill="auto"/>
                  <w:noWrap/>
                  <w:vAlign w:val="bottom"/>
                  <w:hideMark/>
                </w:tcPr>
                <w:p w14:paraId="1ABA6086" w14:textId="77777777" w:rsidR="00CD43C4" w:rsidRDefault="00CD43C4" w:rsidP="00CD43C4">
                  <w:pPr>
                    <w:jc w:val="right"/>
                    <w:rPr>
                      <w:b/>
                      <w:bCs/>
                      <w:sz w:val="16"/>
                      <w:szCs w:val="16"/>
                    </w:rPr>
                  </w:pPr>
                  <w:r>
                    <w:rPr>
                      <w:b/>
                      <w:bCs/>
                      <w:sz w:val="16"/>
                      <w:szCs w:val="16"/>
                    </w:rPr>
                    <w:t>11 746 957</w:t>
                  </w:r>
                </w:p>
              </w:tc>
            </w:tr>
            <w:tr w:rsidR="00CD43C4" w14:paraId="4CE37FA3" w14:textId="77777777" w:rsidTr="00CD43C4">
              <w:trPr>
                <w:trHeight w:val="270"/>
              </w:trPr>
              <w:tc>
                <w:tcPr>
                  <w:tcW w:w="811" w:type="dxa"/>
                  <w:tcBorders>
                    <w:top w:val="nil"/>
                    <w:left w:val="single" w:sz="8" w:space="0" w:color="auto"/>
                    <w:bottom w:val="single" w:sz="8" w:space="0" w:color="auto"/>
                    <w:right w:val="single" w:sz="4" w:space="0" w:color="auto"/>
                  </w:tcBorders>
                  <w:shd w:val="clear" w:color="000000" w:fill="C4BD97"/>
                  <w:noWrap/>
                  <w:vAlign w:val="bottom"/>
                  <w:hideMark/>
                </w:tcPr>
                <w:p w14:paraId="08BE59C2" w14:textId="77777777" w:rsidR="00CD43C4" w:rsidRDefault="00CD43C4" w:rsidP="00CD43C4">
                  <w:pPr>
                    <w:rPr>
                      <w:sz w:val="16"/>
                      <w:szCs w:val="16"/>
                    </w:rPr>
                  </w:pPr>
                  <w:r>
                    <w:rPr>
                      <w:sz w:val="16"/>
                      <w:szCs w:val="16"/>
                    </w:rPr>
                    <w:t> </w:t>
                  </w:r>
                </w:p>
              </w:tc>
              <w:tc>
                <w:tcPr>
                  <w:tcW w:w="1265" w:type="dxa"/>
                  <w:tcBorders>
                    <w:top w:val="nil"/>
                    <w:left w:val="nil"/>
                    <w:bottom w:val="single" w:sz="8" w:space="0" w:color="auto"/>
                    <w:right w:val="single" w:sz="4" w:space="0" w:color="auto"/>
                  </w:tcBorders>
                  <w:shd w:val="clear" w:color="000000" w:fill="C4BD97"/>
                  <w:noWrap/>
                  <w:vAlign w:val="bottom"/>
                  <w:hideMark/>
                </w:tcPr>
                <w:p w14:paraId="098625BF" w14:textId="77777777" w:rsidR="00CD43C4" w:rsidRDefault="00CD43C4" w:rsidP="00CD43C4">
                  <w:pPr>
                    <w:rPr>
                      <w:b/>
                      <w:bCs/>
                      <w:sz w:val="16"/>
                      <w:szCs w:val="16"/>
                    </w:rPr>
                  </w:pPr>
                  <w:r>
                    <w:rPr>
                      <w:b/>
                      <w:bCs/>
                      <w:sz w:val="16"/>
                      <w:szCs w:val="16"/>
                    </w:rPr>
                    <w:t> </w:t>
                  </w:r>
                </w:p>
              </w:tc>
              <w:tc>
                <w:tcPr>
                  <w:tcW w:w="3084" w:type="dxa"/>
                  <w:tcBorders>
                    <w:top w:val="nil"/>
                    <w:left w:val="nil"/>
                    <w:bottom w:val="single" w:sz="8" w:space="0" w:color="auto"/>
                    <w:right w:val="single" w:sz="4" w:space="0" w:color="auto"/>
                  </w:tcBorders>
                  <w:shd w:val="clear" w:color="000000" w:fill="C4BD97"/>
                  <w:noWrap/>
                  <w:vAlign w:val="bottom"/>
                  <w:hideMark/>
                </w:tcPr>
                <w:p w14:paraId="7A62C1B0" w14:textId="77777777" w:rsidR="00CD43C4" w:rsidRDefault="00CD43C4" w:rsidP="00CD43C4">
                  <w:pPr>
                    <w:rPr>
                      <w:b/>
                      <w:bCs/>
                      <w:sz w:val="16"/>
                      <w:szCs w:val="16"/>
                    </w:rPr>
                  </w:pPr>
                  <w:r>
                    <w:rPr>
                      <w:b/>
                      <w:bCs/>
                      <w:sz w:val="16"/>
                      <w:szCs w:val="16"/>
                    </w:rPr>
                    <w:t>Mindösszesen</w:t>
                  </w:r>
                </w:p>
              </w:tc>
              <w:tc>
                <w:tcPr>
                  <w:tcW w:w="1216" w:type="dxa"/>
                  <w:tcBorders>
                    <w:top w:val="nil"/>
                    <w:left w:val="nil"/>
                    <w:bottom w:val="single" w:sz="8" w:space="0" w:color="auto"/>
                    <w:right w:val="single" w:sz="8" w:space="0" w:color="auto"/>
                  </w:tcBorders>
                  <w:shd w:val="clear" w:color="000000" w:fill="C4BD97"/>
                  <w:noWrap/>
                  <w:vAlign w:val="bottom"/>
                  <w:hideMark/>
                </w:tcPr>
                <w:p w14:paraId="39AD6AB5" w14:textId="010F83D8" w:rsidR="00CD43C4" w:rsidRDefault="00EF0D81" w:rsidP="00CD43C4">
                  <w:pPr>
                    <w:jc w:val="right"/>
                    <w:rPr>
                      <w:b/>
                      <w:bCs/>
                      <w:sz w:val="16"/>
                      <w:szCs w:val="16"/>
                    </w:rPr>
                  </w:pPr>
                  <w:r>
                    <w:rPr>
                      <w:b/>
                      <w:bCs/>
                      <w:sz w:val="16"/>
                      <w:szCs w:val="16"/>
                    </w:rPr>
                    <w:t>27 225 473</w:t>
                  </w:r>
                </w:p>
              </w:tc>
            </w:tr>
          </w:tbl>
          <w:p w14:paraId="7431EB8C" w14:textId="3324D8BE" w:rsidR="00CD43C4" w:rsidRPr="00AE7B18" w:rsidRDefault="00CD43C4">
            <w:pPr>
              <w:rPr>
                <w:rFonts w:ascii="Arial" w:hAnsi="Arial" w:cs="Arial"/>
                <w:sz w:val="22"/>
                <w:szCs w:val="22"/>
                <w:highlight w:val="yellow"/>
              </w:rPr>
            </w:pPr>
          </w:p>
        </w:tc>
        <w:tc>
          <w:tcPr>
            <w:tcW w:w="511" w:type="dxa"/>
            <w:noWrap/>
            <w:vAlign w:val="bottom"/>
          </w:tcPr>
          <w:p w14:paraId="3A264C50" w14:textId="77777777" w:rsidR="006325C2" w:rsidRPr="00AE7B18" w:rsidRDefault="006325C2">
            <w:pPr>
              <w:rPr>
                <w:sz w:val="20"/>
                <w:szCs w:val="20"/>
                <w:highlight w:val="yellow"/>
                <w:lang w:eastAsia="hu-HU"/>
              </w:rPr>
            </w:pPr>
          </w:p>
        </w:tc>
        <w:tc>
          <w:tcPr>
            <w:tcW w:w="1881" w:type="dxa"/>
            <w:noWrap/>
            <w:vAlign w:val="bottom"/>
          </w:tcPr>
          <w:p w14:paraId="6A4A7140" w14:textId="77777777" w:rsidR="006325C2" w:rsidRPr="00AE7B18" w:rsidRDefault="006325C2">
            <w:pPr>
              <w:rPr>
                <w:sz w:val="20"/>
                <w:szCs w:val="20"/>
                <w:highlight w:val="yellow"/>
                <w:lang w:eastAsia="hu-HU"/>
              </w:rPr>
            </w:pPr>
          </w:p>
        </w:tc>
        <w:tc>
          <w:tcPr>
            <w:tcW w:w="707" w:type="dxa"/>
            <w:shd w:val="clear" w:color="auto" w:fill="FFFFFF"/>
            <w:noWrap/>
            <w:vAlign w:val="bottom"/>
          </w:tcPr>
          <w:p w14:paraId="44E79C6F" w14:textId="69E00C31" w:rsidR="006325C2" w:rsidRPr="00AE7B18" w:rsidRDefault="006325C2">
            <w:pPr>
              <w:ind w:firstLineChars="300" w:firstLine="540"/>
              <w:rPr>
                <w:rFonts w:ascii="Calibri" w:hAnsi="Calibri" w:cs="Calibri"/>
                <w:b/>
                <w:bCs/>
                <w:color w:val="000000"/>
                <w:sz w:val="18"/>
                <w:szCs w:val="18"/>
                <w:highlight w:val="yellow"/>
              </w:rPr>
            </w:pPr>
          </w:p>
        </w:tc>
      </w:tr>
      <w:tr w:rsidR="00CD43C4" w:rsidRPr="00AE7B18" w14:paraId="61D0FEED" w14:textId="77777777" w:rsidTr="00CD43C4">
        <w:trPr>
          <w:gridAfter w:val="4"/>
          <w:wAfter w:w="3521" w:type="dxa"/>
          <w:trHeight w:val="270"/>
          <w:jc w:val="center"/>
        </w:trPr>
        <w:tc>
          <w:tcPr>
            <w:tcW w:w="1040" w:type="dxa"/>
            <w:noWrap/>
            <w:vAlign w:val="bottom"/>
          </w:tcPr>
          <w:p w14:paraId="06B11F04" w14:textId="77777777" w:rsidR="00CD43C4" w:rsidRPr="00AE7B18" w:rsidRDefault="00CD43C4">
            <w:pPr>
              <w:rPr>
                <w:sz w:val="20"/>
                <w:szCs w:val="20"/>
                <w:highlight w:val="yellow"/>
                <w:lang w:eastAsia="hu-HU"/>
              </w:rPr>
            </w:pPr>
          </w:p>
        </w:tc>
        <w:tc>
          <w:tcPr>
            <w:tcW w:w="3292" w:type="dxa"/>
            <w:noWrap/>
            <w:vAlign w:val="bottom"/>
          </w:tcPr>
          <w:p w14:paraId="53FF8E6E" w14:textId="77777777" w:rsidR="00CD43C4" w:rsidRPr="00AE7B18" w:rsidRDefault="00CD43C4">
            <w:pPr>
              <w:rPr>
                <w:sz w:val="20"/>
                <w:szCs w:val="20"/>
                <w:highlight w:val="yellow"/>
                <w:lang w:eastAsia="hu-HU"/>
              </w:rPr>
            </w:pPr>
          </w:p>
        </w:tc>
        <w:tc>
          <w:tcPr>
            <w:tcW w:w="1219" w:type="dxa"/>
            <w:shd w:val="clear" w:color="auto" w:fill="FFFFFF"/>
            <w:noWrap/>
            <w:vAlign w:val="bottom"/>
          </w:tcPr>
          <w:p w14:paraId="0E07F1B9" w14:textId="77777777" w:rsidR="00CD43C4" w:rsidRPr="00AE7B18" w:rsidRDefault="00CD43C4">
            <w:pPr>
              <w:ind w:firstLineChars="300" w:firstLine="540"/>
              <w:rPr>
                <w:rFonts w:ascii="Calibri" w:hAnsi="Calibri" w:cs="Calibri"/>
                <w:b/>
                <w:bCs/>
                <w:color w:val="000000"/>
                <w:sz w:val="18"/>
                <w:szCs w:val="18"/>
                <w:highlight w:val="yellow"/>
              </w:rPr>
            </w:pPr>
          </w:p>
        </w:tc>
      </w:tr>
    </w:tbl>
    <w:p w14:paraId="1892EE95" w14:textId="77777777" w:rsidR="006325C2" w:rsidRPr="00AE7B18" w:rsidRDefault="006325C2" w:rsidP="006325C2">
      <w:pPr>
        <w:spacing w:before="120"/>
        <w:jc w:val="both"/>
        <w:rPr>
          <w:rFonts w:ascii="Arial" w:hAnsi="Arial" w:cs="Arial"/>
          <w:sz w:val="22"/>
          <w:szCs w:val="22"/>
          <w:highlight w:val="yellow"/>
        </w:rPr>
      </w:pPr>
    </w:p>
    <w:p w14:paraId="57D786F8" w14:textId="4197145F" w:rsidR="006325C2" w:rsidRPr="00CD43C4" w:rsidRDefault="006325C2" w:rsidP="006325C2">
      <w:pPr>
        <w:spacing w:before="120"/>
        <w:jc w:val="both"/>
        <w:rPr>
          <w:rFonts w:ascii="Arial" w:hAnsi="Arial" w:cs="Arial"/>
          <w:sz w:val="22"/>
          <w:szCs w:val="22"/>
        </w:rPr>
      </w:pPr>
      <w:r w:rsidRPr="00CD43C4">
        <w:rPr>
          <w:rFonts w:ascii="Arial" w:hAnsi="Arial" w:cs="Arial"/>
          <w:sz w:val="22"/>
          <w:szCs w:val="22"/>
        </w:rPr>
        <w:t xml:space="preserve">Szintén a tartalékok között terveztünk be </w:t>
      </w:r>
      <w:r w:rsidR="00CD43C4" w:rsidRPr="00CD43C4">
        <w:rPr>
          <w:rFonts w:ascii="Arial" w:hAnsi="Arial" w:cs="Arial"/>
          <w:sz w:val="22"/>
          <w:szCs w:val="22"/>
        </w:rPr>
        <w:t>10 000 000</w:t>
      </w:r>
      <w:r w:rsidRPr="00CD43C4">
        <w:rPr>
          <w:rFonts w:ascii="Arial" w:hAnsi="Arial" w:cs="Arial"/>
          <w:sz w:val="22"/>
          <w:szCs w:val="22"/>
        </w:rPr>
        <w:t xml:space="preserve"> Ft általános tartalékot, annak érdekében, hogy vis major helyzet esetén azonnal tudjunk a gazdasági eseményre </w:t>
      </w:r>
      <w:proofErr w:type="gramStart"/>
      <w:r w:rsidRPr="00CD43C4">
        <w:rPr>
          <w:rFonts w:ascii="Arial" w:hAnsi="Arial" w:cs="Arial"/>
          <w:sz w:val="22"/>
          <w:szCs w:val="22"/>
        </w:rPr>
        <w:t>reagálni</w:t>
      </w:r>
      <w:proofErr w:type="gramEnd"/>
      <w:r w:rsidRPr="00CD43C4">
        <w:rPr>
          <w:rFonts w:ascii="Arial" w:hAnsi="Arial" w:cs="Arial"/>
          <w:sz w:val="22"/>
          <w:szCs w:val="22"/>
        </w:rPr>
        <w:t>.</w:t>
      </w:r>
    </w:p>
    <w:p w14:paraId="0261C4D2" w14:textId="77777777" w:rsidR="006325C2" w:rsidRPr="00AE7B18" w:rsidRDefault="006325C2" w:rsidP="006325C2">
      <w:pPr>
        <w:spacing w:before="120"/>
        <w:jc w:val="both"/>
        <w:rPr>
          <w:rFonts w:ascii="Arial" w:hAnsi="Arial" w:cs="Arial"/>
          <w:sz w:val="22"/>
          <w:szCs w:val="22"/>
          <w:highlight w:val="yellow"/>
          <w:u w:val="single"/>
        </w:rPr>
      </w:pPr>
    </w:p>
    <w:p w14:paraId="7BC84EE7" w14:textId="00F88F51" w:rsidR="006325C2" w:rsidRPr="00CD43C4" w:rsidRDefault="006325C2" w:rsidP="006325C2">
      <w:pPr>
        <w:spacing w:before="120"/>
        <w:jc w:val="both"/>
        <w:rPr>
          <w:rFonts w:ascii="Arial" w:hAnsi="Arial" w:cs="Arial"/>
          <w:sz w:val="22"/>
          <w:szCs w:val="22"/>
          <w:u w:val="single"/>
        </w:rPr>
      </w:pPr>
      <w:r w:rsidRPr="00CD43C4">
        <w:rPr>
          <w:rFonts w:ascii="Arial" w:hAnsi="Arial" w:cs="Arial"/>
          <w:sz w:val="22"/>
          <w:szCs w:val="22"/>
          <w:u w:val="single"/>
        </w:rPr>
        <w:t xml:space="preserve">Felhalmozási költségvetés kiadásai </w:t>
      </w:r>
      <w:r w:rsidR="008D1622">
        <w:rPr>
          <w:rFonts w:ascii="Arial" w:hAnsi="Arial" w:cs="Arial"/>
          <w:sz w:val="22"/>
          <w:szCs w:val="22"/>
          <w:u w:val="single"/>
        </w:rPr>
        <w:t xml:space="preserve">előirányzata </w:t>
      </w:r>
      <w:r w:rsidRPr="00CD43C4">
        <w:rPr>
          <w:rFonts w:ascii="Arial" w:hAnsi="Arial" w:cs="Arial"/>
          <w:sz w:val="22"/>
          <w:szCs w:val="22"/>
        </w:rPr>
        <w:t xml:space="preserve">összesen </w:t>
      </w:r>
      <w:r w:rsidR="00CD43C4" w:rsidRPr="00CD43C4">
        <w:rPr>
          <w:rFonts w:ascii="Arial" w:hAnsi="Arial" w:cs="Arial"/>
          <w:sz w:val="22"/>
          <w:szCs w:val="22"/>
        </w:rPr>
        <w:t>157 563 979</w:t>
      </w:r>
      <w:r w:rsidRPr="00CD43C4">
        <w:rPr>
          <w:rFonts w:ascii="Arial" w:hAnsi="Arial" w:cs="Arial"/>
          <w:sz w:val="22"/>
          <w:szCs w:val="22"/>
        </w:rPr>
        <w:t xml:space="preserve"> Ft</w:t>
      </w:r>
    </w:p>
    <w:p w14:paraId="4E87F0FA" w14:textId="22F80346" w:rsidR="006325C2" w:rsidRPr="00161E33" w:rsidRDefault="006325C2" w:rsidP="006325C2">
      <w:pPr>
        <w:spacing w:before="120"/>
        <w:jc w:val="both"/>
        <w:rPr>
          <w:rFonts w:ascii="Arial" w:hAnsi="Arial" w:cs="Arial"/>
          <w:i/>
          <w:sz w:val="22"/>
          <w:szCs w:val="22"/>
        </w:rPr>
      </w:pPr>
      <w:r w:rsidRPr="004C5585">
        <w:rPr>
          <w:rFonts w:ascii="Arial" w:hAnsi="Arial" w:cs="Arial"/>
          <w:sz w:val="22"/>
          <w:szCs w:val="22"/>
        </w:rPr>
        <w:t>A</w:t>
      </w:r>
      <w:r w:rsidR="0059334A" w:rsidRPr="004C5585">
        <w:rPr>
          <w:rFonts w:ascii="Arial" w:hAnsi="Arial" w:cs="Arial"/>
          <w:sz w:val="22"/>
          <w:szCs w:val="22"/>
        </w:rPr>
        <w:t>lapvetően a</w:t>
      </w:r>
      <w:r w:rsidRPr="004C5585">
        <w:rPr>
          <w:rFonts w:ascii="Arial" w:hAnsi="Arial" w:cs="Arial"/>
          <w:sz w:val="22"/>
          <w:szCs w:val="22"/>
        </w:rPr>
        <w:t xml:space="preserve"> pályázatok </w:t>
      </w:r>
      <w:r w:rsidR="004C5585" w:rsidRPr="004C5585">
        <w:rPr>
          <w:rFonts w:ascii="Arial" w:hAnsi="Arial" w:cs="Arial"/>
          <w:sz w:val="22"/>
          <w:szCs w:val="22"/>
        </w:rPr>
        <w:t xml:space="preserve">összefüggő, folyamatban lévő beruházások </w:t>
      </w:r>
      <w:r w:rsidRPr="004C5585">
        <w:rPr>
          <w:rFonts w:ascii="Arial" w:hAnsi="Arial" w:cs="Arial"/>
          <w:sz w:val="22"/>
          <w:szCs w:val="22"/>
        </w:rPr>
        <w:t>kiadási vonzat</w:t>
      </w:r>
      <w:r w:rsidR="00161E33" w:rsidRPr="004C5585">
        <w:rPr>
          <w:rFonts w:ascii="Arial" w:hAnsi="Arial" w:cs="Arial"/>
          <w:sz w:val="22"/>
          <w:szCs w:val="22"/>
        </w:rPr>
        <w:t>ai kerültek betervez</w:t>
      </w:r>
      <w:r w:rsidR="00354E5A" w:rsidRPr="004C5585">
        <w:rPr>
          <w:rFonts w:ascii="Arial" w:hAnsi="Arial" w:cs="Arial"/>
          <w:sz w:val="22"/>
          <w:szCs w:val="22"/>
        </w:rPr>
        <w:t xml:space="preserve">ésre, </w:t>
      </w:r>
      <w:r w:rsidR="004C5585" w:rsidRPr="004C5585">
        <w:rPr>
          <w:rFonts w:ascii="Arial" w:hAnsi="Arial" w:cs="Arial"/>
          <w:sz w:val="22"/>
          <w:szCs w:val="22"/>
        </w:rPr>
        <w:t xml:space="preserve">továbbá a már előző évben hozott testületi döntések forrásigényét szerepeltettük. A temető belső út VI. ütemére 1 </w:t>
      </w:r>
      <w:r w:rsidR="004C5585">
        <w:rPr>
          <w:rFonts w:ascii="Arial" w:hAnsi="Arial" w:cs="Arial"/>
          <w:sz w:val="22"/>
          <w:szCs w:val="22"/>
        </w:rPr>
        <w:t>millió Ft kiadással számoltunk,</w:t>
      </w:r>
      <w:r w:rsidR="004C5585" w:rsidRPr="004C5585">
        <w:rPr>
          <w:rFonts w:ascii="Arial" w:hAnsi="Arial" w:cs="Arial"/>
          <w:sz w:val="22"/>
          <w:szCs w:val="22"/>
        </w:rPr>
        <w:t xml:space="preserve"> emellett kisebb fedezetigénnyel </w:t>
      </w:r>
      <w:r w:rsidRPr="004C5585">
        <w:rPr>
          <w:rFonts w:ascii="Arial" w:hAnsi="Arial" w:cs="Arial"/>
          <w:sz w:val="22"/>
          <w:szCs w:val="22"/>
        </w:rPr>
        <w:t>a könyvtár részére vásárolt könyvek</w:t>
      </w:r>
      <w:r w:rsidR="00161E33" w:rsidRPr="004C5585">
        <w:rPr>
          <w:rFonts w:ascii="Arial" w:hAnsi="Arial" w:cs="Arial"/>
          <w:sz w:val="22"/>
          <w:szCs w:val="22"/>
        </w:rPr>
        <w:t>re</w:t>
      </w:r>
      <w:r w:rsidR="004C5585" w:rsidRPr="004C5585">
        <w:rPr>
          <w:rFonts w:ascii="Arial" w:hAnsi="Arial" w:cs="Arial"/>
          <w:sz w:val="22"/>
          <w:szCs w:val="22"/>
        </w:rPr>
        <w:t>,</w:t>
      </w:r>
      <w:r w:rsidR="00354E5A" w:rsidRPr="004C5585">
        <w:rPr>
          <w:rFonts w:ascii="Arial" w:hAnsi="Arial" w:cs="Arial"/>
          <w:sz w:val="22"/>
          <w:szCs w:val="22"/>
        </w:rPr>
        <w:t xml:space="preserve"> a háziorvosi körzetben és a </w:t>
      </w:r>
      <w:proofErr w:type="gramStart"/>
      <w:r w:rsidR="00354E5A" w:rsidRPr="004C5585">
        <w:rPr>
          <w:rFonts w:ascii="Arial" w:hAnsi="Arial" w:cs="Arial"/>
          <w:sz w:val="22"/>
          <w:szCs w:val="22"/>
        </w:rPr>
        <w:t>KÖH-</w:t>
      </w:r>
      <w:proofErr w:type="spellStart"/>
      <w:r w:rsidR="00354E5A" w:rsidRPr="004C5585">
        <w:rPr>
          <w:rFonts w:ascii="Arial" w:hAnsi="Arial" w:cs="Arial"/>
          <w:sz w:val="22"/>
          <w:szCs w:val="22"/>
        </w:rPr>
        <w:t>nél</w:t>
      </w:r>
      <w:proofErr w:type="spellEnd"/>
      <w:r w:rsidR="00354E5A" w:rsidRPr="004C5585">
        <w:rPr>
          <w:rFonts w:ascii="Arial" w:hAnsi="Arial" w:cs="Arial"/>
          <w:sz w:val="22"/>
          <w:szCs w:val="22"/>
        </w:rPr>
        <w:t xml:space="preserve">  </w:t>
      </w:r>
      <w:r w:rsidR="004C5585" w:rsidRPr="004C5585">
        <w:rPr>
          <w:rFonts w:ascii="Arial" w:hAnsi="Arial" w:cs="Arial"/>
          <w:sz w:val="22"/>
          <w:szCs w:val="22"/>
        </w:rPr>
        <w:t>számítógép</w:t>
      </w:r>
      <w:proofErr w:type="gramEnd"/>
      <w:r w:rsidR="004C5585" w:rsidRPr="004C5585">
        <w:rPr>
          <w:rFonts w:ascii="Arial" w:hAnsi="Arial" w:cs="Arial"/>
          <w:sz w:val="22"/>
          <w:szCs w:val="22"/>
        </w:rPr>
        <w:t xml:space="preserve"> beszerzésre illetve bővítésre tartalmaz fedezetet a rendelet-tervezet.</w:t>
      </w:r>
      <w:r w:rsidR="00161E33" w:rsidRPr="004C5585">
        <w:rPr>
          <w:rFonts w:ascii="Arial" w:hAnsi="Arial" w:cs="Arial"/>
          <w:sz w:val="22"/>
          <w:szCs w:val="22"/>
        </w:rPr>
        <w:t xml:space="preserve"> (</w:t>
      </w:r>
      <w:r w:rsidRPr="004C5585">
        <w:rPr>
          <w:rFonts w:ascii="Arial" w:hAnsi="Arial" w:cs="Arial"/>
          <w:sz w:val="22"/>
          <w:szCs w:val="22"/>
        </w:rPr>
        <w:t>6</w:t>
      </w:r>
      <w:proofErr w:type="gramStart"/>
      <w:r w:rsidRPr="004C5585">
        <w:rPr>
          <w:rFonts w:ascii="Arial" w:hAnsi="Arial" w:cs="Arial"/>
          <w:sz w:val="22"/>
          <w:szCs w:val="22"/>
        </w:rPr>
        <w:t>.sz.</w:t>
      </w:r>
      <w:proofErr w:type="gramEnd"/>
      <w:r w:rsidRPr="004C5585">
        <w:rPr>
          <w:rFonts w:ascii="Arial" w:hAnsi="Arial" w:cs="Arial"/>
          <w:sz w:val="22"/>
          <w:szCs w:val="22"/>
        </w:rPr>
        <w:t xml:space="preserve"> melléklet.</w:t>
      </w:r>
      <w:r w:rsidR="00161E33" w:rsidRPr="004C5585">
        <w:rPr>
          <w:rFonts w:ascii="Arial" w:hAnsi="Arial" w:cs="Arial"/>
          <w:sz w:val="22"/>
          <w:szCs w:val="22"/>
        </w:rPr>
        <w:t>)</w:t>
      </w:r>
    </w:p>
    <w:p w14:paraId="5034775E" w14:textId="77777777" w:rsidR="006325C2" w:rsidRPr="00161E33" w:rsidRDefault="006325C2" w:rsidP="006325C2">
      <w:pPr>
        <w:spacing w:before="120"/>
        <w:jc w:val="both"/>
        <w:rPr>
          <w:rFonts w:ascii="Arial" w:hAnsi="Arial" w:cs="Arial"/>
          <w:i/>
          <w:sz w:val="22"/>
          <w:szCs w:val="22"/>
        </w:rPr>
      </w:pPr>
    </w:p>
    <w:tbl>
      <w:tblPr>
        <w:tblW w:w="10923" w:type="dxa"/>
        <w:tblInd w:w="-415" w:type="dxa"/>
        <w:tblLayout w:type="fixed"/>
        <w:tblCellMar>
          <w:left w:w="70" w:type="dxa"/>
          <w:right w:w="70" w:type="dxa"/>
        </w:tblCellMar>
        <w:tblLook w:val="04A0" w:firstRow="1" w:lastRow="0" w:firstColumn="1" w:lastColumn="0" w:noHBand="0" w:noVBand="1"/>
      </w:tblPr>
      <w:tblGrid>
        <w:gridCol w:w="9314"/>
        <w:gridCol w:w="160"/>
        <w:gridCol w:w="160"/>
        <w:gridCol w:w="160"/>
        <w:gridCol w:w="160"/>
        <w:gridCol w:w="941"/>
        <w:gridCol w:w="28"/>
      </w:tblGrid>
      <w:tr w:rsidR="006325C2" w:rsidRPr="00AE7B18" w14:paraId="73060C1F" w14:textId="77777777" w:rsidTr="00CD43C4">
        <w:trPr>
          <w:gridAfter w:val="1"/>
          <w:wAfter w:w="28" w:type="dxa"/>
          <w:trHeight w:val="405"/>
        </w:trPr>
        <w:tc>
          <w:tcPr>
            <w:tcW w:w="10895" w:type="dxa"/>
            <w:gridSpan w:val="6"/>
            <w:vAlign w:val="center"/>
            <w:hideMark/>
          </w:tcPr>
          <w:p w14:paraId="07D4351B" w14:textId="77777777" w:rsidR="006325C2" w:rsidRPr="00AE7B18" w:rsidRDefault="006325C2">
            <w:pPr>
              <w:jc w:val="center"/>
              <w:rPr>
                <w:rFonts w:ascii="Times New Roman CE" w:hAnsi="Times New Roman CE" w:cs="Times New Roman CE"/>
                <w:b/>
                <w:bCs/>
                <w:sz w:val="18"/>
                <w:szCs w:val="18"/>
                <w:highlight w:val="yellow"/>
                <w:lang w:eastAsia="hu-HU"/>
              </w:rPr>
            </w:pPr>
            <w:r w:rsidRPr="00CD43C4">
              <w:rPr>
                <w:rFonts w:ascii="Times New Roman CE" w:hAnsi="Times New Roman CE" w:cs="Times New Roman CE"/>
                <w:b/>
                <w:bCs/>
                <w:sz w:val="18"/>
                <w:szCs w:val="18"/>
              </w:rPr>
              <w:t>Beruházási (felhalmozási) kiadások előirányzata beruházásonként</w:t>
            </w:r>
          </w:p>
        </w:tc>
      </w:tr>
      <w:tr w:rsidR="00CD43C4" w:rsidRPr="00AE7B18" w14:paraId="3AF7DE23" w14:textId="77777777" w:rsidTr="00CD43C4">
        <w:trPr>
          <w:gridAfter w:val="2"/>
          <w:wAfter w:w="971" w:type="dxa"/>
          <w:trHeight w:val="405"/>
        </w:trPr>
        <w:tc>
          <w:tcPr>
            <w:tcW w:w="9340" w:type="dxa"/>
            <w:vAlign w:val="center"/>
            <w:hideMark/>
          </w:tcPr>
          <w:tbl>
            <w:tblPr>
              <w:tblW w:w="9470" w:type="dxa"/>
              <w:jc w:val="center"/>
              <w:tblLayout w:type="fixed"/>
              <w:tblCellMar>
                <w:left w:w="70" w:type="dxa"/>
                <w:right w:w="70" w:type="dxa"/>
              </w:tblCellMar>
              <w:tblLook w:val="04A0" w:firstRow="1" w:lastRow="0" w:firstColumn="1" w:lastColumn="0" w:noHBand="0" w:noVBand="1"/>
            </w:tblPr>
            <w:tblGrid>
              <w:gridCol w:w="9470"/>
            </w:tblGrid>
            <w:tr w:rsidR="00CD43C4" w:rsidRPr="00CD43C4" w14:paraId="516BF1A4" w14:textId="77777777" w:rsidTr="007F7A97">
              <w:trPr>
                <w:trHeight w:val="465"/>
                <w:jc w:val="center"/>
              </w:trPr>
              <w:tc>
                <w:tcPr>
                  <w:tcW w:w="992" w:type="dxa"/>
                  <w:vAlign w:val="center"/>
                  <w:hideMark/>
                </w:tcPr>
                <w:p w14:paraId="1EA8EBD4" w14:textId="77777777" w:rsidR="00CD43C4" w:rsidRPr="00CD43C4" w:rsidRDefault="00CD43C4" w:rsidP="00CD43C4">
                  <w:pPr>
                    <w:jc w:val="right"/>
                    <w:rPr>
                      <w:rFonts w:ascii="Times New Roman CE" w:hAnsi="Times New Roman CE" w:cs="Times New Roman CE"/>
                      <w:b/>
                      <w:bCs/>
                      <w:i/>
                      <w:iCs/>
                      <w:sz w:val="20"/>
                      <w:szCs w:val="20"/>
                    </w:rPr>
                  </w:pPr>
                  <w:r w:rsidRPr="00CD43C4">
                    <w:rPr>
                      <w:rFonts w:ascii="Times New Roman CE" w:hAnsi="Times New Roman CE" w:cs="Times New Roman CE"/>
                      <w:b/>
                      <w:bCs/>
                      <w:i/>
                      <w:iCs/>
                      <w:sz w:val="20"/>
                      <w:szCs w:val="20"/>
                    </w:rPr>
                    <w:t>Forintban</w:t>
                  </w:r>
                </w:p>
              </w:tc>
            </w:tr>
          </w:tbl>
          <w:p w14:paraId="4A0BEDC2" w14:textId="77777777" w:rsidR="00CD43C4" w:rsidRPr="00AE7B18" w:rsidRDefault="00CD43C4">
            <w:pPr>
              <w:rPr>
                <w:rFonts w:ascii="Times New Roman CE" w:hAnsi="Times New Roman CE" w:cs="Times New Roman CE"/>
                <w:b/>
                <w:bCs/>
                <w:sz w:val="18"/>
                <w:szCs w:val="18"/>
                <w:highlight w:val="yellow"/>
                <w:lang w:eastAsia="hu-HU"/>
              </w:rPr>
            </w:pPr>
          </w:p>
        </w:tc>
        <w:tc>
          <w:tcPr>
            <w:tcW w:w="146" w:type="dxa"/>
            <w:vAlign w:val="center"/>
            <w:hideMark/>
          </w:tcPr>
          <w:p w14:paraId="46AD05EA" w14:textId="77777777" w:rsidR="00CD43C4" w:rsidRPr="00AE7B18" w:rsidRDefault="00CD43C4">
            <w:pPr>
              <w:rPr>
                <w:sz w:val="20"/>
                <w:szCs w:val="20"/>
                <w:highlight w:val="yellow"/>
                <w:lang w:eastAsia="hu-HU"/>
              </w:rPr>
            </w:pPr>
          </w:p>
        </w:tc>
        <w:tc>
          <w:tcPr>
            <w:tcW w:w="160" w:type="dxa"/>
            <w:vAlign w:val="center"/>
            <w:hideMark/>
          </w:tcPr>
          <w:p w14:paraId="76C8C50F" w14:textId="77777777" w:rsidR="00CD43C4" w:rsidRPr="00AE7B18" w:rsidRDefault="00CD43C4">
            <w:pPr>
              <w:rPr>
                <w:sz w:val="20"/>
                <w:szCs w:val="20"/>
                <w:highlight w:val="yellow"/>
                <w:lang w:eastAsia="hu-HU"/>
              </w:rPr>
            </w:pPr>
          </w:p>
        </w:tc>
        <w:tc>
          <w:tcPr>
            <w:tcW w:w="160" w:type="dxa"/>
            <w:vAlign w:val="center"/>
            <w:hideMark/>
          </w:tcPr>
          <w:p w14:paraId="0F3CD59A" w14:textId="77777777" w:rsidR="00CD43C4" w:rsidRPr="00AE7B18" w:rsidRDefault="00CD43C4">
            <w:pPr>
              <w:rPr>
                <w:sz w:val="20"/>
                <w:szCs w:val="20"/>
                <w:highlight w:val="yellow"/>
                <w:lang w:eastAsia="hu-HU"/>
              </w:rPr>
            </w:pPr>
          </w:p>
        </w:tc>
        <w:tc>
          <w:tcPr>
            <w:tcW w:w="146" w:type="dxa"/>
            <w:vAlign w:val="center"/>
            <w:hideMark/>
          </w:tcPr>
          <w:p w14:paraId="2BDB1FE1" w14:textId="77777777" w:rsidR="00CD43C4" w:rsidRPr="00AE7B18" w:rsidRDefault="00CD43C4">
            <w:pPr>
              <w:rPr>
                <w:sz w:val="20"/>
                <w:szCs w:val="20"/>
                <w:highlight w:val="yellow"/>
                <w:lang w:eastAsia="hu-HU"/>
              </w:rPr>
            </w:pPr>
          </w:p>
        </w:tc>
      </w:tr>
      <w:tr w:rsidR="00CD43C4" w:rsidRPr="00AE7B18" w14:paraId="399184E5" w14:textId="77777777" w:rsidTr="00CD43C4">
        <w:trPr>
          <w:trHeight w:val="405"/>
        </w:trPr>
        <w:tc>
          <w:tcPr>
            <w:tcW w:w="9340" w:type="dxa"/>
            <w:vAlign w:val="center"/>
          </w:tcPr>
          <w:p w14:paraId="1969C607" w14:textId="77777777" w:rsidR="00CD43C4" w:rsidRDefault="00CD43C4">
            <w:pPr>
              <w:rPr>
                <w:rFonts w:ascii="Times New Roman CE" w:hAnsi="Times New Roman CE" w:cs="Times New Roman CE"/>
                <w:b/>
                <w:bCs/>
                <w:sz w:val="18"/>
                <w:szCs w:val="18"/>
                <w:highlight w:val="yellow"/>
                <w:lang w:eastAsia="hu-HU"/>
              </w:rPr>
            </w:pPr>
          </w:p>
          <w:tbl>
            <w:tblPr>
              <w:tblW w:w="9180" w:type="dxa"/>
              <w:tblLayout w:type="fixed"/>
              <w:tblCellMar>
                <w:left w:w="70" w:type="dxa"/>
                <w:right w:w="70" w:type="dxa"/>
              </w:tblCellMar>
              <w:tblLook w:val="04A0" w:firstRow="1" w:lastRow="0" w:firstColumn="1" w:lastColumn="0" w:noHBand="0" w:noVBand="1"/>
            </w:tblPr>
            <w:tblGrid>
              <w:gridCol w:w="3060"/>
              <w:gridCol w:w="1180"/>
              <w:gridCol w:w="1240"/>
              <w:gridCol w:w="1260"/>
              <w:gridCol w:w="1220"/>
              <w:gridCol w:w="1220"/>
            </w:tblGrid>
            <w:tr w:rsidR="00CD43C4" w14:paraId="3E1F2996" w14:textId="77777777" w:rsidTr="00CD43C4">
              <w:trPr>
                <w:trHeight w:val="889"/>
              </w:trPr>
              <w:tc>
                <w:tcPr>
                  <w:tcW w:w="3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7E6942" w14:textId="77777777" w:rsidR="00CD43C4" w:rsidRDefault="00CD43C4" w:rsidP="00CD43C4">
                  <w:pPr>
                    <w:jc w:val="center"/>
                    <w:rPr>
                      <w:rFonts w:ascii="Times New Roman CE" w:hAnsi="Times New Roman CE" w:cs="Times New Roman CE"/>
                      <w:b/>
                      <w:bCs/>
                      <w:sz w:val="18"/>
                      <w:szCs w:val="18"/>
                      <w:lang w:eastAsia="hu-HU"/>
                    </w:rPr>
                  </w:pPr>
                  <w:proofErr w:type="gramStart"/>
                  <w:r>
                    <w:rPr>
                      <w:rFonts w:ascii="Times New Roman CE" w:hAnsi="Times New Roman CE" w:cs="Times New Roman CE"/>
                      <w:b/>
                      <w:bCs/>
                      <w:sz w:val="18"/>
                      <w:szCs w:val="18"/>
                    </w:rPr>
                    <w:t>Beruházás  megnevezése</w:t>
                  </w:r>
                  <w:proofErr w:type="gramEnd"/>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4298E2BE" w14:textId="77777777" w:rsidR="00CD43C4" w:rsidRDefault="00CD43C4" w:rsidP="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Teljes költség</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7E3F5DB9" w14:textId="77777777" w:rsidR="00CD43C4" w:rsidRDefault="00CD43C4" w:rsidP="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Kivitelezés kezdési és befejezési éve</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14:paraId="5FFB8614" w14:textId="77777777" w:rsidR="00CD43C4" w:rsidRDefault="00CD43C4" w:rsidP="00CD43C4">
                  <w:pPr>
                    <w:jc w:val="center"/>
                    <w:rPr>
                      <w:rFonts w:ascii="Times New Roman CE" w:hAnsi="Times New Roman CE" w:cs="Times New Roman CE"/>
                      <w:b/>
                      <w:bCs/>
                      <w:sz w:val="18"/>
                      <w:szCs w:val="18"/>
                    </w:rPr>
                  </w:pPr>
                  <w:proofErr w:type="gramStart"/>
                  <w:r>
                    <w:rPr>
                      <w:rFonts w:ascii="Times New Roman CE" w:hAnsi="Times New Roman CE" w:cs="Times New Roman CE"/>
                      <w:b/>
                      <w:bCs/>
                      <w:sz w:val="18"/>
                      <w:szCs w:val="18"/>
                    </w:rPr>
                    <w:t>Felhasználás   2022.</w:t>
                  </w:r>
                  <w:proofErr w:type="gramEnd"/>
                  <w:r>
                    <w:rPr>
                      <w:rFonts w:ascii="Times New Roman CE" w:hAnsi="Times New Roman CE" w:cs="Times New Roman CE"/>
                      <w:b/>
                      <w:bCs/>
                      <w:sz w:val="18"/>
                      <w:szCs w:val="18"/>
                    </w:rPr>
                    <w:t xml:space="preserve"> XII. 31-ig</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4F53A17B" w14:textId="77777777" w:rsidR="00CD43C4" w:rsidRDefault="00CD43C4" w:rsidP="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2023. évi előirányzat</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5666BAF5" w14:textId="77777777" w:rsidR="00CD43C4" w:rsidRDefault="00CD43C4" w:rsidP="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2023. utáni szükséglet</w:t>
                  </w:r>
                </w:p>
              </w:tc>
            </w:tr>
            <w:tr w:rsidR="00CD43C4" w14:paraId="75C17C33" w14:textId="77777777" w:rsidTr="00CD43C4">
              <w:trPr>
                <w:trHeight w:val="240"/>
              </w:trPr>
              <w:tc>
                <w:tcPr>
                  <w:tcW w:w="3060" w:type="dxa"/>
                  <w:tcBorders>
                    <w:top w:val="nil"/>
                    <w:left w:val="single" w:sz="8" w:space="0" w:color="auto"/>
                    <w:bottom w:val="single" w:sz="8" w:space="0" w:color="auto"/>
                    <w:right w:val="single" w:sz="4" w:space="0" w:color="auto"/>
                  </w:tcBorders>
                  <w:shd w:val="clear" w:color="auto" w:fill="auto"/>
                  <w:vAlign w:val="center"/>
                  <w:hideMark/>
                </w:tcPr>
                <w:p w14:paraId="4C8B3E80" w14:textId="77777777" w:rsidR="00CD43C4" w:rsidRDefault="00CD43C4" w:rsidP="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A</w:t>
                  </w:r>
                </w:p>
              </w:tc>
              <w:tc>
                <w:tcPr>
                  <w:tcW w:w="1180" w:type="dxa"/>
                  <w:tcBorders>
                    <w:top w:val="nil"/>
                    <w:left w:val="nil"/>
                    <w:bottom w:val="single" w:sz="8" w:space="0" w:color="auto"/>
                    <w:right w:val="single" w:sz="4" w:space="0" w:color="auto"/>
                  </w:tcBorders>
                  <w:shd w:val="clear" w:color="auto" w:fill="auto"/>
                  <w:vAlign w:val="center"/>
                  <w:hideMark/>
                </w:tcPr>
                <w:p w14:paraId="14E99AA1" w14:textId="77777777" w:rsidR="00CD43C4" w:rsidRDefault="00CD43C4" w:rsidP="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B</w:t>
                  </w:r>
                </w:p>
              </w:tc>
              <w:tc>
                <w:tcPr>
                  <w:tcW w:w="1240" w:type="dxa"/>
                  <w:tcBorders>
                    <w:top w:val="nil"/>
                    <w:left w:val="nil"/>
                    <w:bottom w:val="single" w:sz="8" w:space="0" w:color="auto"/>
                    <w:right w:val="single" w:sz="4" w:space="0" w:color="auto"/>
                  </w:tcBorders>
                  <w:shd w:val="clear" w:color="auto" w:fill="auto"/>
                  <w:vAlign w:val="center"/>
                  <w:hideMark/>
                </w:tcPr>
                <w:p w14:paraId="60DDDC11" w14:textId="77777777" w:rsidR="00CD43C4" w:rsidRDefault="00CD43C4" w:rsidP="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C</w:t>
                  </w:r>
                </w:p>
              </w:tc>
              <w:tc>
                <w:tcPr>
                  <w:tcW w:w="1260" w:type="dxa"/>
                  <w:tcBorders>
                    <w:top w:val="nil"/>
                    <w:left w:val="nil"/>
                    <w:bottom w:val="single" w:sz="8" w:space="0" w:color="auto"/>
                    <w:right w:val="single" w:sz="4" w:space="0" w:color="auto"/>
                  </w:tcBorders>
                  <w:shd w:val="clear" w:color="auto" w:fill="auto"/>
                  <w:vAlign w:val="center"/>
                  <w:hideMark/>
                </w:tcPr>
                <w:p w14:paraId="3A506040" w14:textId="77777777" w:rsidR="00CD43C4" w:rsidRDefault="00CD43C4" w:rsidP="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D</w:t>
                  </w:r>
                </w:p>
              </w:tc>
              <w:tc>
                <w:tcPr>
                  <w:tcW w:w="1220" w:type="dxa"/>
                  <w:tcBorders>
                    <w:top w:val="nil"/>
                    <w:left w:val="nil"/>
                    <w:bottom w:val="single" w:sz="8" w:space="0" w:color="auto"/>
                    <w:right w:val="single" w:sz="4" w:space="0" w:color="auto"/>
                  </w:tcBorders>
                  <w:shd w:val="clear" w:color="auto" w:fill="auto"/>
                  <w:vAlign w:val="center"/>
                  <w:hideMark/>
                </w:tcPr>
                <w:p w14:paraId="38895C8E" w14:textId="77777777" w:rsidR="00CD43C4" w:rsidRDefault="00CD43C4" w:rsidP="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E</w:t>
                  </w:r>
                </w:p>
              </w:tc>
              <w:tc>
                <w:tcPr>
                  <w:tcW w:w="1220" w:type="dxa"/>
                  <w:tcBorders>
                    <w:top w:val="nil"/>
                    <w:left w:val="nil"/>
                    <w:bottom w:val="single" w:sz="8" w:space="0" w:color="auto"/>
                    <w:right w:val="single" w:sz="8" w:space="0" w:color="auto"/>
                  </w:tcBorders>
                  <w:shd w:val="clear" w:color="auto" w:fill="auto"/>
                  <w:vAlign w:val="center"/>
                  <w:hideMark/>
                </w:tcPr>
                <w:p w14:paraId="08B07D3F" w14:textId="77777777" w:rsidR="00CD43C4" w:rsidRDefault="00CD43C4" w:rsidP="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F=(B-D-E)</w:t>
                  </w:r>
                </w:p>
              </w:tc>
            </w:tr>
            <w:tr w:rsidR="00CD43C4" w14:paraId="74510C9F" w14:textId="77777777" w:rsidTr="00CD43C4">
              <w:trPr>
                <w:trHeight w:val="319"/>
              </w:trPr>
              <w:tc>
                <w:tcPr>
                  <w:tcW w:w="30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C6B813"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VP6-7.2.1-20 Helyi piac fejlesztése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4907B01"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148 492 297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5CBC7DB"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2021-2023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5BEE504"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8 560 800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76496BA"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139 931 497</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68F75A53"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26F0302C" w14:textId="77777777" w:rsidTr="00CD43C4">
              <w:trPr>
                <w:trHeight w:val="319"/>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645E343C"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Egyéb gép, berendezés</w:t>
                  </w:r>
                </w:p>
              </w:tc>
              <w:tc>
                <w:tcPr>
                  <w:tcW w:w="1180" w:type="dxa"/>
                  <w:tcBorders>
                    <w:top w:val="nil"/>
                    <w:left w:val="nil"/>
                    <w:bottom w:val="single" w:sz="4" w:space="0" w:color="auto"/>
                    <w:right w:val="single" w:sz="4" w:space="0" w:color="auto"/>
                  </w:tcBorders>
                  <w:shd w:val="clear" w:color="auto" w:fill="auto"/>
                  <w:vAlign w:val="center"/>
                  <w:hideMark/>
                </w:tcPr>
                <w:p w14:paraId="0D06C109"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300 000</w:t>
                  </w:r>
                </w:p>
              </w:tc>
              <w:tc>
                <w:tcPr>
                  <w:tcW w:w="1240" w:type="dxa"/>
                  <w:tcBorders>
                    <w:top w:val="nil"/>
                    <w:left w:val="nil"/>
                    <w:bottom w:val="single" w:sz="4" w:space="0" w:color="auto"/>
                    <w:right w:val="single" w:sz="4" w:space="0" w:color="auto"/>
                  </w:tcBorders>
                  <w:shd w:val="clear" w:color="auto" w:fill="auto"/>
                  <w:vAlign w:val="center"/>
                  <w:hideMark/>
                </w:tcPr>
                <w:p w14:paraId="57282493"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2023</w:t>
                  </w:r>
                </w:p>
              </w:tc>
              <w:tc>
                <w:tcPr>
                  <w:tcW w:w="1260" w:type="dxa"/>
                  <w:tcBorders>
                    <w:top w:val="nil"/>
                    <w:left w:val="nil"/>
                    <w:bottom w:val="single" w:sz="4" w:space="0" w:color="auto"/>
                    <w:right w:val="single" w:sz="4" w:space="0" w:color="auto"/>
                  </w:tcBorders>
                  <w:shd w:val="clear" w:color="auto" w:fill="auto"/>
                  <w:vAlign w:val="center"/>
                  <w:hideMark/>
                </w:tcPr>
                <w:p w14:paraId="3A0FFEFC"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14:paraId="12B5CC63"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300 000</w:t>
                  </w:r>
                </w:p>
              </w:tc>
              <w:tc>
                <w:tcPr>
                  <w:tcW w:w="1220" w:type="dxa"/>
                  <w:tcBorders>
                    <w:top w:val="nil"/>
                    <w:left w:val="nil"/>
                    <w:bottom w:val="single" w:sz="4" w:space="0" w:color="auto"/>
                    <w:right w:val="single" w:sz="8" w:space="0" w:color="auto"/>
                  </w:tcBorders>
                  <w:shd w:val="clear" w:color="auto" w:fill="auto"/>
                  <w:vAlign w:val="center"/>
                  <w:hideMark/>
                </w:tcPr>
                <w:p w14:paraId="636EA656"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29DBEE11" w14:textId="77777777" w:rsidTr="00CD43C4">
              <w:trPr>
                <w:trHeight w:val="450"/>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6774D648"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140/2021 Ipari parkban lévő földárok nyomvonalának megvált.</w:t>
                  </w:r>
                </w:p>
              </w:tc>
              <w:tc>
                <w:tcPr>
                  <w:tcW w:w="1180" w:type="dxa"/>
                  <w:tcBorders>
                    <w:top w:val="nil"/>
                    <w:left w:val="nil"/>
                    <w:bottom w:val="single" w:sz="4" w:space="0" w:color="auto"/>
                    <w:right w:val="single" w:sz="4" w:space="0" w:color="auto"/>
                  </w:tcBorders>
                  <w:shd w:val="clear" w:color="auto" w:fill="auto"/>
                  <w:vAlign w:val="center"/>
                  <w:hideMark/>
                </w:tcPr>
                <w:p w14:paraId="084D813E"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6 223 000</w:t>
                  </w:r>
                </w:p>
              </w:tc>
              <w:tc>
                <w:tcPr>
                  <w:tcW w:w="1240" w:type="dxa"/>
                  <w:tcBorders>
                    <w:top w:val="nil"/>
                    <w:left w:val="nil"/>
                    <w:bottom w:val="single" w:sz="4" w:space="0" w:color="auto"/>
                    <w:right w:val="single" w:sz="4" w:space="0" w:color="auto"/>
                  </w:tcBorders>
                  <w:shd w:val="clear" w:color="auto" w:fill="auto"/>
                  <w:vAlign w:val="center"/>
                  <w:hideMark/>
                </w:tcPr>
                <w:p w14:paraId="2063EF62"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2023</w:t>
                  </w:r>
                </w:p>
              </w:tc>
              <w:tc>
                <w:tcPr>
                  <w:tcW w:w="1260" w:type="dxa"/>
                  <w:tcBorders>
                    <w:top w:val="nil"/>
                    <w:left w:val="nil"/>
                    <w:bottom w:val="single" w:sz="4" w:space="0" w:color="auto"/>
                    <w:right w:val="single" w:sz="4" w:space="0" w:color="auto"/>
                  </w:tcBorders>
                  <w:shd w:val="clear" w:color="auto" w:fill="auto"/>
                  <w:vAlign w:val="center"/>
                  <w:hideMark/>
                </w:tcPr>
                <w:p w14:paraId="34E33D7F"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14:paraId="0CBB0223"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6 223 000</w:t>
                  </w:r>
                </w:p>
              </w:tc>
              <w:tc>
                <w:tcPr>
                  <w:tcW w:w="1220" w:type="dxa"/>
                  <w:tcBorders>
                    <w:top w:val="nil"/>
                    <w:left w:val="nil"/>
                    <w:bottom w:val="single" w:sz="4" w:space="0" w:color="auto"/>
                    <w:right w:val="single" w:sz="8" w:space="0" w:color="auto"/>
                  </w:tcBorders>
                  <w:shd w:val="clear" w:color="auto" w:fill="auto"/>
                  <w:vAlign w:val="center"/>
                  <w:hideMark/>
                </w:tcPr>
                <w:p w14:paraId="7D4DB9C0"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54F48BBA" w14:textId="77777777" w:rsidTr="00CD43C4">
              <w:trPr>
                <w:trHeight w:val="319"/>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7548CAA1"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xml:space="preserve">Közvilágítási lámpák cseréje IV. ütem </w:t>
                  </w:r>
                </w:p>
              </w:tc>
              <w:tc>
                <w:tcPr>
                  <w:tcW w:w="1180" w:type="dxa"/>
                  <w:tcBorders>
                    <w:top w:val="nil"/>
                    <w:left w:val="nil"/>
                    <w:bottom w:val="single" w:sz="4" w:space="0" w:color="auto"/>
                    <w:right w:val="single" w:sz="4" w:space="0" w:color="auto"/>
                  </w:tcBorders>
                  <w:shd w:val="clear" w:color="auto" w:fill="auto"/>
                  <w:vAlign w:val="center"/>
                  <w:hideMark/>
                </w:tcPr>
                <w:p w14:paraId="04927522"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5 000 000</w:t>
                  </w:r>
                </w:p>
              </w:tc>
              <w:tc>
                <w:tcPr>
                  <w:tcW w:w="1240" w:type="dxa"/>
                  <w:tcBorders>
                    <w:top w:val="nil"/>
                    <w:left w:val="nil"/>
                    <w:bottom w:val="single" w:sz="4" w:space="0" w:color="auto"/>
                    <w:right w:val="single" w:sz="4" w:space="0" w:color="auto"/>
                  </w:tcBorders>
                  <w:shd w:val="clear" w:color="auto" w:fill="auto"/>
                  <w:vAlign w:val="center"/>
                  <w:hideMark/>
                </w:tcPr>
                <w:p w14:paraId="01A44989"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2023</w:t>
                  </w:r>
                </w:p>
              </w:tc>
              <w:tc>
                <w:tcPr>
                  <w:tcW w:w="1260" w:type="dxa"/>
                  <w:tcBorders>
                    <w:top w:val="nil"/>
                    <w:left w:val="nil"/>
                    <w:bottom w:val="single" w:sz="4" w:space="0" w:color="auto"/>
                    <w:right w:val="single" w:sz="4" w:space="0" w:color="auto"/>
                  </w:tcBorders>
                  <w:shd w:val="clear" w:color="auto" w:fill="auto"/>
                  <w:vAlign w:val="center"/>
                  <w:hideMark/>
                </w:tcPr>
                <w:p w14:paraId="16A5B861"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14:paraId="6E9F3023"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5 000 000</w:t>
                  </w:r>
                </w:p>
              </w:tc>
              <w:tc>
                <w:tcPr>
                  <w:tcW w:w="1220" w:type="dxa"/>
                  <w:tcBorders>
                    <w:top w:val="nil"/>
                    <w:left w:val="nil"/>
                    <w:bottom w:val="single" w:sz="4" w:space="0" w:color="auto"/>
                    <w:right w:val="single" w:sz="8" w:space="0" w:color="auto"/>
                  </w:tcBorders>
                  <w:shd w:val="clear" w:color="auto" w:fill="auto"/>
                  <w:vAlign w:val="center"/>
                  <w:hideMark/>
                </w:tcPr>
                <w:p w14:paraId="6C069E51"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161020E5" w14:textId="77777777" w:rsidTr="00CD43C4">
              <w:trPr>
                <w:trHeight w:val="319"/>
              </w:trPr>
              <w:tc>
                <w:tcPr>
                  <w:tcW w:w="3060" w:type="dxa"/>
                  <w:tcBorders>
                    <w:top w:val="nil"/>
                    <w:left w:val="single" w:sz="8" w:space="0" w:color="auto"/>
                    <w:bottom w:val="nil"/>
                    <w:right w:val="single" w:sz="4" w:space="0" w:color="auto"/>
                  </w:tcBorders>
                  <w:shd w:val="clear" w:color="auto" w:fill="auto"/>
                  <w:vAlign w:val="center"/>
                  <w:hideMark/>
                </w:tcPr>
                <w:p w14:paraId="44A1339D"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xml:space="preserve">11/2022 Közvilágítási lámpák cseréje III. ütem </w:t>
                  </w:r>
                </w:p>
              </w:tc>
              <w:tc>
                <w:tcPr>
                  <w:tcW w:w="1180" w:type="dxa"/>
                  <w:tcBorders>
                    <w:top w:val="nil"/>
                    <w:left w:val="nil"/>
                    <w:bottom w:val="single" w:sz="4" w:space="0" w:color="auto"/>
                    <w:right w:val="single" w:sz="4" w:space="0" w:color="auto"/>
                  </w:tcBorders>
                  <w:shd w:val="clear" w:color="auto" w:fill="auto"/>
                  <w:vAlign w:val="center"/>
                  <w:hideMark/>
                </w:tcPr>
                <w:p w14:paraId="7745EE17"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5 000 000</w:t>
                  </w:r>
                </w:p>
              </w:tc>
              <w:tc>
                <w:tcPr>
                  <w:tcW w:w="1240" w:type="dxa"/>
                  <w:tcBorders>
                    <w:top w:val="nil"/>
                    <w:left w:val="nil"/>
                    <w:bottom w:val="single" w:sz="4" w:space="0" w:color="auto"/>
                    <w:right w:val="single" w:sz="4" w:space="0" w:color="auto"/>
                  </w:tcBorders>
                  <w:shd w:val="clear" w:color="auto" w:fill="auto"/>
                  <w:vAlign w:val="center"/>
                  <w:hideMark/>
                </w:tcPr>
                <w:p w14:paraId="50CBE350"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2022-2023</w:t>
                  </w:r>
                </w:p>
              </w:tc>
              <w:tc>
                <w:tcPr>
                  <w:tcW w:w="1260" w:type="dxa"/>
                  <w:tcBorders>
                    <w:top w:val="nil"/>
                    <w:left w:val="nil"/>
                    <w:bottom w:val="single" w:sz="4" w:space="0" w:color="auto"/>
                    <w:right w:val="single" w:sz="4" w:space="0" w:color="auto"/>
                  </w:tcBorders>
                  <w:shd w:val="clear" w:color="auto" w:fill="auto"/>
                  <w:vAlign w:val="center"/>
                  <w:hideMark/>
                </w:tcPr>
                <w:p w14:paraId="38DC50C0"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2 533 518</w:t>
                  </w:r>
                </w:p>
              </w:tc>
              <w:tc>
                <w:tcPr>
                  <w:tcW w:w="1220" w:type="dxa"/>
                  <w:tcBorders>
                    <w:top w:val="nil"/>
                    <w:left w:val="nil"/>
                    <w:bottom w:val="single" w:sz="4" w:space="0" w:color="auto"/>
                    <w:right w:val="single" w:sz="4" w:space="0" w:color="auto"/>
                  </w:tcBorders>
                  <w:shd w:val="clear" w:color="auto" w:fill="auto"/>
                  <w:vAlign w:val="center"/>
                  <w:hideMark/>
                </w:tcPr>
                <w:p w14:paraId="7712A3AC"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2 466 482</w:t>
                  </w:r>
                </w:p>
              </w:tc>
              <w:tc>
                <w:tcPr>
                  <w:tcW w:w="1220" w:type="dxa"/>
                  <w:tcBorders>
                    <w:top w:val="nil"/>
                    <w:left w:val="nil"/>
                    <w:bottom w:val="single" w:sz="4" w:space="0" w:color="auto"/>
                    <w:right w:val="single" w:sz="8" w:space="0" w:color="auto"/>
                  </w:tcBorders>
                  <w:shd w:val="clear" w:color="auto" w:fill="auto"/>
                  <w:vAlign w:val="center"/>
                  <w:hideMark/>
                </w:tcPr>
                <w:p w14:paraId="211DFA18"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4BC866BD" w14:textId="77777777" w:rsidTr="00CD43C4">
              <w:trPr>
                <w:trHeight w:val="319"/>
              </w:trPr>
              <w:tc>
                <w:tcPr>
                  <w:tcW w:w="30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CAB12F"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xml:space="preserve">Temető belső út (VI. ütem) </w:t>
                  </w:r>
                </w:p>
              </w:tc>
              <w:tc>
                <w:tcPr>
                  <w:tcW w:w="1180" w:type="dxa"/>
                  <w:tcBorders>
                    <w:top w:val="nil"/>
                    <w:left w:val="nil"/>
                    <w:bottom w:val="single" w:sz="4" w:space="0" w:color="auto"/>
                    <w:right w:val="single" w:sz="4" w:space="0" w:color="auto"/>
                  </w:tcBorders>
                  <w:shd w:val="clear" w:color="auto" w:fill="auto"/>
                  <w:vAlign w:val="center"/>
                  <w:hideMark/>
                </w:tcPr>
                <w:p w14:paraId="11FC1033"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1 000 000</w:t>
                  </w:r>
                </w:p>
              </w:tc>
              <w:tc>
                <w:tcPr>
                  <w:tcW w:w="1240" w:type="dxa"/>
                  <w:tcBorders>
                    <w:top w:val="nil"/>
                    <w:left w:val="nil"/>
                    <w:bottom w:val="single" w:sz="4" w:space="0" w:color="auto"/>
                    <w:right w:val="single" w:sz="4" w:space="0" w:color="auto"/>
                  </w:tcBorders>
                  <w:shd w:val="clear" w:color="auto" w:fill="auto"/>
                  <w:vAlign w:val="center"/>
                  <w:hideMark/>
                </w:tcPr>
                <w:p w14:paraId="0E0629E1"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2023</w:t>
                  </w:r>
                </w:p>
              </w:tc>
              <w:tc>
                <w:tcPr>
                  <w:tcW w:w="1260" w:type="dxa"/>
                  <w:tcBorders>
                    <w:top w:val="nil"/>
                    <w:left w:val="nil"/>
                    <w:bottom w:val="single" w:sz="4" w:space="0" w:color="auto"/>
                    <w:right w:val="single" w:sz="4" w:space="0" w:color="auto"/>
                  </w:tcBorders>
                  <w:shd w:val="clear" w:color="auto" w:fill="auto"/>
                  <w:vAlign w:val="center"/>
                  <w:hideMark/>
                </w:tcPr>
                <w:p w14:paraId="1D815CCE"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14:paraId="06D209EE"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1 000 000</w:t>
                  </w:r>
                </w:p>
              </w:tc>
              <w:tc>
                <w:tcPr>
                  <w:tcW w:w="1220" w:type="dxa"/>
                  <w:tcBorders>
                    <w:top w:val="nil"/>
                    <w:left w:val="nil"/>
                    <w:bottom w:val="single" w:sz="4" w:space="0" w:color="auto"/>
                    <w:right w:val="single" w:sz="8" w:space="0" w:color="auto"/>
                  </w:tcBorders>
                  <w:shd w:val="clear" w:color="auto" w:fill="auto"/>
                  <w:vAlign w:val="center"/>
                  <w:hideMark/>
                </w:tcPr>
                <w:p w14:paraId="42D3A0B0"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612BCF6D" w14:textId="77777777" w:rsidTr="00CD43C4">
              <w:trPr>
                <w:trHeight w:val="319"/>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621A4297"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KÖH egyéb gép, berendezés</w:t>
                  </w:r>
                </w:p>
              </w:tc>
              <w:tc>
                <w:tcPr>
                  <w:tcW w:w="1180" w:type="dxa"/>
                  <w:tcBorders>
                    <w:top w:val="nil"/>
                    <w:left w:val="nil"/>
                    <w:bottom w:val="single" w:sz="4" w:space="0" w:color="auto"/>
                    <w:right w:val="single" w:sz="4" w:space="0" w:color="auto"/>
                  </w:tcBorders>
                  <w:shd w:val="clear" w:color="auto" w:fill="auto"/>
                  <w:vAlign w:val="center"/>
                  <w:hideMark/>
                </w:tcPr>
                <w:p w14:paraId="24798435"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1 143 000</w:t>
                  </w:r>
                </w:p>
              </w:tc>
              <w:tc>
                <w:tcPr>
                  <w:tcW w:w="1240" w:type="dxa"/>
                  <w:tcBorders>
                    <w:top w:val="nil"/>
                    <w:left w:val="nil"/>
                    <w:bottom w:val="single" w:sz="4" w:space="0" w:color="auto"/>
                    <w:right w:val="single" w:sz="4" w:space="0" w:color="auto"/>
                  </w:tcBorders>
                  <w:shd w:val="clear" w:color="auto" w:fill="auto"/>
                  <w:vAlign w:val="center"/>
                  <w:hideMark/>
                </w:tcPr>
                <w:p w14:paraId="64D1A790"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2023</w:t>
                  </w:r>
                </w:p>
              </w:tc>
              <w:tc>
                <w:tcPr>
                  <w:tcW w:w="1260" w:type="dxa"/>
                  <w:tcBorders>
                    <w:top w:val="nil"/>
                    <w:left w:val="nil"/>
                    <w:bottom w:val="single" w:sz="4" w:space="0" w:color="auto"/>
                    <w:right w:val="single" w:sz="4" w:space="0" w:color="auto"/>
                  </w:tcBorders>
                  <w:shd w:val="clear" w:color="auto" w:fill="auto"/>
                  <w:vAlign w:val="center"/>
                  <w:hideMark/>
                </w:tcPr>
                <w:p w14:paraId="5A1635FF"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14:paraId="21226D0D"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1 143 000</w:t>
                  </w:r>
                </w:p>
              </w:tc>
              <w:tc>
                <w:tcPr>
                  <w:tcW w:w="1220" w:type="dxa"/>
                  <w:tcBorders>
                    <w:top w:val="nil"/>
                    <w:left w:val="nil"/>
                    <w:bottom w:val="single" w:sz="4" w:space="0" w:color="auto"/>
                    <w:right w:val="single" w:sz="8" w:space="0" w:color="auto"/>
                  </w:tcBorders>
                  <w:shd w:val="clear" w:color="auto" w:fill="auto"/>
                  <w:vAlign w:val="center"/>
                  <w:hideMark/>
                </w:tcPr>
                <w:p w14:paraId="40BE5767"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0DF47C33" w14:textId="77777777" w:rsidTr="00CD43C4">
              <w:trPr>
                <w:trHeight w:val="319"/>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68C16D99"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Könyvtár könyv beszerzés</w:t>
                  </w:r>
                </w:p>
              </w:tc>
              <w:tc>
                <w:tcPr>
                  <w:tcW w:w="1180" w:type="dxa"/>
                  <w:tcBorders>
                    <w:top w:val="nil"/>
                    <w:left w:val="nil"/>
                    <w:bottom w:val="single" w:sz="4" w:space="0" w:color="auto"/>
                    <w:right w:val="single" w:sz="4" w:space="0" w:color="auto"/>
                  </w:tcBorders>
                  <w:shd w:val="clear" w:color="auto" w:fill="auto"/>
                  <w:vAlign w:val="center"/>
                  <w:hideMark/>
                </w:tcPr>
                <w:p w14:paraId="5F968117"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1 500 000</w:t>
                  </w:r>
                </w:p>
              </w:tc>
              <w:tc>
                <w:tcPr>
                  <w:tcW w:w="1240" w:type="dxa"/>
                  <w:tcBorders>
                    <w:top w:val="nil"/>
                    <w:left w:val="nil"/>
                    <w:bottom w:val="single" w:sz="4" w:space="0" w:color="auto"/>
                    <w:right w:val="single" w:sz="4" w:space="0" w:color="auto"/>
                  </w:tcBorders>
                  <w:shd w:val="clear" w:color="auto" w:fill="auto"/>
                  <w:vAlign w:val="center"/>
                  <w:hideMark/>
                </w:tcPr>
                <w:p w14:paraId="2BE32886" w14:textId="77777777" w:rsidR="00CD43C4" w:rsidRDefault="00CD43C4" w:rsidP="00CD43C4">
                  <w:pPr>
                    <w:jc w:val="center"/>
                    <w:rPr>
                      <w:rFonts w:ascii="Times New Roman CE" w:hAnsi="Times New Roman CE" w:cs="Times New Roman CE"/>
                      <w:sz w:val="16"/>
                      <w:szCs w:val="16"/>
                    </w:rPr>
                  </w:pPr>
                  <w:r>
                    <w:rPr>
                      <w:rFonts w:ascii="Times New Roman CE" w:hAnsi="Times New Roman CE" w:cs="Times New Roman CE"/>
                      <w:sz w:val="16"/>
                      <w:szCs w:val="16"/>
                    </w:rPr>
                    <w:t>2023</w:t>
                  </w:r>
                </w:p>
              </w:tc>
              <w:tc>
                <w:tcPr>
                  <w:tcW w:w="1260" w:type="dxa"/>
                  <w:tcBorders>
                    <w:top w:val="nil"/>
                    <w:left w:val="nil"/>
                    <w:bottom w:val="single" w:sz="4" w:space="0" w:color="auto"/>
                    <w:right w:val="single" w:sz="4" w:space="0" w:color="auto"/>
                  </w:tcBorders>
                  <w:shd w:val="clear" w:color="auto" w:fill="auto"/>
                  <w:vAlign w:val="center"/>
                  <w:hideMark/>
                </w:tcPr>
                <w:p w14:paraId="44965600"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14:paraId="566E161D" w14:textId="77777777" w:rsidR="00CD43C4" w:rsidRDefault="00CD43C4" w:rsidP="00CD43C4">
                  <w:pPr>
                    <w:jc w:val="right"/>
                    <w:rPr>
                      <w:rFonts w:ascii="Times New Roman CE" w:hAnsi="Times New Roman CE" w:cs="Times New Roman CE"/>
                      <w:sz w:val="16"/>
                      <w:szCs w:val="16"/>
                    </w:rPr>
                  </w:pPr>
                  <w:r>
                    <w:rPr>
                      <w:rFonts w:ascii="Times New Roman CE" w:hAnsi="Times New Roman CE" w:cs="Times New Roman CE"/>
                      <w:sz w:val="16"/>
                      <w:szCs w:val="16"/>
                    </w:rPr>
                    <w:t>1 500 000</w:t>
                  </w:r>
                </w:p>
              </w:tc>
              <w:tc>
                <w:tcPr>
                  <w:tcW w:w="1220" w:type="dxa"/>
                  <w:tcBorders>
                    <w:top w:val="nil"/>
                    <w:left w:val="nil"/>
                    <w:bottom w:val="single" w:sz="4" w:space="0" w:color="auto"/>
                    <w:right w:val="single" w:sz="8" w:space="0" w:color="auto"/>
                  </w:tcBorders>
                  <w:shd w:val="clear" w:color="auto" w:fill="auto"/>
                  <w:vAlign w:val="center"/>
                  <w:hideMark/>
                </w:tcPr>
                <w:p w14:paraId="585347C0" w14:textId="77777777" w:rsidR="00CD43C4" w:rsidRDefault="00CD43C4" w:rsidP="00CD43C4">
                  <w:pPr>
                    <w:rPr>
                      <w:rFonts w:ascii="Times New Roman CE" w:hAnsi="Times New Roman CE" w:cs="Times New Roman CE"/>
                      <w:sz w:val="16"/>
                      <w:szCs w:val="16"/>
                    </w:rPr>
                  </w:pPr>
                  <w:r>
                    <w:rPr>
                      <w:rFonts w:ascii="Times New Roman CE" w:hAnsi="Times New Roman CE" w:cs="Times New Roman CE"/>
                      <w:sz w:val="16"/>
                      <w:szCs w:val="16"/>
                    </w:rPr>
                    <w:t> </w:t>
                  </w:r>
                </w:p>
              </w:tc>
            </w:tr>
            <w:tr w:rsidR="00CD43C4" w14:paraId="28EA161A" w14:textId="77777777" w:rsidTr="00CD43C4">
              <w:trPr>
                <w:trHeight w:val="360"/>
              </w:trPr>
              <w:tc>
                <w:tcPr>
                  <w:tcW w:w="3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849244" w14:textId="77777777" w:rsidR="00CD43C4" w:rsidRDefault="00CD43C4" w:rsidP="00CD43C4">
                  <w:pPr>
                    <w:rPr>
                      <w:rFonts w:ascii="Times New Roman CE" w:hAnsi="Times New Roman CE" w:cs="Times New Roman CE"/>
                      <w:b/>
                      <w:bCs/>
                      <w:sz w:val="18"/>
                      <w:szCs w:val="18"/>
                    </w:rPr>
                  </w:pPr>
                  <w:r>
                    <w:rPr>
                      <w:rFonts w:ascii="Times New Roman CE" w:hAnsi="Times New Roman CE" w:cs="Times New Roman CE"/>
                      <w:b/>
                      <w:bCs/>
                      <w:sz w:val="18"/>
                      <w:szCs w:val="18"/>
                    </w:rPr>
                    <w:t>ÖSSZESEN:</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AEC2B04" w14:textId="77777777" w:rsidR="00CD43C4" w:rsidRDefault="00CD43C4" w:rsidP="00CD43C4">
                  <w:pPr>
                    <w:jc w:val="right"/>
                    <w:rPr>
                      <w:rFonts w:ascii="Times New Roman CE" w:hAnsi="Times New Roman CE" w:cs="Times New Roman CE"/>
                      <w:b/>
                      <w:bCs/>
                      <w:sz w:val="16"/>
                      <w:szCs w:val="16"/>
                    </w:rPr>
                  </w:pPr>
                  <w:r>
                    <w:rPr>
                      <w:rFonts w:ascii="Times New Roman CE" w:hAnsi="Times New Roman CE" w:cs="Times New Roman CE"/>
                      <w:b/>
                      <w:bCs/>
                      <w:sz w:val="16"/>
                      <w:szCs w:val="16"/>
                    </w:rPr>
                    <w:t>168 658 297</w:t>
                  </w:r>
                </w:p>
              </w:tc>
              <w:tc>
                <w:tcPr>
                  <w:tcW w:w="1240" w:type="dxa"/>
                  <w:tcBorders>
                    <w:top w:val="single" w:sz="8" w:space="0" w:color="auto"/>
                    <w:left w:val="nil"/>
                    <w:bottom w:val="single" w:sz="8" w:space="0" w:color="auto"/>
                    <w:right w:val="single" w:sz="4" w:space="0" w:color="auto"/>
                  </w:tcBorders>
                  <w:shd w:val="thinHorzStripe" w:color="000000" w:fill="auto"/>
                  <w:vAlign w:val="center"/>
                  <w:hideMark/>
                </w:tcPr>
                <w:p w14:paraId="513B435F" w14:textId="77777777" w:rsidR="00CD43C4" w:rsidRDefault="00CD43C4" w:rsidP="00CD43C4">
                  <w:pPr>
                    <w:rPr>
                      <w:rFonts w:ascii="Times New Roman CE" w:hAnsi="Times New Roman CE" w:cs="Times New Roman CE"/>
                      <w:b/>
                      <w:bCs/>
                      <w:sz w:val="16"/>
                      <w:szCs w:val="16"/>
                    </w:rPr>
                  </w:pPr>
                  <w:r>
                    <w:rPr>
                      <w:rFonts w:ascii="Times New Roman CE" w:hAnsi="Times New Roman CE" w:cs="Times New Roman CE"/>
                      <w:b/>
                      <w:bCs/>
                      <w:sz w:val="16"/>
                      <w:szCs w:val="16"/>
                    </w:rPr>
                    <w:t> </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14:paraId="6994645B" w14:textId="77777777" w:rsidR="00CD43C4" w:rsidRDefault="00CD43C4" w:rsidP="00CD43C4">
                  <w:pPr>
                    <w:jc w:val="right"/>
                    <w:rPr>
                      <w:rFonts w:ascii="Times New Roman CE" w:hAnsi="Times New Roman CE" w:cs="Times New Roman CE"/>
                      <w:b/>
                      <w:bCs/>
                      <w:sz w:val="16"/>
                      <w:szCs w:val="16"/>
                    </w:rPr>
                  </w:pPr>
                  <w:r>
                    <w:rPr>
                      <w:rFonts w:ascii="Times New Roman CE" w:hAnsi="Times New Roman CE" w:cs="Times New Roman CE"/>
                      <w:b/>
                      <w:bCs/>
                      <w:sz w:val="16"/>
                      <w:szCs w:val="16"/>
                    </w:rPr>
                    <w:t>11 094 318</w:t>
                  </w:r>
                </w:p>
              </w:tc>
              <w:tc>
                <w:tcPr>
                  <w:tcW w:w="1220" w:type="dxa"/>
                  <w:tcBorders>
                    <w:top w:val="single" w:sz="8" w:space="0" w:color="auto"/>
                    <w:left w:val="nil"/>
                    <w:bottom w:val="single" w:sz="8" w:space="0" w:color="auto"/>
                    <w:right w:val="single" w:sz="4" w:space="0" w:color="auto"/>
                  </w:tcBorders>
                  <w:shd w:val="clear" w:color="auto" w:fill="auto"/>
                  <w:vAlign w:val="center"/>
                  <w:hideMark/>
                </w:tcPr>
                <w:p w14:paraId="7CDAF6E2" w14:textId="77777777" w:rsidR="00CD43C4" w:rsidRDefault="00CD43C4" w:rsidP="00CD43C4">
                  <w:pPr>
                    <w:jc w:val="right"/>
                    <w:rPr>
                      <w:rFonts w:ascii="Times New Roman CE" w:hAnsi="Times New Roman CE" w:cs="Times New Roman CE"/>
                      <w:b/>
                      <w:bCs/>
                      <w:sz w:val="16"/>
                      <w:szCs w:val="16"/>
                    </w:rPr>
                  </w:pPr>
                  <w:r>
                    <w:rPr>
                      <w:rFonts w:ascii="Times New Roman CE" w:hAnsi="Times New Roman CE" w:cs="Times New Roman CE"/>
                      <w:b/>
                      <w:bCs/>
                      <w:sz w:val="16"/>
                      <w:szCs w:val="16"/>
                    </w:rPr>
                    <w:t>157 563 979</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73E37A8" w14:textId="77777777" w:rsidR="00CD43C4" w:rsidRDefault="00CD43C4" w:rsidP="00CD43C4">
                  <w:pPr>
                    <w:rPr>
                      <w:rFonts w:ascii="Times New Roman CE" w:hAnsi="Times New Roman CE" w:cs="Times New Roman CE"/>
                      <w:b/>
                      <w:bCs/>
                      <w:sz w:val="16"/>
                      <w:szCs w:val="16"/>
                    </w:rPr>
                  </w:pPr>
                  <w:r>
                    <w:rPr>
                      <w:rFonts w:ascii="Times New Roman CE" w:hAnsi="Times New Roman CE" w:cs="Times New Roman CE"/>
                      <w:b/>
                      <w:bCs/>
                      <w:sz w:val="16"/>
                      <w:szCs w:val="16"/>
                    </w:rPr>
                    <w:t> </w:t>
                  </w:r>
                </w:p>
              </w:tc>
            </w:tr>
          </w:tbl>
          <w:p w14:paraId="4A747062" w14:textId="1EA41FEF" w:rsidR="00CD43C4" w:rsidRPr="00AE7B18" w:rsidRDefault="00CD43C4">
            <w:pPr>
              <w:rPr>
                <w:rFonts w:ascii="Times New Roman CE" w:hAnsi="Times New Roman CE" w:cs="Times New Roman CE"/>
                <w:b/>
                <w:bCs/>
                <w:sz w:val="18"/>
                <w:szCs w:val="18"/>
                <w:highlight w:val="yellow"/>
                <w:lang w:eastAsia="hu-HU"/>
              </w:rPr>
            </w:pPr>
          </w:p>
        </w:tc>
        <w:tc>
          <w:tcPr>
            <w:tcW w:w="146" w:type="dxa"/>
            <w:vAlign w:val="center"/>
          </w:tcPr>
          <w:p w14:paraId="700837F0" w14:textId="77777777" w:rsidR="00CD43C4" w:rsidRPr="00AE7B18" w:rsidRDefault="00CD43C4">
            <w:pPr>
              <w:rPr>
                <w:sz w:val="20"/>
                <w:szCs w:val="20"/>
                <w:highlight w:val="yellow"/>
                <w:lang w:eastAsia="hu-HU"/>
              </w:rPr>
            </w:pPr>
          </w:p>
        </w:tc>
        <w:tc>
          <w:tcPr>
            <w:tcW w:w="160" w:type="dxa"/>
            <w:vAlign w:val="center"/>
          </w:tcPr>
          <w:p w14:paraId="0656F850" w14:textId="77777777" w:rsidR="00CD43C4" w:rsidRPr="00AE7B18" w:rsidRDefault="00CD43C4">
            <w:pPr>
              <w:rPr>
                <w:sz w:val="20"/>
                <w:szCs w:val="20"/>
                <w:highlight w:val="yellow"/>
                <w:lang w:eastAsia="hu-HU"/>
              </w:rPr>
            </w:pPr>
          </w:p>
        </w:tc>
        <w:tc>
          <w:tcPr>
            <w:tcW w:w="160" w:type="dxa"/>
            <w:vAlign w:val="center"/>
          </w:tcPr>
          <w:p w14:paraId="5180CDEF" w14:textId="77777777" w:rsidR="00CD43C4" w:rsidRPr="00AE7B18" w:rsidRDefault="00CD43C4">
            <w:pPr>
              <w:rPr>
                <w:sz w:val="20"/>
                <w:szCs w:val="20"/>
                <w:highlight w:val="yellow"/>
                <w:lang w:eastAsia="hu-HU"/>
              </w:rPr>
            </w:pPr>
          </w:p>
        </w:tc>
        <w:tc>
          <w:tcPr>
            <w:tcW w:w="146" w:type="dxa"/>
            <w:vAlign w:val="center"/>
          </w:tcPr>
          <w:p w14:paraId="55691E7E" w14:textId="77777777" w:rsidR="00CD43C4" w:rsidRPr="00AE7B18" w:rsidRDefault="00CD43C4">
            <w:pPr>
              <w:rPr>
                <w:sz w:val="20"/>
                <w:szCs w:val="20"/>
                <w:highlight w:val="yellow"/>
                <w:lang w:eastAsia="hu-HU"/>
              </w:rPr>
            </w:pPr>
          </w:p>
        </w:tc>
        <w:tc>
          <w:tcPr>
            <w:tcW w:w="971" w:type="dxa"/>
            <w:gridSpan w:val="2"/>
            <w:vAlign w:val="center"/>
          </w:tcPr>
          <w:p w14:paraId="3CC3AB5B" w14:textId="77777777" w:rsidR="00CD43C4" w:rsidRPr="00AE7B18" w:rsidRDefault="00CD43C4">
            <w:pPr>
              <w:jc w:val="right"/>
              <w:rPr>
                <w:rFonts w:ascii="Times New Roman CE" w:hAnsi="Times New Roman CE" w:cs="Times New Roman CE"/>
                <w:b/>
                <w:bCs/>
                <w:i/>
                <w:iCs/>
                <w:sz w:val="18"/>
                <w:szCs w:val="18"/>
                <w:highlight w:val="yellow"/>
              </w:rPr>
            </w:pPr>
          </w:p>
        </w:tc>
      </w:tr>
    </w:tbl>
    <w:p w14:paraId="066222C3" w14:textId="77777777" w:rsidR="00CD43C4" w:rsidRDefault="00CD43C4" w:rsidP="006325C2">
      <w:pPr>
        <w:spacing w:before="120"/>
        <w:jc w:val="both"/>
        <w:rPr>
          <w:rFonts w:ascii="Arial" w:hAnsi="Arial" w:cs="Arial"/>
          <w:sz w:val="22"/>
          <w:szCs w:val="22"/>
          <w:highlight w:val="yellow"/>
        </w:rPr>
      </w:pPr>
    </w:p>
    <w:p w14:paraId="601303CE" w14:textId="50BFDF3F" w:rsidR="006325C2" w:rsidRPr="00161E33" w:rsidRDefault="006325C2" w:rsidP="006325C2">
      <w:pPr>
        <w:spacing w:before="120"/>
        <w:jc w:val="both"/>
        <w:rPr>
          <w:rFonts w:ascii="Arial" w:hAnsi="Arial" w:cs="Arial"/>
          <w:sz w:val="22"/>
          <w:szCs w:val="22"/>
        </w:rPr>
      </w:pPr>
      <w:r w:rsidRPr="00161E33">
        <w:rPr>
          <w:rFonts w:ascii="Arial" w:hAnsi="Arial" w:cs="Arial"/>
          <w:sz w:val="22"/>
          <w:szCs w:val="22"/>
        </w:rPr>
        <w:t>A felújítási kiadások között</w:t>
      </w:r>
      <w:r w:rsidR="00161E33" w:rsidRPr="00161E33">
        <w:rPr>
          <w:rFonts w:ascii="Arial" w:hAnsi="Arial" w:cs="Arial"/>
          <w:sz w:val="22"/>
          <w:szCs w:val="22"/>
        </w:rPr>
        <w:t xml:space="preserve"> az alábbi tételeket szerepeltettük:</w:t>
      </w:r>
    </w:p>
    <w:p w14:paraId="5485E94D" w14:textId="77777777" w:rsidR="006325C2" w:rsidRPr="00AE7B18" w:rsidRDefault="006325C2" w:rsidP="006325C2">
      <w:pPr>
        <w:spacing w:before="120"/>
        <w:jc w:val="both"/>
        <w:rPr>
          <w:rFonts w:ascii="Arial" w:hAnsi="Arial" w:cs="Arial"/>
          <w:sz w:val="22"/>
          <w:szCs w:val="22"/>
          <w:highlight w:val="yellow"/>
        </w:rPr>
      </w:pPr>
    </w:p>
    <w:tbl>
      <w:tblPr>
        <w:tblW w:w="9470" w:type="dxa"/>
        <w:jc w:val="center"/>
        <w:tblLayout w:type="fixed"/>
        <w:tblCellMar>
          <w:left w:w="70" w:type="dxa"/>
          <w:right w:w="70" w:type="dxa"/>
        </w:tblCellMar>
        <w:tblLook w:val="04A0" w:firstRow="1" w:lastRow="0" w:firstColumn="1" w:lastColumn="0" w:noHBand="0" w:noVBand="1"/>
      </w:tblPr>
      <w:tblGrid>
        <w:gridCol w:w="10"/>
        <w:gridCol w:w="3109"/>
        <w:gridCol w:w="531"/>
        <w:gridCol w:w="744"/>
        <w:gridCol w:w="496"/>
        <w:gridCol w:w="778"/>
        <w:gridCol w:w="442"/>
        <w:gridCol w:w="833"/>
        <w:gridCol w:w="447"/>
        <w:gridCol w:w="828"/>
        <w:gridCol w:w="232"/>
        <w:gridCol w:w="760"/>
        <w:gridCol w:w="260"/>
      </w:tblGrid>
      <w:tr w:rsidR="006325C2" w:rsidRPr="00AE7B18" w14:paraId="225BCB51" w14:textId="77777777" w:rsidTr="00CD43C4">
        <w:trPr>
          <w:gridAfter w:val="1"/>
          <w:wAfter w:w="260" w:type="dxa"/>
          <w:trHeight w:val="495"/>
          <w:jc w:val="center"/>
        </w:trPr>
        <w:tc>
          <w:tcPr>
            <w:tcW w:w="9210" w:type="dxa"/>
            <w:gridSpan w:val="12"/>
            <w:vAlign w:val="center"/>
            <w:hideMark/>
          </w:tcPr>
          <w:p w14:paraId="3054054B" w14:textId="77777777" w:rsidR="006325C2" w:rsidRPr="00AE7B18" w:rsidRDefault="006325C2">
            <w:pPr>
              <w:jc w:val="center"/>
              <w:rPr>
                <w:rFonts w:ascii="Times New Roman CE" w:hAnsi="Times New Roman CE" w:cs="Times New Roman CE"/>
                <w:b/>
                <w:bCs/>
                <w:highlight w:val="yellow"/>
                <w:lang w:eastAsia="hu-HU"/>
              </w:rPr>
            </w:pPr>
            <w:r w:rsidRPr="00CD43C4">
              <w:rPr>
                <w:rFonts w:ascii="Times New Roman CE" w:hAnsi="Times New Roman CE" w:cs="Times New Roman CE"/>
                <w:b/>
                <w:bCs/>
              </w:rPr>
              <w:t>Felújítási kiadások előirányzata felújításonként</w:t>
            </w:r>
          </w:p>
        </w:tc>
      </w:tr>
      <w:tr w:rsidR="006325C2" w:rsidRPr="00CD43C4" w14:paraId="01959EBE" w14:textId="77777777" w:rsidTr="00CD43C4">
        <w:trPr>
          <w:gridAfter w:val="1"/>
          <w:wAfter w:w="260" w:type="dxa"/>
          <w:trHeight w:val="465"/>
          <w:jc w:val="center"/>
        </w:trPr>
        <w:tc>
          <w:tcPr>
            <w:tcW w:w="3119" w:type="dxa"/>
            <w:gridSpan w:val="2"/>
            <w:vAlign w:val="center"/>
            <w:hideMark/>
          </w:tcPr>
          <w:p w14:paraId="36939753" w14:textId="77777777" w:rsidR="006325C2" w:rsidRPr="00AE7B18" w:rsidRDefault="006325C2">
            <w:pPr>
              <w:rPr>
                <w:rFonts w:ascii="Times New Roman CE" w:hAnsi="Times New Roman CE" w:cs="Times New Roman CE"/>
                <w:b/>
                <w:bCs/>
                <w:highlight w:val="yellow"/>
                <w:lang w:eastAsia="hu-HU"/>
              </w:rPr>
            </w:pPr>
          </w:p>
        </w:tc>
        <w:tc>
          <w:tcPr>
            <w:tcW w:w="1275" w:type="dxa"/>
            <w:gridSpan w:val="2"/>
            <w:vAlign w:val="center"/>
            <w:hideMark/>
          </w:tcPr>
          <w:p w14:paraId="57212E22" w14:textId="77777777" w:rsidR="006325C2" w:rsidRPr="00AE7B18" w:rsidRDefault="006325C2">
            <w:pPr>
              <w:rPr>
                <w:sz w:val="20"/>
                <w:szCs w:val="20"/>
                <w:highlight w:val="yellow"/>
                <w:lang w:eastAsia="hu-HU"/>
              </w:rPr>
            </w:pPr>
          </w:p>
        </w:tc>
        <w:tc>
          <w:tcPr>
            <w:tcW w:w="1274" w:type="dxa"/>
            <w:gridSpan w:val="2"/>
            <w:vAlign w:val="center"/>
            <w:hideMark/>
          </w:tcPr>
          <w:p w14:paraId="2EF3A62B" w14:textId="77777777" w:rsidR="006325C2" w:rsidRPr="00AE7B18" w:rsidRDefault="006325C2">
            <w:pPr>
              <w:rPr>
                <w:sz w:val="20"/>
                <w:szCs w:val="20"/>
                <w:highlight w:val="yellow"/>
                <w:lang w:eastAsia="hu-HU"/>
              </w:rPr>
            </w:pPr>
          </w:p>
        </w:tc>
        <w:tc>
          <w:tcPr>
            <w:tcW w:w="1275" w:type="dxa"/>
            <w:gridSpan w:val="2"/>
            <w:vAlign w:val="center"/>
            <w:hideMark/>
          </w:tcPr>
          <w:p w14:paraId="543A94F7" w14:textId="77777777" w:rsidR="006325C2" w:rsidRPr="00AE7B18" w:rsidRDefault="006325C2">
            <w:pPr>
              <w:rPr>
                <w:sz w:val="20"/>
                <w:szCs w:val="20"/>
                <w:highlight w:val="yellow"/>
                <w:lang w:eastAsia="hu-HU"/>
              </w:rPr>
            </w:pPr>
          </w:p>
        </w:tc>
        <w:tc>
          <w:tcPr>
            <w:tcW w:w="1275" w:type="dxa"/>
            <w:gridSpan w:val="2"/>
            <w:vAlign w:val="center"/>
            <w:hideMark/>
          </w:tcPr>
          <w:p w14:paraId="66719D4C" w14:textId="77777777" w:rsidR="006325C2" w:rsidRPr="00CD43C4" w:rsidRDefault="006325C2">
            <w:pPr>
              <w:rPr>
                <w:sz w:val="20"/>
                <w:szCs w:val="20"/>
                <w:lang w:eastAsia="hu-HU"/>
              </w:rPr>
            </w:pPr>
          </w:p>
        </w:tc>
        <w:tc>
          <w:tcPr>
            <w:tcW w:w="992" w:type="dxa"/>
            <w:gridSpan w:val="2"/>
            <w:vAlign w:val="center"/>
            <w:hideMark/>
          </w:tcPr>
          <w:p w14:paraId="2FAC5715" w14:textId="77777777" w:rsidR="006325C2" w:rsidRPr="00CD43C4" w:rsidRDefault="006325C2">
            <w:pPr>
              <w:jc w:val="right"/>
              <w:rPr>
                <w:rFonts w:ascii="Times New Roman CE" w:hAnsi="Times New Roman CE" w:cs="Times New Roman CE"/>
                <w:b/>
                <w:bCs/>
                <w:i/>
                <w:iCs/>
                <w:sz w:val="20"/>
                <w:szCs w:val="20"/>
              </w:rPr>
            </w:pPr>
            <w:r w:rsidRPr="00CD43C4">
              <w:rPr>
                <w:rFonts w:ascii="Times New Roman CE" w:hAnsi="Times New Roman CE" w:cs="Times New Roman CE"/>
                <w:b/>
                <w:bCs/>
                <w:i/>
                <w:iCs/>
                <w:sz w:val="20"/>
                <w:szCs w:val="20"/>
              </w:rPr>
              <w:t>Forintban</w:t>
            </w:r>
          </w:p>
        </w:tc>
      </w:tr>
      <w:tr w:rsidR="00CD43C4" w14:paraId="7C69ED8A" w14:textId="77777777" w:rsidTr="00CD43C4">
        <w:tblPrEx>
          <w:jc w:val="left"/>
        </w:tblPrEx>
        <w:trPr>
          <w:gridBefore w:val="1"/>
          <w:wBefore w:w="10" w:type="dxa"/>
          <w:trHeight w:val="975"/>
        </w:trPr>
        <w:tc>
          <w:tcPr>
            <w:tcW w:w="364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AB4DE8C" w14:textId="77777777" w:rsidR="00CD43C4" w:rsidRDefault="00CD43C4">
            <w:pPr>
              <w:jc w:val="center"/>
              <w:rPr>
                <w:rFonts w:ascii="Times New Roman CE" w:hAnsi="Times New Roman CE" w:cs="Times New Roman CE"/>
                <w:b/>
                <w:bCs/>
                <w:sz w:val="18"/>
                <w:szCs w:val="18"/>
                <w:lang w:eastAsia="hu-HU"/>
              </w:rPr>
            </w:pPr>
            <w:proofErr w:type="gramStart"/>
            <w:r>
              <w:rPr>
                <w:rFonts w:ascii="Times New Roman CE" w:hAnsi="Times New Roman CE" w:cs="Times New Roman CE"/>
                <w:b/>
                <w:bCs/>
                <w:sz w:val="18"/>
                <w:szCs w:val="18"/>
              </w:rPr>
              <w:t>Felújítás  megnevezése</w:t>
            </w:r>
            <w:proofErr w:type="gramEnd"/>
          </w:p>
        </w:tc>
        <w:tc>
          <w:tcPr>
            <w:tcW w:w="1240" w:type="dxa"/>
            <w:gridSpan w:val="2"/>
            <w:tcBorders>
              <w:top w:val="single" w:sz="8" w:space="0" w:color="auto"/>
              <w:left w:val="nil"/>
              <w:bottom w:val="single" w:sz="8" w:space="0" w:color="auto"/>
              <w:right w:val="single" w:sz="4" w:space="0" w:color="auto"/>
            </w:tcBorders>
            <w:shd w:val="clear" w:color="auto" w:fill="auto"/>
            <w:vAlign w:val="center"/>
            <w:hideMark/>
          </w:tcPr>
          <w:p w14:paraId="27CA663F" w14:textId="77777777" w:rsidR="00CD43C4" w:rsidRDefault="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Teljes költség</w:t>
            </w:r>
          </w:p>
        </w:tc>
        <w:tc>
          <w:tcPr>
            <w:tcW w:w="1220" w:type="dxa"/>
            <w:gridSpan w:val="2"/>
            <w:tcBorders>
              <w:top w:val="single" w:sz="8" w:space="0" w:color="auto"/>
              <w:left w:val="nil"/>
              <w:bottom w:val="single" w:sz="8" w:space="0" w:color="auto"/>
              <w:right w:val="single" w:sz="4" w:space="0" w:color="auto"/>
            </w:tcBorders>
            <w:shd w:val="clear" w:color="auto" w:fill="auto"/>
            <w:vAlign w:val="center"/>
            <w:hideMark/>
          </w:tcPr>
          <w:p w14:paraId="1AC15103" w14:textId="77777777" w:rsidR="00CD43C4" w:rsidRDefault="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Kivitelezés kezdési és befejezési éve</w:t>
            </w:r>
          </w:p>
        </w:tc>
        <w:tc>
          <w:tcPr>
            <w:tcW w:w="1280" w:type="dxa"/>
            <w:gridSpan w:val="2"/>
            <w:tcBorders>
              <w:top w:val="single" w:sz="8" w:space="0" w:color="auto"/>
              <w:left w:val="nil"/>
              <w:bottom w:val="single" w:sz="8" w:space="0" w:color="auto"/>
              <w:right w:val="single" w:sz="4" w:space="0" w:color="auto"/>
            </w:tcBorders>
            <w:shd w:val="clear" w:color="auto" w:fill="auto"/>
            <w:vAlign w:val="center"/>
            <w:hideMark/>
          </w:tcPr>
          <w:p w14:paraId="054D9691" w14:textId="77777777" w:rsidR="00CD43C4" w:rsidRDefault="00CD43C4">
            <w:pPr>
              <w:jc w:val="center"/>
              <w:rPr>
                <w:rFonts w:ascii="Times New Roman CE" w:hAnsi="Times New Roman CE" w:cs="Times New Roman CE"/>
                <w:b/>
                <w:bCs/>
                <w:sz w:val="18"/>
                <w:szCs w:val="18"/>
              </w:rPr>
            </w:pPr>
            <w:proofErr w:type="gramStart"/>
            <w:r>
              <w:rPr>
                <w:rFonts w:ascii="Times New Roman CE" w:hAnsi="Times New Roman CE" w:cs="Times New Roman CE"/>
                <w:b/>
                <w:bCs/>
                <w:sz w:val="18"/>
                <w:szCs w:val="18"/>
              </w:rPr>
              <w:t>Felhasználás   2022.</w:t>
            </w:r>
            <w:proofErr w:type="gramEnd"/>
            <w:r>
              <w:rPr>
                <w:rFonts w:ascii="Times New Roman CE" w:hAnsi="Times New Roman CE" w:cs="Times New Roman CE"/>
                <w:b/>
                <w:bCs/>
                <w:sz w:val="18"/>
                <w:szCs w:val="18"/>
              </w:rPr>
              <w:t xml:space="preserve"> XII. 31-ig</w:t>
            </w:r>
          </w:p>
        </w:tc>
        <w:tc>
          <w:tcPr>
            <w:tcW w:w="1060" w:type="dxa"/>
            <w:gridSpan w:val="2"/>
            <w:tcBorders>
              <w:top w:val="single" w:sz="8" w:space="0" w:color="auto"/>
              <w:left w:val="nil"/>
              <w:bottom w:val="single" w:sz="8" w:space="0" w:color="auto"/>
              <w:right w:val="single" w:sz="4" w:space="0" w:color="auto"/>
            </w:tcBorders>
            <w:shd w:val="clear" w:color="auto" w:fill="auto"/>
            <w:vAlign w:val="center"/>
            <w:hideMark/>
          </w:tcPr>
          <w:p w14:paraId="0C95EE2E" w14:textId="77777777" w:rsidR="00CD43C4" w:rsidRDefault="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2023. évi előirányzat</w:t>
            </w:r>
          </w:p>
        </w:tc>
        <w:tc>
          <w:tcPr>
            <w:tcW w:w="1020" w:type="dxa"/>
            <w:gridSpan w:val="2"/>
            <w:tcBorders>
              <w:top w:val="single" w:sz="8" w:space="0" w:color="auto"/>
              <w:left w:val="nil"/>
              <w:bottom w:val="single" w:sz="8" w:space="0" w:color="auto"/>
              <w:right w:val="single" w:sz="8" w:space="0" w:color="auto"/>
            </w:tcBorders>
            <w:shd w:val="clear" w:color="auto" w:fill="auto"/>
            <w:vAlign w:val="center"/>
            <w:hideMark/>
          </w:tcPr>
          <w:p w14:paraId="6EDF0258" w14:textId="77777777" w:rsidR="00CD43C4" w:rsidRDefault="00CD43C4">
            <w:pPr>
              <w:jc w:val="center"/>
              <w:rPr>
                <w:rFonts w:ascii="Times New Roman CE" w:hAnsi="Times New Roman CE" w:cs="Times New Roman CE"/>
                <w:b/>
                <w:bCs/>
                <w:sz w:val="18"/>
                <w:szCs w:val="18"/>
              </w:rPr>
            </w:pPr>
            <w:r>
              <w:rPr>
                <w:rFonts w:ascii="Times New Roman CE" w:hAnsi="Times New Roman CE" w:cs="Times New Roman CE"/>
                <w:b/>
                <w:bCs/>
                <w:sz w:val="18"/>
                <w:szCs w:val="18"/>
              </w:rPr>
              <w:t xml:space="preserve">2023. utáni szükséglet </w:t>
            </w:r>
          </w:p>
        </w:tc>
      </w:tr>
      <w:tr w:rsidR="00CD43C4" w14:paraId="5A0B9F76" w14:textId="77777777" w:rsidTr="00CD43C4">
        <w:tblPrEx>
          <w:jc w:val="left"/>
        </w:tblPrEx>
        <w:trPr>
          <w:gridBefore w:val="1"/>
          <w:wBefore w:w="10" w:type="dxa"/>
          <w:trHeight w:val="304"/>
        </w:trPr>
        <w:tc>
          <w:tcPr>
            <w:tcW w:w="3640" w:type="dxa"/>
            <w:gridSpan w:val="2"/>
            <w:tcBorders>
              <w:top w:val="nil"/>
              <w:left w:val="single" w:sz="8" w:space="0" w:color="auto"/>
              <w:bottom w:val="single" w:sz="8" w:space="0" w:color="auto"/>
              <w:right w:val="single" w:sz="4" w:space="0" w:color="auto"/>
            </w:tcBorders>
            <w:shd w:val="clear" w:color="auto" w:fill="auto"/>
            <w:vAlign w:val="center"/>
            <w:hideMark/>
          </w:tcPr>
          <w:p w14:paraId="06CAC5D7" w14:textId="77777777" w:rsidR="00CD43C4" w:rsidRDefault="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A</w:t>
            </w:r>
          </w:p>
        </w:tc>
        <w:tc>
          <w:tcPr>
            <w:tcW w:w="1240" w:type="dxa"/>
            <w:gridSpan w:val="2"/>
            <w:tcBorders>
              <w:top w:val="nil"/>
              <w:left w:val="nil"/>
              <w:bottom w:val="single" w:sz="8" w:space="0" w:color="auto"/>
              <w:right w:val="single" w:sz="4" w:space="0" w:color="auto"/>
            </w:tcBorders>
            <w:shd w:val="clear" w:color="auto" w:fill="auto"/>
            <w:vAlign w:val="center"/>
            <w:hideMark/>
          </w:tcPr>
          <w:p w14:paraId="2C148294" w14:textId="77777777" w:rsidR="00CD43C4" w:rsidRDefault="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B</w:t>
            </w:r>
          </w:p>
        </w:tc>
        <w:tc>
          <w:tcPr>
            <w:tcW w:w="1220" w:type="dxa"/>
            <w:gridSpan w:val="2"/>
            <w:tcBorders>
              <w:top w:val="nil"/>
              <w:left w:val="nil"/>
              <w:bottom w:val="single" w:sz="8" w:space="0" w:color="auto"/>
              <w:right w:val="single" w:sz="4" w:space="0" w:color="auto"/>
            </w:tcBorders>
            <w:shd w:val="clear" w:color="auto" w:fill="auto"/>
            <w:vAlign w:val="center"/>
            <w:hideMark/>
          </w:tcPr>
          <w:p w14:paraId="29E22775" w14:textId="77777777" w:rsidR="00CD43C4" w:rsidRDefault="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C</w:t>
            </w:r>
          </w:p>
        </w:tc>
        <w:tc>
          <w:tcPr>
            <w:tcW w:w="1280" w:type="dxa"/>
            <w:gridSpan w:val="2"/>
            <w:tcBorders>
              <w:top w:val="nil"/>
              <w:left w:val="nil"/>
              <w:bottom w:val="single" w:sz="8" w:space="0" w:color="auto"/>
              <w:right w:val="single" w:sz="4" w:space="0" w:color="auto"/>
            </w:tcBorders>
            <w:shd w:val="clear" w:color="auto" w:fill="auto"/>
            <w:vAlign w:val="center"/>
            <w:hideMark/>
          </w:tcPr>
          <w:p w14:paraId="6410761D" w14:textId="77777777" w:rsidR="00CD43C4" w:rsidRDefault="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D</w:t>
            </w:r>
          </w:p>
        </w:tc>
        <w:tc>
          <w:tcPr>
            <w:tcW w:w="1060" w:type="dxa"/>
            <w:gridSpan w:val="2"/>
            <w:tcBorders>
              <w:top w:val="nil"/>
              <w:left w:val="nil"/>
              <w:bottom w:val="single" w:sz="8" w:space="0" w:color="auto"/>
              <w:right w:val="single" w:sz="4" w:space="0" w:color="auto"/>
            </w:tcBorders>
            <w:shd w:val="clear" w:color="auto" w:fill="auto"/>
            <w:vAlign w:val="center"/>
            <w:hideMark/>
          </w:tcPr>
          <w:p w14:paraId="669022BB" w14:textId="77777777" w:rsidR="00CD43C4" w:rsidRDefault="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E</w:t>
            </w:r>
          </w:p>
        </w:tc>
        <w:tc>
          <w:tcPr>
            <w:tcW w:w="1020" w:type="dxa"/>
            <w:gridSpan w:val="2"/>
            <w:tcBorders>
              <w:top w:val="nil"/>
              <w:left w:val="nil"/>
              <w:bottom w:val="single" w:sz="8" w:space="0" w:color="auto"/>
              <w:right w:val="single" w:sz="8" w:space="0" w:color="auto"/>
            </w:tcBorders>
            <w:shd w:val="clear" w:color="auto" w:fill="auto"/>
            <w:vAlign w:val="center"/>
            <w:hideMark/>
          </w:tcPr>
          <w:p w14:paraId="429144DD" w14:textId="77777777" w:rsidR="00CD43C4" w:rsidRDefault="00CD43C4">
            <w:pPr>
              <w:jc w:val="center"/>
              <w:rPr>
                <w:rFonts w:ascii="Times New Roman CE" w:hAnsi="Times New Roman CE" w:cs="Times New Roman CE"/>
                <w:b/>
                <w:bCs/>
                <w:sz w:val="16"/>
                <w:szCs w:val="16"/>
              </w:rPr>
            </w:pPr>
            <w:r>
              <w:rPr>
                <w:rFonts w:ascii="Times New Roman CE" w:hAnsi="Times New Roman CE" w:cs="Times New Roman CE"/>
                <w:b/>
                <w:bCs/>
                <w:sz w:val="16"/>
                <w:szCs w:val="16"/>
              </w:rPr>
              <w:t>F=(B-D-E)</w:t>
            </w:r>
          </w:p>
        </w:tc>
      </w:tr>
      <w:tr w:rsidR="00CD43C4" w14:paraId="79AA0406" w14:textId="77777777" w:rsidTr="00CD43C4">
        <w:tblPrEx>
          <w:jc w:val="left"/>
        </w:tblPrEx>
        <w:trPr>
          <w:gridBefore w:val="1"/>
          <w:wBefore w:w="10" w:type="dxa"/>
          <w:trHeight w:val="319"/>
        </w:trPr>
        <w:tc>
          <w:tcPr>
            <w:tcW w:w="36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AF14F28"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Hunyadi utca 2/</w:t>
            </w:r>
            <w:proofErr w:type="gramStart"/>
            <w:r>
              <w:rPr>
                <w:rFonts w:ascii="Times New Roman CE" w:hAnsi="Times New Roman CE" w:cs="Times New Roman CE"/>
                <w:sz w:val="18"/>
                <w:szCs w:val="18"/>
              </w:rPr>
              <w:t>A</w:t>
            </w:r>
            <w:proofErr w:type="gramEnd"/>
            <w:r>
              <w:rPr>
                <w:rFonts w:ascii="Times New Roman CE" w:hAnsi="Times New Roman CE" w:cs="Times New Roman CE"/>
                <w:sz w:val="18"/>
                <w:szCs w:val="18"/>
              </w:rPr>
              <w:t xml:space="preserve"> E/1 villamosrendszer felújítása</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66766A7A"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1 800 000</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67DFA5F5"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09EE8777"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1ECFA372"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1 800 000</w:t>
            </w:r>
          </w:p>
        </w:tc>
        <w:tc>
          <w:tcPr>
            <w:tcW w:w="1020" w:type="dxa"/>
            <w:gridSpan w:val="2"/>
            <w:tcBorders>
              <w:top w:val="single" w:sz="4" w:space="0" w:color="auto"/>
              <w:left w:val="nil"/>
              <w:bottom w:val="single" w:sz="4" w:space="0" w:color="auto"/>
              <w:right w:val="single" w:sz="8" w:space="0" w:color="auto"/>
            </w:tcBorders>
            <w:shd w:val="clear" w:color="auto" w:fill="auto"/>
            <w:vAlign w:val="center"/>
            <w:hideMark/>
          </w:tcPr>
          <w:p w14:paraId="1EBDFD45"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61CE2DB4" w14:textId="77777777" w:rsidTr="00CD43C4">
        <w:tblPrEx>
          <w:jc w:val="left"/>
        </w:tblPrEx>
        <w:trPr>
          <w:gridBefore w:val="1"/>
          <w:wBefore w:w="10" w:type="dxa"/>
          <w:trHeight w:val="319"/>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0A6950B8"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xml:space="preserve">Gárdonyi u. 1. - tetőszerkezet teljeskörű </w:t>
            </w:r>
            <w:proofErr w:type="spellStart"/>
            <w:r>
              <w:rPr>
                <w:rFonts w:ascii="Times New Roman CE" w:hAnsi="Times New Roman CE" w:cs="Times New Roman CE"/>
                <w:sz w:val="18"/>
                <w:szCs w:val="18"/>
              </w:rPr>
              <w:t>karb</w:t>
            </w:r>
            <w:proofErr w:type="spellEnd"/>
            <w:r>
              <w:rPr>
                <w:rFonts w:ascii="Times New Roman CE" w:hAnsi="Times New Roman CE" w:cs="Times New Roman CE"/>
                <w:sz w:val="18"/>
                <w:szCs w:val="18"/>
              </w:rPr>
              <w:t>.</w:t>
            </w:r>
          </w:p>
        </w:tc>
        <w:tc>
          <w:tcPr>
            <w:tcW w:w="1240" w:type="dxa"/>
            <w:gridSpan w:val="2"/>
            <w:tcBorders>
              <w:top w:val="nil"/>
              <w:left w:val="nil"/>
              <w:bottom w:val="single" w:sz="4" w:space="0" w:color="auto"/>
              <w:right w:val="single" w:sz="4" w:space="0" w:color="auto"/>
            </w:tcBorders>
            <w:shd w:val="clear" w:color="auto" w:fill="auto"/>
            <w:vAlign w:val="center"/>
            <w:hideMark/>
          </w:tcPr>
          <w:p w14:paraId="054A641C"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3 000 000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11EF41AB"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22B6F924"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6080A082"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3 000 000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419A918A"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60559162" w14:textId="77777777" w:rsidTr="00CD43C4">
        <w:tblPrEx>
          <w:jc w:val="left"/>
        </w:tblPrEx>
        <w:trPr>
          <w:gridBefore w:val="1"/>
          <w:wBefore w:w="10" w:type="dxa"/>
          <w:trHeight w:val="510"/>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3DBC32AD"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Budai u. 56-58 - egy lakás villamoshálózat felújítás</w:t>
            </w:r>
          </w:p>
        </w:tc>
        <w:tc>
          <w:tcPr>
            <w:tcW w:w="1240" w:type="dxa"/>
            <w:gridSpan w:val="2"/>
            <w:tcBorders>
              <w:top w:val="nil"/>
              <w:left w:val="nil"/>
              <w:bottom w:val="single" w:sz="4" w:space="0" w:color="auto"/>
              <w:right w:val="single" w:sz="4" w:space="0" w:color="auto"/>
            </w:tcBorders>
            <w:shd w:val="clear" w:color="auto" w:fill="auto"/>
            <w:vAlign w:val="center"/>
            <w:hideMark/>
          </w:tcPr>
          <w:p w14:paraId="77F0D9FB"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1 800 000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6DE768CB"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61AC2243"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23AB618C"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1 800 000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00C9FF58"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347FFE38" w14:textId="77777777" w:rsidTr="00CD43C4">
        <w:tblPrEx>
          <w:jc w:val="left"/>
        </w:tblPrEx>
        <w:trPr>
          <w:gridBefore w:val="1"/>
          <w:wBefore w:w="10" w:type="dxa"/>
          <w:trHeight w:val="255"/>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4DB74234"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xml:space="preserve">Svábhegy u. 1. közös vizesblokk </w:t>
            </w:r>
            <w:proofErr w:type="spellStart"/>
            <w:r>
              <w:rPr>
                <w:rFonts w:ascii="Times New Roman CE" w:hAnsi="Times New Roman CE" w:cs="Times New Roman CE"/>
                <w:sz w:val="18"/>
                <w:szCs w:val="18"/>
              </w:rPr>
              <w:t>kial</w:t>
            </w:r>
            <w:proofErr w:type="spellEnd"/>
            <w:r>
              <w:rPr>
                <w:rFonts w:ascii="Times New Roman CE" w:hAnsi="Times New Roman CE" w:cs="Times New Roman CE"/>
                <w:sz w:val="18"/>
                <w:szCs w:val="18"/>
              </w:rPr>
              <w:t>. II. ütem</w:t>
            </w:r>
          </w:p>
        </w:tc>
        <w:tc>
          <w:tcPr>
            <w:tcW w:w="1240" w:type="dxa"/>
            <w:gridSpan w:val="2"/>
            <w:tcBorders>
              <w:top w:val="nil"/>
              <w:left w:val="nil"/>
              <w:bottom w:val="single" w:sz="4" w:space="0" w:color="auto"/>
              <w:right w:val="single" w:sz="4" w:space="0" w:color="auto"/>
            </w:tcBorders>
            <w:shd w:val="clear" w:color="auto" w:fill="auto"/>
            <w:vAlign w:val="center"/>
            <w:hideMark/>
          </w:tcPr>
          <w:p w14:paraId="0A73B5E3"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141575A6"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164F0CEA"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1AF3BE8"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6A9A1762"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4E7D2739" w14:textId="77777777" w:rsidTr="00CD43C4">
        <w:tblPrEx>
          <w:jc w:val="left"/>
        </w:tblPrEx>
        <w:trPr>
          <w:gridBefore w:val="1"/>
          <w:wBefore w:w="10" w:type="dxa"/>
          <w:trHeight w:val="255"/>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2D48683C"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xml:space="preserve">Svábhegy u. 1. egy szükséglakás </w:t>
            </w:r>
            <w:proofErr w:type="spellStart"/>
            <w:r>
              <w:rPr>
                <w:rFonts w:ascii="Times New Roman CE" w:hAnsi="Times New Roman CE" w:cs="Times New Roman CE"/>
                <w:sz w:val="18"/>
                <w:szCs w:val="18"/>
              </w:rPr>
              <w:t>kial</w:t>
            </w:r>
            <w:proofErr w:type="spellEnd"/>
            <w:r>
              <w:rPr>
                <w:rFonts w:ascii="Times New Roman CE" w:hAnsi="Times New Roman CE" w:cs="Times New Roman CE"/>
                <w:sz w:val="18"/>
                <w:szCs w:val="18"/>
              </w:rPr>
              <w:t>. II. ütem</w:t>
            </w:r>
          </w:p>
        </w:tc>
        <w:tc>
          <w:tcPr>
            <w:tcW w:w="1240" w:type="dxa"/>
            <w:gridSpan w:val="2"/>
            <w:tcBorders>
              <w:top w:val="nil"/>
              <w:left w:val="nil"/>
              <w:bottom w:val="single" w:sz="4" w:space="0" w:color="auto"/>
              <w:right w:val="single" w:sz="4" w:space="0" w:color="auto"/>
            </w:tcBorders>
            <w:shd w:val="clear" w:color="auto" w:fill="auto"/>
            <w:vAlign w:val="center"/>
            <w:hideMark/>
          </w:tcPr>
          <w:p w14:paraId="4DD3A0FC"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4AD3BF8F"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3868ACE3"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22BD5570"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54835C6A"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713CD1DB" w14:textId="77777777" w:rsidTr="00CD43C4">
        <w:tblPrEx>
          <w:jc w:val="left"/>
        </w:tblPrEx>
        <w:trPr>
          <w:gridBefore w:val="1"/>
          <w:wBefore w:w="10" w:type="dxa"/>
          <w:trHeight w:val="319"/>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325691F2"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Baross u. 3</w:t>
            </w:r>
            <w:proofErr w:type="gramStart"/>
            <w:r>
              <w:rPr>
                <w:rFonts w:ascii="Times New Roman CE" w:hAnsi="Times New Roman CE" w:cs="Times New Roman CE"/>
                <w:sz w:val="18"/>
                <w:szCs w:val="18"/>
              </w:rPr>
              <w:t>.épület</w:t>
            </w:r>
            <w:proofErr w:type="gramEnd"/>
            <w:r>
              <w:rPr>
                <w:rFonts w:ascii="Times New Roman CE" w:hAnsi="Times New Roman CE" w:cs="Times New Roman CE"/>
                <w:sz w:val="18"/>
                <w:szCs w:val="18"/>
              </w:rPr>
              <w:t xml:space="preserve"> karbantartás</w:t>
            </w:r>
          </w:p>
        </w:tc>
        <w:tc>
          <w:tcPr>
            <w:tcW w:w="1240" w:type="dxa"/>
            <w:gridSpan w:val="2"/>
            <w:tcBorders>
              <w:top w:val="nil"/>
              <w:left w:val="nil"/>
              <w:bottom w:val="single" w:sz="4" w:space="0" w:color="auto"/>
              <w:right w:val="single" w:sz="4" w:space="0" w:color="auto"/>
            </w:tcBorders>
            <w:shd w:val="clear" w:color="auto" w:fill="auto"/>
            <w:vAlign w:val="center"/>
            <w:hideMark/>
          </w:tcPr>
          <w:p w14:paraId="3E29BB65"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200 000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6206DA4C"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3BF16FD3"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385BBFCE"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200 000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32DA069F"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44BCE71C" w14:textId="77777777" w:rsidTr="00CD43C4">
        <w:tblPrEx>
          <w:jc w:val="left"/>
        </w:tblPrEx>
        <w:trPr>
          <w:gridBefore w:val="1"/>
          <w:wBefore w:w="10" w:type="dxa"/>
          <w:trHeight w:val="319"/>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454BC56E" w14:textId="77777777" w:rsidR="00CD43C4" w:rsidRDefault="00CD43C4">
            <w:pPr>
              <w:rPr>
                <w:rFonts w:ascii="Times New Roman CE" w:hAnsi="Times New Roman CE" w:cs="Times New Roman CE"/>
                <w:sz w:val="18"/>
                <w:szCs w:val="18"/>
              </w:rPr>
            </w:pPr>
            <w:proofErr w:type="spellStart"/>
            <w:r>
              <w:rPr>
                <w:rFonts w:ascii="Times New Roman CE" w:hAnsi="Times New Roman CE" w:cs="Times New Roman CE"/>
                <w:sz w:val="18"/>
                <w:szCs w:val="18"/>
              </w:rPr>
              <w:t>Rendkívűli</w:t>
            </w:r>
            <w:proofErr w:type="spellEnd"/>
            <w:r>
              <w:rPr>
                <w:rFonts w:ascii="Times New Roman CE" w:hAnsi="Times New Roman CE" w:cs="Times New Roman CE"/>
                <w:sz w:val="18"/>
                <w:szCs w:val="18"/>
              </w:rPr>
              <w:t xml:space="preserve"> felújítási és karbantartási feladatok</w:t>
            </w:r>
          </w:p>
        </w:tc>
        <w:tc>
          <w:tcPr>
            <w:tcW w:w="1240" w:type="dxa"/>
            <w:gridSpan w:val="2"/>
            <w:tcBorders>
              <w:top w:val="nil"/>
              <w:left w:val="nil"/>
              <w:bottom w:val="single" w:sz="4" w:space="0" w:color="auto"/>
              <w:right w:val="single" w:sz="4" w:space="0" w:color="auto"/>
            </w:tcBorders>
            <w:shd w:val="clear" w:color="auto" w:fill="auto"/>
            <w:vAlign w:val="center"/>
            <w:hideMark/>
          </w:tcPr>
          <w:p w14:paraId="06E1E501"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1 000 000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231B1B40"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61F12F74"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auto" w:fill="auto"/>
            <w:vAlign w:val="center"/>
            <w:hideMark/>
          </w:tcPr>
          <w:p w14:paraId="7CB660BC"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1 000 000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7BAA0634"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4EB1BDFD" w14:textId="77777777" w:rsidTr="00CD43C4">
        <w:tblPrEx>
          <w:jc w:val="left"/>
        </w:tblPrEx>
        <w:trPr>
          <w:gridBefore w:val="1"/>
          <w:wBefore w:w="10" w:type="dxa"/>
          <w:trHeight w:val="319"/>
        </w:trPr>
        <w:tc>
          <w:tcPr>
            <w:tcW w:w="3640" w:type="dxa"/>
            <w:gridSpan w:val="2"/>
            <w:tcBorders>
              <w:top w:val="nil"/>
              <w:left w:val="single" w:sz="8" w:space="0" w:color="auto"/>
              <w:bottom w:val="single" w:sz="4" w:space="0" w:color="auto"/>
              <w:right w:val="single" w:sz="4" w:space="0" w:color="auto"/>
            </w:tcBorders>
            <w:shd w:val="clear" w:color="auto" w:fill="auto"/>
            <w:vAlign w:val="center"/>
            <w:hideMark/>
          </w:tcPr>
          <w:p w14:paraId="1DFAFE82"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xml:space="preserve">Ady utcai ingatlan tetőfelújításához </w:t>
            </w:r>
          </w:p>
        </w:tc>
        <w:tc>
          <w:tcPr>
            <w:tcW w:w="1240" w:type="dxa"/>
            <w:gridSpan w:val="2"/>
            <w:tcBorders>
              <w:top w:val="nil"/>
              <w:left w:val="nil"/>
              <w:bottom w:val="single" w:sz="4" w:space="0" w:color="auto"/>
              <w:right w:val="single" w:sz="4" w:space="0" w:color="auto"/>
            </w:tcBorders>
            <w:shd w:val="clear" w:color="auto" w:fill="auto"/>
            <w:vAlign w:val="center"/>
            <w:hideMark/>
          </w:tcPr>
          <w:p w14:paraId="410272D4"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900 000</w:t>
            </w:r>
          </w:p>
        </w:tc>
        <w:tc>
          <w:tcPr>
            <w:tcW w:w="1220" w:type="dxa"/>
            <w:gridSpan w:val="2"/>
            <w:tcBorders>
              <w:top w:val="nil"/>
              <w:left w:val="nil"/>
              <w:bottom w:val="single" w:sz="4" w:space="0" w:color="auto"/>
              <w:right w:val="single" w:sz="4" w:space="0" w:color="auto"/>
            </w:tcBorders>
            <w:shd w:val="clear" w:color="auto" w:fill="auto"/>
            <w:vAlign w:val="center"/>
            <w:hideMark/>
          </w:tcPr>
          <w:p w14:paraId="15FC124C" w14:textId="77777777" w:rsidR="00CD43C4" w:rsidRDefault="00CD43C4">
            <w:pPr>
              <w:jc w:val="center"/>
              <w:rPr>
                <w:rFonts w:ascii="Times New Roman CE" w:hAnsi="Times New Roman CE" w:cs="Times New Roman CE"/>
                <w:sz w:val="18"/>
                <w:szCs w:val="18"/>
              </w:rPr>
            </w:pPr>
            <w:r>
              <w:rPr>
                <w:rFonts w:ascii="Times New Roman CE" w:hAnsi="Times New Roman CE" w:cs="Times New Roman CE"/>
                <w:sz w:val="18"/>
                <w:szCs w:val="18"/>
              </w:rPr>
              <w:t>2023</w:t>
            </w:r>
          </w:p>
        </w:tc>
        <w:tc>
          <w:tcPr>
            <w:tcW w:w="1280" w:type="dxa"/>
            <w:gridSpan w:val="2"/>
            <w:tcBorders>
              <w:top w:val="nil"/>
              <w:left w:val="nil"/>
              <w:bottom w:val="single" w:sz="4" w:space="0" w:color="auto"/>
              <w:right w:val="single" w:sz="4" w:space="0" w:color="auto"/>
            </w:tcBorders>
            <w:shd w:val="clear" w:color="auto" w:fill="auto"/>
            <w:vAlign w:val="center"/>
            <w:hideMark/>
          </w:tcPr>
          <w:p w14:paraId="0256BAF1"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544E4E0C" w14:textId="77777777" w:rsidR="00CD43C4" w:rsidRDefault="00CD43C4">
            <w:pPr>
              <w:jc w:val="right"/>
              <w:rPr>
                <w:rFonts w:ascii="Times New Roman CE" w:hAnsi="Times New Roman CE" w:cs="Times New Roman CE"/>
                <w:sz w:val="18"/>
                <w:szCs w:val="18"/>
              </w:rPr>
            </w:pPr>
            <w:r>
              <w:rPr>
                <w:rFonts w:ascii="Times New Roman CE" w:hAnsi="Times New Roman CE" w:cs="Times New Roman CE"/>
                <w:sz w:val="18"/>
                <w:szCs w:val="18"/>
              </w:rPr>
              <w:t>900 000</w:t>
            </w:r>
          </w:p>
        </w:tc>
        <w:tc>
          <w:tcPr>
            <w:tcW w:w="1020" w:type="dxa"/>
            <w:gridSpan w:val="2"/>
            <w:tcBorders>
              <w:top w:val="nil"/>
              <w:left w:val="nil"/>
              <w:bottom w:val="single" w:sz="4" w:space="0" w:color="auto"/>
              <w:right w:val="single" w:sz="8" w:space="0" w:color="auto"/>
            </w:tcBorders>
            <w:shd w:val="clear" w:color="auto" w:fill="auto"/>
            <w:vAlign w:val="center"/>
            <w:hideMark/>
          </w:tcPr>
          <w:p w14:paraId="5B14F96D" w14:textId="77777777" w:rsidR="00CD43C4" w:rsidRDefault="00CD43C4">
            <w:pPr>
              <w:rPr>
                <w:rFonts w:ascii="Times New Roman CE" w:hAnsi="Times New Roman CE" w:cs="Times New Roman CE"/>
                <w:sz w:val="18"/>
                <w:szCs w:val="18"/>
              </w:rPr>
            </w:pPr>
            <w:r>
              <w:rPr>
                <w:rFonts w:ascii="Times New Roman CE" w:hAnsi="Times New Roman CE" w:cs="Times New Roman CE"/>
                <w:sz w:val="18"/>
                <w:szCs w:val="18"/>
              </w:rPr>
              <w:t> </w:t>
            </w:r>
          </w:p>
        </w:tc>
      </w:tr>
      <w:tr w:rsidR="00CD43C4" w14:paraId="0DDAA5F4" w14:textId="77777777" w:rsidTr="00CD43C4">
        <w:tblPrEx>
          <w:jc w:val="left"/>
        </w:tblPrEx>
        <w:trPr>
          <w:gridBefore w:val="1"/>
          <w:wBefore w:w="10" w:type="dxa"/>
          <w:trHeight w:val="360"/>
        </w:trPr>
        <w:tc>
          <w:tcPr>
            <w:tcW w:w="364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533F64A" w14:textId="77777777" w:rsidR="00CD43C4" w:rsidRDefault="00CD43C4">
            <w:pPr>
              <w:rPr>
                <w:rFonts w:ascii="Times New Roman CE" w:hAnsi="Times New Roman CE" w:cs="Times New Roman CE"/>
                <w:b/>
                <w:bCs/>
                <w:sz w:val="18"/>
                <w:szCs w:val="18"/>
              </w:rPr>
            </w:pPr>
            <w:r>
              <w:rPr>
                <w:rFonts w:ascii="Times New Roman CE" w:hAnsi="Times New Roman CE" w:cs="Times New Roman CE"/>
                <w:b/>
                <w:bCs/>
                <w:sz w:val="18"/>
                <w:szCs w:val="18"/>
              </w:rPr>
              <w:t>ÖSSZESEN:</w:t>
            </w:r>
          </w:p>
        </w:tc>
        <w:tc>
          <w:tcPr>
            <w:tcW w:w="1240" w:type="dxa"/>
            <w:gridSpan w:val="2"/>
            <w:tcBorders>
              <w:top w:val="single" w:sz="8" w:space="0" w:color="auto"/>
              <w:left w:val="nil"/>
              <w:bottom w:val="single" w:sz="8" w:space="0" w:color="auto"/>
              <w:right w:val="single" w:sz="4" w:space="0" w:color="auto"/>
            </w:tcBorders>
            <w:shd w:val="clear" w:color="auto" w:fill="auto"/>
            <w:vAlign w:val="center"/>
            <w:hideMark/>
          </w:tcPr>
          <w:p w14:paraId="157C6235" w14:textId="77777777" w:rsidR="00CD43C4" w:rsidRDefault="00CD43C4">
            <w:pPr>
              <w:jc w:val="right"/>
              <w:rPr>
                <w:rFonts w:ascii="Times New Roman CE" w:hAnsi="Times New Roman CE" w:cs="Times New Roman CE"/>
                <w:b/>
                <w:bCs/>
                <w:sz w:val="18"/>
                <w:szCs w:val="18"/>
              </w:rPr>
            </w:pPr>
            <w:r>
              <w:rPr>
                <w:rFonts w:ascii="Times New Roman CE" w:hAnsi="Times New Roman CE" w:cs="Times New Roman CE"/>
                <w:b/>
                <w:bCs/>
                <w:sz w:val="18"/>
                <w:szCs w:val="18"/>
              </w:rPr>
              <w:t>9 700 000</w:t>
            </w:r>
          </w:p>
        </w:tc>
        <w:tc>
          <w:tcPr>
            <w:tcW w:w="1220" w:type="dxa"/>
            <w:gridSpan w:val="2"/>
            <w:tcBorders>
              <w:top w:val="single" w:sz="8" w:space="0" w:color="auto"/>
              <w:left w:val="nil"/>
              <w:bottom w:val="single" w:sz="8" w:space="0" w:color="auto"/>
              <w:right w:val="single" w:sz="4" w:space="0" w:color="auto"/>
            </w:tcBorders>
            <w:shd w:val="thinHorzStripe" w:color="000000" w:fill="auto"/>
            <w:vAlign w:val="center"/>
            <w:hideMark/>
          </w:tcPr>
          <w:p w14:paraId="5FD03F41" w14:textId="77777777" w:rsidR="00CD43C4" w:rsidRDefault="00CD43C4">
            <w:pPr>
              <w:rPr>
                <w:rFonts w:ascii="Times New Roman CE" w:hAnsi="Times New Roman CE" w:cs="Times New Roman CE"/>
                <w:b/>
                <w:bCs/>
                <w:sz w:val="18"/>
                <w:szCs w:val="18"/>
              </w:rPr>
            </w:pPr>
            <w:r>
              <w:rPr>
                <w:rFonts w:ascii="Times New Roman CE" w:hAnsi="Times New Roman CE" w:cs="Times New Roman CE"/>
                <w:b/>
                <w:bCs/>
                <w:sz w:val="18"/>
                <w:szCs w:val="18"/>
              </w:rPr>
              <w:t> </w:t>
            </w:r>
          </w:p>
        </w:tc>
        <w:tc>
          <w:tcPr>
            <w:tcW w:w="1280" w:type="dxa"/>
            <w:gridSpan w:val="2"/>
            <w:tcBorders>
              <w:top w:val="single" w:sz="8" w:space="0" w:color="auto"/>
              <w:left w:val="nil"/>
              <w:bottom w:val="single" w:sz="8" w:space="0" w:color="auto"/>
              <w:right w:val="single" w:sz="4" w:space="0" w:color="auto"/>
            </w:tcBorders>
            <w:shd w:val="clear" w:color="auto" w:fill="auto"/>
            <w:vAlign w:val="center"/>
            <w:hideMark/>
          </w:tcPr>
          <w:p w14:paraId="53177CB3" w14:textId="77777777" w:rsidR="00CD43C4" w:rsidRDefault="00CD43C4">
            <w:pPr>
              <w:rPr>
                <w:rFonts w:ascii="Times New Roman CE" w:hAnsi="Times New Roman CE" w:cs="Times New Roman CE"/>
                <w:b/>
                <w:bCs/>
                <w:sz w:val="18"/>
                <w:szCs w:val="18"/>
              </w:rPr>
            </w:pPr>
            <w:r>
              <w:rPr>
                <w:rFonts w:ascii="Times New Roman CE" w:hAnsi="Times New Roman CE" w:cs="Times New Roman CE"/>
                <w:b/>
                <w:bCs/>
                <w:sz w:val="18"/>
                <w:szCs w:val="18"/>
              </w:rPr>
              <w:t> </w:t>
            </w:r>
          </w:p>
        </w:tc>
        <w:tc>
          <w:tcPr>
            <w:tcW w:w="1060" w:type="dxa"/>
            <w:gridSpan w:val="2"/>
            <w:tcBorders>
              <w:top w:val="single" w:sz="8" w:space="0" w:color="auto"/>
              <w:left w:val="nil"/>
              <w:bottom w:val="single" w:sz="8" w:space="0" w:color="auto"/>
              <w:right w:val="single" w:sz="4" w:space="0" w:color="auto"/>
            </w:tcBorders>
            <w:shd w:val="clear" w:color="auto" w:fill="auto"/>
            <w:vAlign w:val="center"/>
            <w:hideMark/>
          </w:tcPr>
          <w:p w14:paraId="4717C1EF" w14:textId="77777777" w:rsidR="00CD43C4" w:rsidRDefault="00CD43C4">
            <w:pPr>
              <w:jc w:val="right"/>
              <w:rPr>
                <w:rFonts w:ascii="Times New Roman CE" w:hAnsi="Times New Roman CE" w:cs="Times New Roman CE"/>
                <w:b/>
                <w:bCs/>
                <w:sz w:val="18"/>
                <w:szCs w:val="18"/>
              </w:rPr>
            </w:pPr>
            <w:r>
              <w:rPr>
                <w:rFonts w:ascii="Times New Roman CE" w:hAnsi="Times New Roman CE" w:cs="Times New Roman CE"/>
                <w:b/>
                <w:bCs/>
                <w:sz w:val="18"/>
                <w:szCs w:val="18"/>
              </w:rPr>
              <w:t>9 700 000</w:t>
            </w:r>
          </w:p>
        </w:tc>
        <w:tc>
          <w:tcPr>
            <w:tcW w:w="1020" w:type="dxa"/>
            <w:gridSpan w:val="2"/>
            <w:tcBorders>
              <w:top w:val="single" w:sz="8" w:space="0" w:color="auto"/>
              <w:left w:val="nil"/>
              <w:bottom w:val="single" w:sz="8" w:space="0" w:color="auto"/>
              <w:right w:val="single" w:sz="8" w:space="0" w:color="auto"/>
            </w:tcBorders>
            <w:shd w:val="clear" w:color="auto" w:fill="auto"/>
            <w:vAlign w:val="center"/>
            <w:hideMark/>
          </w:tcPr>
          <w:p w14:paraId="7577BEAB" w14:textId="77777777" w:rsidR="00CD43C4" w:rsidRDefault="00CD43C4">
            <w:pPr>
              <w:rPr>
                <w:rFonts w:ascii="Times New Roman CE" w:hAnsi="Times New Roman CE" w:cs="Times New Roman CE"/>
                <w:b/>
                <w:bCs/>
                <w:sz w:val="18"/>
                <w:szCs w:val="18"/>
              </w:rPr>
            </w:pPr>
            <w:r>
              <w:rPr>
                <w:rFonts w:ascii="Times New Roman CE" w:hAnsi="Times New Roman CE" w:cs="Times New Roman CE"/>
                <w:b/>
                <w:bCs/>
                <w:sz w:val="18"/>
                <w:szCs w:val="18"/>
              </w:rPr>
              <w:t> </w:t>
            </w:r>
          </w:p>
        </w:tc>
      </w:tr>
    </w:tbl>
    <w:p w14:paraId="26ADF018" w14:textId="77777777" w:rsidR="006325C2" w:rsidRPr="00AE7B18" w:rsidRDefault="006325C2" w:rsidP="006325C2">
      <w:pPr>
        <w:spacing w:before="120"/>
        <w:jc w:val="both"/>
        <w:rPr>
          <w:rFonts w:ascii="Arial" w:hAnsi="Arial" w:cs="Arial"/>
          <w:sz w:val="22"/>
          <w:szCs w:val="22"/>
          <w:highlight w:val="yellow"/>
        </w:rPr>
      </w:pPr>
    </w:p>
    <w:p w14:paraId="79E09511" w14:textId="2FF576F5" w:rsidR="006325C2" w:rsidRPr="00AE7B18" w:rsidRDefault="003F7D69" w:rsidP="006325C2">
      <w:pPr>
        <w:spacing w:before="120"/>
        <w:jc w:val="both"/>
        <w:rPr>
          <w:rFonts w:ascii="Arial" w:hAnsi="Arial" w:cs="Arial"/>
          <w:sz w:val="22"/>
          <w:szCs w:val="22"/>
          <w:highlight w:val="yellow"/>
        </w:rPr>
      </w:pPr>
      <w:r w:rsidRPr="000056A9">
        <w:rPr>
          <w:rFonts w:ascii="Arial" w:hAnsi="Arial" w:cs="Arial"/>
          <w:b/>
          <w:sz w:val="22"/>
          <w:szCs w:val="22"/>
          <w:u w:val="single"/>
        </w:rPr>
        <w:t>A felhalmozási célú támogatások előirányzata</w:t>
      </w:r>
      <w:r>
        <w:rPr>
          <w:rFonts w:ascii="Arial" w:hAnsi="Arial" w:cs="Arial"/>
          <w:sz w:val="22"/>
          <w:szCs w:val="22"/>
        </w:rPr>
        <w:t xml:space="preserve"> a</w:t>
      </w:r>
      <w:r w:rsidR="006325C2" w:rsidRPr="00CD43C4">
        <w:rPr>
          <w:rFonts w:ascii="Arial" w:hAnsi="Arial" w:cs="Arial"/>
          <w:sz w:val="22"/>
          <w:szCs w:val="22"/>
        </w:rPr>
        <w:t xml:space="preserve"> </w:t>
      </w:r>
      <w:r w:rsidR="004631CD">
        <w:rPr>
          <w:rFonts w:ascii="Arial" w:hAnsi="Arial" w:cs="Arial"/>
          <w:sz w:val="22"/>
          <w:szCs w:val="22"/>
        </w:rPr>
        <w:t>Gondozási Központ részére</w:t>
      </w:r>
      <w:r>
        <w:rPr>
          <w:rFonts w:ascii="Arial" w:hAnsi="Arial" w:cs="Arial"/>
          <w:sz w:val="22"/>
          <w:szCs w:val="22"/>
        </w:rPr>
        <w:t xml:space="preserve"> biztosított segélyhívó telefon beszerzésére</w:t>
      </w:r>
      <w:r w:rsidR="004631CD">
        <w:rPr>
          <w:rFonts w:ascii="Arial" w:hAnsi="Arial" w:cs="Arial"/>
          <w:sz w:val="22"/>
          <w:szCs w:val="22"/>
        </w:rPr>
        <w:t xml:space="preserve"> </w:t>
      </w:r>
      <w:r>
        <w:rPr>
          <w:rFonts w:ascii="Arial" w:hAnsi="Arial" w:cs="Arial"/>
          <w:sz w:val="22"/>
          <w:szCs w:val="22"/>
        </w:rPr>
        <w:t xml:space="preserve">szolgáló </w:t>
      </w:r>
      <w:r w:rsidR="00CD43C4" w:rsidRPr="00CD43C4">
        <w:rPr>
          <w:rFonts w:ascii="Arial" w:hAnsi="Arial" w:cs="Arial"/>
          <w:sz w:val="22"/>
          <w:szCs w:val="22"/>
        </w:rPr>
        <w:t>215 900</w:t>
      </w:r>
      <w:r>
        <w:rPr>
          <w:rFonts w:ascii="Arial" w:hAnsi="Arial" w:cs="Arial"/>
          <w:sz w:val="22"/>
          <w:szCs w:val="22"/>
        </w:rPr>
        <w:t xml:space="preserve"> Ft-ot tartalmazza.</w:t>
      </w:r>
      <w:r w:rsidR="006325C2" w:rsidRPr="00CD43C4">
        <w:rPr>
          <w:rFonts w:ascii="Arial" w:hAnsi="Arial" w:cs="Arial"/>
          <w:sz w:val="22"/>
          <w:szCs w:val="22"/>
        </w:rPr>
        <w:t xml:space="preserve"> </w:t>
      </w:r>
    </w:p>
    <w:p w14:paraId="14CA7BA4" w14:textId="3D92570F" w:rsidR="006325C2" w:rsidRPr="004631CD" w:rsidRDefault="006325C2" w:rsidP="006325C2">
      <w:pPr>
        <w:spacing w:before="120"/>
        <w:jc w:val="both"/>
        <w:rPr>
          <w:rFonts w:ascii="Arial" w:hAnsi="Arial" w:cs="Arial"/>
          <w:sz w:val="22"/>
          <w:szCs w:val="22"/>
        </w:rPr>
      </w:pPr>
      <w:proofErr w:type="gramStart"/>
      <w:r w:rsidRPr="000056A9">
        <w:rPr>
          <w:rFonts w:ascii="Arial" w:hAnsi="Arial" w:cs="Arial"/>
          <w:b/>
          <w:sz w:val="22"/>
          <w:szCs w:val="22"/>
        </w:rPr>
        <w:t>Finanszírozási</w:t>
      </w:r>
      <w:proofErr w:type="gramEnd"/>
      <w:r w:rsidRPr="000056A9">
        <w:rPr>
          <w:rFonts w:ascii="Arial" w:hAnsi="Arial" w:cs="Arial"/>
          <w:b/>
          <w:sz w:val="22"/>
          <w:szCs w:val="22"/>
        </w:rPr>
        <w:t xml:space="preserve"> kiadásaink</w:t>
      </w:r>
      <w:r w:rsidR="004631CD">
        <w:rPr>
          <w:rFonts w:ascii="Arial" w:hAnsi="Arial" w:cs="Arial"/>
          <w:sz w:val="22"/>
          <w:szCs w:val="22"/>
        </w:rPr>
        <w:t xml:space="preserve"> között </w:t>
      </w:r>
      <w:r w:rsidRPr="00CD43C4">
        <w:rPr>
          <w:rFonts w:ascii="Arial" w:hAnsi="Arial" w:cs="Arial"/>
          <w:sz w:val="22"/>
          <w:szCs w:val="22"/>
        </w:rPr>
        <w:t xml:space="preserve">a MÁK által megelőlegezett </w:t>
      </w:r>
      <w:r w:rsidR="004631CD" w:rsidRPr="004631CD">
        <w:rPr>
          <w:rFonts w:ascii="Arial" w:hAnsi="Arial" w:cs="Arial"/>
          <w:sz w:val="22"/>
          <w:szCs w:val="22"/>
        </w:rPr>
        <w:t>26 821</w:t>
      </w:r>
      <w:r w:rsidR="004631CD">
        <w:rPr>
          <w:rFonts w:ascii="Arial" w:hAnsi="Arial" w:cs="Arial"/>
          <w:sz w:val="22"/>
          <w:szCs w:val="22"/>
        </w:rPr>
        <w:t> </w:t>
      </w:r>
      <w:r w:rsidR="004631CD" w:rsidRPr="004631CD">
        <w:rPr>
          <w:rFonts w:ascii="Arial" w:hAnsi="Arial" w:cs="Arial"/>
          <w:sz w:val="22"/>
          <w:szCs w:val="22"/>
        </w:rPr>
        <w:t>095</w:t>
      </w:r>
      <w:r w:rsidR="004631CD">
        <w:rPr>
          <w:rFonts w:ascii="Arial" w:hAnsi="Arial" w:cs="Arial"/>
          <w:sz w:val="22"/>
          <w:szCs w:val="22"/>
        </w:rPr>
        <w:t xml:space="preserve"> Ft összegű forrás visszafizetése szerepel, melyet az előző évbe</w:t>
      </w:r>
      <w:r w:rsidR="0059334A">
        <w:rPr>
          <w:rFonts w:ascii="Arial" w:hAnsi="Arial" w:cs="Arial"/>
          <w:sz w:val="22"/>
          <w:szCs w:val="22"/>
        </w:rPr>
        <w:t>n a januári bérek kifizetésére</w:t>
      </w:r>
      <w:r w:rsidR="004631CD">
        <w:rPr>
          <w:rFonts w:ascii="Arial" w:hAnsi="Arial" w:cs="Arial"/>
          <w:sz w:val="22"/>
          <w:szCs w:val="22"/>
        </w:rPr>
        <w:t xml:space="preserve"> bocsátottak rendelkezésünkre,</w:t>
      </w:r>
      <w:r w:rsidRPr="00CD43C4">
        <w:rPr>
          <w:rFonts w:ascii="Arial" w:hAnsi="Arial" w:cs="Arial"/>
          <w:sz w:val="22"/>
          <w:szCs w:val="22"/>
        </w:rPr>
        <w:t xml:space="preserve"> valamint a 2020-ban vásárolt gépkocsi lízing díja </w:t>
      </w:r>
      <w:r w:rsidR="00CD43C4" w:rsidRPr="00CD43C4">
        <w:rPr>
          <w:rFonts w:ascii="Arial" w:hAnsi="Arial" w:cs="Arial"/>
          <w:sz w:val="22"/>
          <w:szCs w:val="22"/>
        </w:rPr>
        <w:t>1 235 969</w:t>
      </w:r>
      <w:r w:rsidR="004631CD">
        <w:rPr>
          <w:rFonts w:ascii="Arial" w:hAnsi="Arial" w:cs="Arial"/>
          <w:sz w:val="22"/>
          <w:szCs w:val="22"/>
        </w:rPr>
        <w:t xml:space="preserve"> Ft összegben.</w:t>
      </w:r>
    </w:p>
    <w:p w14:paraId="36F5F3CF" w14:textId="77777777" w:rsidR="006325C2" w:rsidRPr="00AE7B18" w:rsidRDefault="006325C2" w:rsidP="006325C2">
      <w:pPr>
        <w:pStyle w:val="lfej"/>
        <w:tabs>
          <w:tab w:val="clear" w:pos="4536"/>
          <w:tab w:val="right" w:pos="5160"/>
        </w:tabs>
        <w:spacing w:line="276" w:lineRule="auto"/>
        <w:rPr>
          <w:rFonts w:ascii="Arial" w:hAnsi="Arial" w:cs="Arial"/>
          <w:sz w:val="22"/>
          <w:szCs w:val="22"/>
          <w:highlight w:val="yellow"/>
        </w:rPr>
      </w:pPr>
    </w:p>
    <w:p w14:paraId="14970CA4" w14:textId="532CCF2E" w:rsidR="006325C2" w:rsidRPr="00FC2E7D" w:rsidRDefault="006325C2" w:rsidP="006325C2">
      <w:pPr>
        <w:tabs>
          <w:tab w:val="center" w:pos="4536"/>
          <w:tab w:val="right" w:pos="5160"/>
          <w:tab w:val="right" w:pos="9072"/>
        </w:tabs>
        <w:overflowPunct w:val="0"/>
        <w:autoSpaceDE w:val="0"/>
        <w:autoSpaceDN w:val="0"/>
        <w:adjustRightInd w:val="0"/>
        <w:spacing w:line="276" w:lineRule="auto"/>
        <w:jc w:val="center"/>
        <w:textAlignment w:val="baseline"/>
        <w:rPr>
          <w:rFonts w:ascii="Arial" w:hAnsi="Arial" w:cs="Arial"/>
          <w:b/>
          <w:sz w:val="22"/>
          <w:szCs w:val="22"/>
          <w:lang w:val="x-none" w:eastAsia="hu-HU"/>
        </w:rPr>
      </w:pPr>
      <w:r w:rsidRPr="00FC2E7D">
        <w:rPr>
          <w:rFonts w:ascii="Arial" w:hAnsi="Arial" w:cs="Arial"/>
          <w:b/>
          <w:sz w:val="22"/>
          <w:szCs w:val="22"/>
          <w:lang w:val="x-none" w:eastAsia="hu-HU"/>
        </w:rPr>
        <w:t>Az Áht. 24. § (4) bekezdése a) – d) pontjai által előírt  mérle</w:t>
      </w:r>
      <w:r w:rsidR="00FC2E7D" w:rsidRPr="00FC2E7D">
        <w:rPr>
          <w:rFonts w:ascii="Arial" w:hAnsi="Arial" w:cs="Arial"/>
          <w:b/>
          <w:sz w:val="22"/>
          <w:szCs w:val="22"/>
          <w:lang w:val="x-none" w:eastAsia="hu-HU"/>
        </w:rPr>
        <w:t xml:space="preserve">gek, kimutatások </w:t>
      </w:r>
      <w:r w:rsidRPr="00FC2E7D">
        <w:rPr>
          <w:rFonts w:ascii="Arial" w:hAnsi="Arial" w:cs="Arial"/>
          <w:b/>
          <w:sz w:val="22"/>
          <w:szCs w:val="22"/>
          <w:lang w:val="x-none" w:eastAsia="hu-HU"/>
        </w:rPr>
        <w:t>tartalma</w:t>
      </w:r>
      <w:r w:rsidR="00FC2E7D" w:rsidRPr="00FC2E7D">
        <w:rPr>
          <w:rFonts w:ascii="Arial" w:hAnsi="Arial" w:cs="Arial"/>
          <w:b/>
          <w:sz w:val="22"/>
          <w:szCs w:val="22"/>
          <w:lang w:val="x-none" w:eastAsia="hu-HU"/>
        </w:rPr>
        <w:t>zzák</w:t>
      </w:r>
    </w:p>
    <w:p w14:paraId="01CCAB26" w14:textId="77777777" w:rsidR="006325C2" w:rsidRPr="00FC2E7D"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p>
    <w:p w14:paraId="23CE93CB" w14:textId="77777777" w:rsidR="006325C2" w:rsidRPr="00FC2E7D"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FC2E7D">
        <w:rPr>
          <w:rFonts w:ascii="Arial" w:hAnsi="Arial" w:cs="Arial"/>
          <w:sz w:val="22"/>
          <w:szCs w:val="22"/>
          <w:lang w:val="x-none" w:eastAsia="hu-HU"/>
        </w:rPr>
        <w:t xml:space="preserve">1. az önkormányzat költségvetési mérlegét közgazdasági tagolásban (összes bevételét, kiadást), </w:t>
      </w:r>
    </w:p>
    <w:p w14:paraId="4708950F" w14:textId="77777777" w:rsidR="006325C2" w:rsidRPr="00FC2E7D"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FC2E7D">
        <w:rPr>
          <w:rFonts w:ascii="Arial" w:hAnsi="Arial" w:cs="Arial"/>
          <w:sz w:val="22"/>
          <w:szCs w:val="22"/>
          <w:lang w:val="x-none" w:eastAsia="hu-HU"/>
        </w:rPr>
        <w:t xml:space="preserve">2. előirányzat felhasználási tervét, </w:t>
      </w:r>
    </w:p>
    <w:p w14:paraId="2F4B47C7" w14:textId="77777777" w:rsidR="006325C2" w:rsidRPr="00FC2E7D"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FC2E7D">
        <w:rPr>
          <w:rFonts w:ascii="Arial" w:hAnsi="Arial" w:cs="Arial"/>
          <w:sz w:val="22"/>
          <w:szCs w:val="22"/>
          <w:lang w:val="x-none" w:eastAsia="hu-HU"/>
        </w:rPr>
        <w:t>3.</w:t>
      </w:r>
      <w:r w:rsidRPr="00FC2E7D">
        <w:rPr>
          <w:rFonts w:ascii="Arial" w:hAnsi="Arial" w:cs="Arial"/>
          <w:sz w:val="22"/>
          <w:szCs w:val="22"/>
          <w:lang w:val="x-none" w:eastAsia="hu-HU"/>
        </w:rPr>
        <w:tab/>
        <w:t xml:space="preserve"> a többéves kihatással járó döntések </w:t>
      </w:r>
      <w:proofErr w:type="spellStart"/>
      <w:r w:rsidRPr="00FC2E7D">
        <w:rPr>
          <w:rFonts w:ascii="Arial" w:hAnsi="Arial" w:cs="Arial"/>
          <w:sz w:val="22"/>
          <w:szCs w:val="22"/>
          <w:lang w:val="x-none" w:eastAsia="hu-HU"/>
        </w:rPr>
        <w:t>számszerűsítését</w:t>
      </w:r>
      <w:proofErr w:type="spellEnd"/>
      <w:r w:rsidRPr="00FC2E7D">
        <w:rPr>
          <w:rFonts w:ascii="Arial" w:hAnsi="Arial" w:cs="Arial"/>
          <w:sz w:val="22"/>
          <w:szCs w:val="22"/>
          <w:lang w:val="x-none" w:eastAsia="hu-HU"/>
        </w:rPr>
        <w:t xml:space="preserve"> évenkénti bontásban és összesítve, </w:t>
      </w:r>
    </w:p>
    <w:p w14:paraId="760D6346" w14:textId="77777777" w:rsidR="006325C2" w:rsidRPr="00FC2E7D"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FC2E7D">
        <w:rPr>
          <w:rFonts w:ascii="Arial" w:hAnsi="Arial" w:cs="Arial"/>
          <w:sz w:val="22"/>
          <w:szCs w:val="22"/>
          <w:lang w:val="x-none" w:eastAsia="hu-HU"/>
        </w:rPr>
        <w:t>4. a közvetett támogatásokat (</w:t>
      </w:r>
      <w:proofErr w:type="spellStart"/>
      <w:r w:rsidRPr="00FC2E7D">
        <w:rPr>
          <w:rFonts w:ascii="Arial" w:hAnsi="Arial" w:cs="Arial"/>
          <w:sz w:val="22"/>
          <w:szCs w:val="22"/>
          <w:lang w:val="x-none" w:eastAsia="hu-HU"/>
        </w:rPr>
        <w:t>pl</w:t>
      </w:r>
      <w:proofErr w:type="spellEnd"/>
      <w:r w:rsidRPr="00FC2E7D">
        <w:rPr>
          <w:rFonts w:ascii="Arial" w:hAnsi="Arial" w:cs="Arial"/>
          <w:sz w:val="22"/>
          <w:szCs w:val="22"/>
          <w:lang w:val="x-none" w:eastAsia="hu-HU"/>
        </w:rPr>
        <w:t xml:space="preserve">: adóelengedéseket, adókedvezményeket) tartalmazó kimutatást. </w:t>
      </w:r>
    </w:p>
    <w:p w14:paraId="7AA6674B" w14:textId="77777777" w:rsidR="006325C2" w:rsidRPr="00FC2E7D" w:rsidRDefault="006325C2" w:rsidP="006325C2">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FC2E7D">
        <w:rPr>
          <w:rFonts w:ascii="Arial" w:hAnsi="Arial" w:cs="Arial"/>
          <w:sz w:val="22"/>
          <w:szCs w:val="22"/>
          <w:lang w:val="x-none" w:eastAsia="hu-HU"/>
        </w:rPr>
        <w:t>5.</w:t>
      </w:r>
      <w:r w:rsidRPr="00FC2E7D">
        <w:rPr>
          <w:rFonts w:ascii="Arial" w:hAnsi="Arial" w:cs="Arial"/>
          <w:sz w:val="22"/>
          <w:szCs w:val="22"/>
          <w:lang w:val="x-none" w:eastAsia="hu-HU"/>
        </w:rPr>
        <w:tab/>
        <w:t xml:space="preserve"> az Áht. 29/A. § szerinti tervszámoknak megfelelően a költségvetési évet követő három év tervezett előirányzatainak keretszámait főbb csoportokban, és a 29/A. § szerinti tervszámoktól történő esetleges eltérés indokait.</w:t>
      </w:r>
    </w:p>
    <w:p w14:paraId="5CD5939E" w14:textId="77777777" w:rsidR="006325C2" w:rsidRPr="00FC2E7D" w:rsidRDefault="006325C2" w:rsidP="006325C2">
      <w:pPr>
        <w:tabs>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FC2E7D">
        <w:rPr>
          <w:rFonts w:ascii="Arial" w:hAnsi="Arial" w:cs="Arial"/>
          <w:sz w:val="22"/>
          <w:szCs w:val="22"/>
          <w:lang w:val="x-none" w:eastAsia="hu-HU"/>
        </w:rPr>
        <w:t>A tájékoztató mérlegeket, kimutatásokat az előterjesztés 13-17. mellékletei tartalmazzák.</w:t>
      </w:r>
    </w:p>
    <w:p w14:paraId="620D6A1D" w14:textId="43033D01" w:rsidR="006325C2" w:rsidRPr="00AE7B18" w:rsidRDefault="006325C2" w:rsidP="006325C2">
      <w:pPr>
        <w:jc w:val="both"/>
        <w:rPr>
          <w:rFonts w:ascii="Arial" w:hAnsi="Arial" w:cs="Arial"/>
          <w:bCs/>
          <w:sz w:val="22"/>
          <w:szCs w:val="22"/>
          <w:highlight w:val="yellow"/>
        </w:rPr>
      </w:pPr>
    </w:p>
    <w:p w14:paraId="37ACBFC4" w14:textId="342CC3D9" w:rsidR="000315B2" w:rsidRPr="000315B2" w:rsidRDefault="000315B2" w:rsidP="000315B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r w:rsidRPr="000315B2">
        <w:rPr>
          <w:rFonts w:ascii="Arial" w:hAnsi="Arial" w:cs="Arial"/>
          <w:b/>
          <w:sz w:val="22"/>
          <w:szCs w:val="22"/>
          <w:lang w:eastAsia="hu-HU"/>
        </w:rPr>
        <w:t>Tisztelt Képviselő</w:t>
      </w:r>
      <w:r w:rsidR="008D363E">
        <w:rPr>
          <w:rFonts w:ascii="Arial" w:hAnsi="Arial" w:cs="Arial"/>
          <w:b/>
          <w:sz w:val="22"/>
          <w:szCs w:val="22"/>
          <w:lang w:eastAsia="hu-HU"/>
        </w:rPr>
        <w:t>-</w:t>
      </w:r>
      <w:r w:rsidRPr="000315B2">
        <w:rPr>
          <w:rFonts w:ascii="Arial" w:hAnsi="Arial" w:cs="Arial"/>
          <w:b/>
          <w:sz w:val="22"/>
          <w:szCs w:val="22"/>
          <w:lang w:eastAsia="hu-HU"/>
        </w:rPr>
        <w:t>testület!</w:t>
      </w:r>
    </w:p>
    <w:p w14:paraId="794584E3" w14:textId="77777777" w:rsidR="000315B2" w:rsidRPr="000315B2" w:rsidRDefault="000315B2" w:rsidP="000315B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14:paraId="7B07EBA0" w14:textId="14224D31"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államháztartásról szóló 2011. évi CXCV. törvény (a továbbiakban: Áht.) 29/A. §-</w:t>
      </w:r>
      <w:proofErr w:type="spellStart"/>
      <w:r w:rsidRPr="000315B2">
        <w:rPr>
          <w:rFonts w:ascii="Arial" w:hAnsi="Arial" w:cs="Arial"/>
          <w:sz w:val="22"/>
          <w:szCs w:val="22"/>
          <w:lang w:eastAsia="hu-HU"/>
        </w:rPr>
        <w:t>ában</w:t>
      </w:r>
      <w:proofErr w:type="spellEnd"/>
      <w:r w:rsidRPr="000315B2">
        <w:rPr>
          <w:rFonts w:ascii="Arial" w:hAnsi="Arial" w:cs="Arial"/>
          <w:sz w:val="22"/>
          <w:szCs w:val="22"/>
          <w:lang w:eastAsia="hu-HU"/>
        </w:rPr>
        <w:t xml:space="preserve"> foglaltak alapján a helyi önkormányzatok középtávú tervezési feladatainak végrehajtása keretében a Magyarország gazdasági </w:t>
      </w:r>
      <w:proofErr w:type="gramStart"/>
      <w:r w:rsidRPr="000315B2">
        <w:rPr>
          <w:rFonts w:ascii="Arial" w:hAnsi="Arial" w:cs="Arial"/>
          <w:sz w:val="22"/>
          <w:szCs w:val="22"/>
          <w:lang w:eastAsia="hu-HU"/>
        </w:rPr>
        <w:t>stabilitásáról</w:t>
      </w:r>
      <w:proofErr w:type="gramEnd"/>
      <w:r w:rsidRPr="000315B2">
        <w:rPr>
          <w:rFonts w:ascii="Arial" w:hAnsi="Arial" w:cs="Arial"/>
          <w:sz w:val="22"/>
          <w:szCs w:val="22"/>
          <w:lang w:eastAsia="hu-HU"/>
        </w:rPr>
        <w:t xml:space="preserve"> szóló 2011. évi CXCIV. törvény (a továbbiakban: </w:t>
      </w:r>
      <w:proofErr w:type="spellStart"/>
      <w:r w:rsidRPr="000315B2">
        <w:rPr>
          <w:rFonts w:ascii="Arial" w:hAnsi="Arial" w:cs="Arial"/>
          <w:sz w:val="22"/>
          <w:szCs w:val="22"/>
          <w:lang w:eastAsia="hu-HU"/>
        </w:rPr>
        <w:t>Gst</w:t>
      </w:r>
      <w:proofErr w:type="spellEnd"/>
      <w:r w:rsidRPr="000315B2">
        <w:rPr>
          <w:rFonts w:ascii="Arial" w:hAnsi="Arial" w:cs="Arial"/>
          <w:sz w:val="22"/>
          <w:szCs w:val="22"/>
          <w:lang w:eastAsia="hu-HU"/>
        </w:rPr>
        <w:t>.) szerinti saját bevételek és adósságot kele</w:t>
      </w:r>
      <w:r>
        <w:rPr>
          <w:rFonts w:ascii="Arial" w:hAnsi="Arial" w:cs="Arial"/>
          <w:sz w:val="22"/>
          <w:szCs w:val="22"/>
          <w:lang w:eastAsia="hu-HU"/>
        </w:rPr>
        <w:t xml:space="preserve">tkeztető ügyletek jóváhagyását </w:t>
      </w:r>
      <w:r w:rsidR="0078464E">
        <w:rPr>
          <w:rFonts w:ascii="Arial" w:hAnsi="Arial" w:cs="Arial"/>
          <w:sz w:val="22"/>
          <w:szCs w:val="22"/>
          <w:lang w:eastAsia="hu-HU"/>
        </w:rPr>
        <w:t xml:space="preserve">is </w:t>
      </w:r>
      <w:r>
        <w:rPr>
          <w:rFonts w:ascii="Arial" w:hAnsi="Arial" w:cs="Arial"/>
          <w:sz w:val="22"/>
          <w:szCs w:val="22"/>
          <w:lang w:eastAsia="hu-HU"/>
        </w:rPr>
        <w:t>elő</w:t>
      </w:r>
      <w:r w:rsidRPr="000315B2">
        <w:rPr>
          <w:rFonts w:ascii="Arial" w:hAnsi="Arial" w:cs="Arial"/>
          <w:sz w:val="22"/>
          <w:szCs w:val="22"/>
          <w:lang w:eastAsia="hu-HU"/>
        </w:rPr>
        <w:t>terjesztem.</w:t>
      </w:r>
    </w:p>
    <w:p w14:paraId="79E7605E"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C68F11B"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Áht. 29/</w:t>
      </w:r>
      <w:proofErr w:type="gramStart"/>
      <w:r w:rsidRPr="000315B2">
        <w:rPr>
          <w:rFonts w:ascii="Arial" w:hAnsi="Arial" w:cs="Arial"/>
          <w:sz w:val="22"/>
          <w:szCs w:val="22"/>
          <w:lang w:eastAsia="hu-HU"/>
        </w:rPr>
        <w:t>A.</w:t>
      </w:r>
      <w:proofErr w:type="gramEnd"/>
      <w:r w:rsidRPr="000315B2">
        <w:rPr>
          <w:rFonts w:ascii="Arial" w:hAnsi="Arial" w:cs="Arial"/>
          <w:sz w:val="22"/>
          <w:szCs w:val="22"/>
          <w:lang w:eastAsia="hu-HU"/>
        </w:rPr>
        <w:t xml:space="preserve"> §-</w:t>
      </w:r>
      <w:proofErr w:type="gramStart"/>
      <w:r w:rsidRPr="000315B2">
        <w:rPr>
          <w:rFonts w:ascii="Arial" w:hAnsi="Arial" w:cs="Arial"/>
          <w:sz w:val="22"/>
          <w:szCs w:val="22"/>
          <w:lang w:eastAsia="hu-HU"/>
        </w:rPr>
        <w:t>a</w:t>
      </w:r>
      <w:proofErr w:type="gramEnd"/>
      <w:r w:rsidRPr="000315B2">
        <w:rPr>
          <w:rFonts w:ascii="Arial" w:hAnsi="Arial" w:cs="Arial"/>
          <w:sz w:val="22"/>
          <w:szCs w:val="22"/>
          <w:lang w:eastAsia="hu-HU"/>
        </w:rPr>
        <w:t xml:space="preserve"> </w:t>
      </w:r>
      <w:proofErr w:type="spellStart"/>
      <w:r w:rsidRPr="000315B2">
        <w:rPr>
          <w:rFonts w:ascii="Arial" w:hAnsi="Arial" w:cs="Arial"/>
          <w:sz w:val="22"/>
          <w:szCs w:val="22"/>
          <w:lang w:eastAsia="hu-HU"/>
        </w:rPr>
        <w:t>a</w:t>
      </w:r>
      <w:proofErr w:type="spellEnd"/>
      <w:r w:rsidRPr="000315B2">
        <w:rPr>
          <w:rFonts w:ascii="Arial" w:hAnsi="Arial" w:cs="Arial"/>
          <w:sz w:val="22"/>
          <w:szCs w:val="22"/>
          <w:lang w:eastAsia="hu-HU"/>
        </w:rPr>
        <w:t xml:space="preserve"> következőket tartalmazza: „A helyi önkormányzat, a nemzetiségi önkormányzat és a társulás évente, legkésőbb a költségvetési rendelet, határozat elfogadásáig határozatban állapítja meg:</w:t>
      </w:r>
    </w:p>
    <w:p w14:paraId="20F6757F"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roofErr w:type="gramStart"/>
      <w:r w:rsidRPr="000315B2">
        <w:rPr>
          <w:rFonts w:ascii="Arial" w:hAnsi="Arial" w:cs="Arial"/>
          <w:sz w:val="22"/>
          <w:szCs w:val="22"/>
          <w:lang w:eastAsia="hu-HU"/>
        </w:rPr>
        <w:t>a</w:t>
      </w:r>
      <w:proofErr w:type="gramEnd"/>
      <w:r w:rsidRPr="000315B2">
        <w:rPr>
          <w:rFonts w:ascii="Arial" w:hAnsi="Arial" w:cs="Arial"/>
          <w:sz w:val="22"/>
          <w:szCs w:val="22"/>
          <w:lang w:eastAsia="hu-HU"/>
        </w:rPr>
        <w:t>)</w:t>
      </w:r>
      <w:r w:rsidRPr="000315B2">
        <w:rPr>
          <w:rFonts w:ascii="Arial" w:hAnsi="Arial" w:cs="Arial"/>
          <w:sz w:val="22"/>
          <w:szCs w:val="22"/>
          <w:lang w:eastAsia="hu-HU"/>
        </w:rPr>
        <w:tab/>
        <w:t xml:space="preserve">a </w:t>
      </w:r>
      <w:proofErr w:type="spellStart"/>
      <w:r w:rsidRPr="000315B2">
        <w:rPr>
          <w:rFonts w:ascii="Arial" w:hAnsi="Arial" w:cs="Arial"/>
          <w:sz w:val="22"/>
          <w:szCs w:val="22"/>
          <w:lang w:eastAsia="hu-HU"/>
        </w:rPr>
        <w:t>Gst</w:t>
      </w:r>
      <w:proofErr w:type="spellEnd"/>
      <w:r w:rsidRPr="000315B2">
        <w:rPr>
          <w:rFonts w:ascii="Arial" w:hAnsi="Arial" w:cs="Arial"/>
          <w:sz w:val="22"/>
          <w:szCs w:val="22"/>
          <w:lang w:eastAsia="hu-HU"/>
        </w:rPr>
        <w:t>. 45. § (1) bekezdés a) pontjában kapott felhatalmazás alapján kiadott jogszabályban meghatározottak szerinti saját bevételeinek és</w:t>
      </w:r>
    </w:p>
    <w:p w14:paraId="2A065710"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b)</w:t>
      </w:r>
      <w:r w:rsidRPr="000315B2">
        <w:rPr>
          <w:rFonts w:ascii="Arial" w:hAnsi="Arial" w:cs="Arial"/>
          <w:sz w:val="22"/>
          <w:szCs w:val="22"/>
          <w:lang w:eastAsia="hu-HU"/>
        </w:rPr>
        <w:tab/>
        <w:t xml:space="preserve"> a </w:t>
      </w:r>
      <w:proofErr w:type="spellStart"/>
      <w:r w:rsidRPr="000315B2">
        <w:rPr>
          <w:rFonts w:ascii="Arial" w:hAnsi="Arial" w:cs="Arial"/>
          <w:sz w:val="22"/>
          <w:szCs w:val="22"/>
          <w:lang w:eastAsia="hu-HU"/>
        </w:rPr>
        <w:t>Gst</w:t>
      </w:r>
      <w:proofErr w:type="spellEnd"/>
      <w:r w:rsidRPr="000315B2">
        <w:rPr>
          <w:rFonts w:ascii="Arial" w:hAnsi="Arial" w:cs="Arial"/>
          <w:sz w:val="22"/>
          <w:szCs w:val="22"/>
          <w:lang w:eastAsia="hu-HU"/>
        </w:rPr>
        <w:t>. 8. § (2) bekezdése szerinti adósságot keletkeztető ügyleteiből eredő fizetési kötelezettségeinek</w:t>
      </w:r>
    </w:p>
    <w:p w14:paraId="5046D70E"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roofErr w:type="gramStart"/>
      <w:r w:rsidRPr="000315B2">
        <w:rPr>
          <w:rFonts w:ascii="Arial" w:hAnsi="Arial" w:cs="Arial"/>
          <w:sz w:val="22"/>
          <w:szCs w:val="22"/>
          <w:lang w:eastAsia="hu-HU"/>
        </w:rPr>
        <w:t>a</w:t>
      </w:r>
      <w:proofErr w:type="gramEnd"/>
      <w:r w:rsidRPr="000315B2">
        <w:rPr>
          <w:rFonts w:ascii="Arial" w:hAnsi="Arial" w:cs="Arial"/>
          <w:sz w:val="22"/>
          <w:szCs w:val="22"/>
          <w:lang w:eastAsia="hu-HU"/>
        </w:rPr>
        <w:t xml:space="preserve"> költségvetési évet követő három évre várható összegét.”</w:t>
      </w:r>
    </w:p>
    <w:p w14:paraId="48B5108C"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6548AA3E"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 xml:space="preserve">Az adósságot keletkeztető ügylet tekintetében a </w:t>
      </w:r>
      <w:proofErr w:type="spellStart"/>
      <w:r w:rsidRPr="000315B2">
        <w:rPr>
          <w:rFonts w:ascii="Arial" w:hAnsi="Arial" w:cs="Arial"/>
          <w:sz w:val="22"/>
          <w:szCs w:val="22"/>
          <w:lang w:eastAsia="hu-HU"/>
        </w:rPr>
        <w:t>Gst</w:t>
      </w:r>
      <w:proofErr w:type="spellEnd"/>
      <w:r w:rsidRPr="000315B2">
        <w:rPr>
          <w:rFonts w:ascii="Arial" w:hAnsi="Arial" w:cs="Arial"/>
          <w:sz w:val="22"/>
          <w:szCs w:val="22"/>
          <w:lang w:eastAsia="hu-HU"/>
        </w:rPr>
        <w:t>. 8. § (2) bekezdése, 10.-10/F. §-</w:t>
      </w:r>
      <w:proofErr w:type="gramStart"/>
      <w:r w:rsidRPr="000315B2">
        <w:rPr>
          <w:rFonts w:ascii="Arial" w:hAnsi="Arial" w:cs="Arial"/>
          <w:sz w:val="22"/>
          <w:szCs w:val="22"/>
          <w:lang w:eastAsia="hu-HU"/>
        </w:rPr>
        <w:t>a</w:t>
      </w:r>
      <w:proofErr w:type="gramEnd"/>
      <w:r w:rsidRPr="000315B2">
        <w:rPr>
          <w:rFonts w:ascii="Arial" w:hAnsi="Arial" w:cs="Arial"/>
          <w:sz w:val="22"/>
          <w:szCs w:val="22"/>
          <w:lang w:eastAsia="hu-HU"/>
        </w:rPr>
        <w:t>, valamint az adósságot keletkeztető ügyletekhez történő hozzájárulás részletes szabályairól szóló 353/2011. (XII. 30.) Korm. rendelet (a továbbiakban: Kormányrendelet) előírásait kell a határozat elfogadásánál figyelembe venni.</w:t>
      </w:r>
    </w:p>
    <w:p w14:paraId="2FB7EF21"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E5DA054"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 xml:space="preserve">A </w:t>
      </w:r>
      <w:proofErr w:type="spellStart"/>
      <w:r w:rsidRPr="000315B2">
        <w:rPr>
          <w:rFonts w:ascii="Arial" w:hAnsi="Arial" w:cs="Arial"/>
          <w:sz w:val="22"/>
          <w:szCs w:val="22"/>
          <w:lang w:eastAsia="hu-HU"/>
        </w:rPr>
        <w:t>Gst</w:t>
      </w:r>
      <w:proofErr w:type="spellEnd"/>
      <w:r w:rsidRPr="000315B2">
        <w:rPr>
          <w:rFonts w:ascii="Arial" w:hAnsi="Arial" w:cs="Arial"/>
          <w:sz w:val="22"/>
          <w:szCs w:val="22"/>
          <w:lang w:eastAsia="hu-HU"/>
        </w:rPr>
        <w:t xml:space="preserve">. 10. § (1) bekezdése a következőket tartalmazza: „Az önkormányzat érvényesen kizárólag a Kormány előzetes hozzájárulásával vállalhat a Polgári Törvénykönyv szerinti kezességet és </w:t>
      </w:r>
      <w:proofErr w:type="gramStart"/>
      <w:r w:rsidRPr="000315B2">
        <w:rPr>
          <w:rFonts w:ascii="Arial" w:hAnsi="Arial" w:cs="Arial"/>
          <w:sz w:val="22"/>
          <w:szCs w:val="22"/>
          <w:lang w:eastAsia="hu-HU"/>
        </w:rPr>
        <w:t>garanciát</w:t>
      </w:r>
      <w:proofErr w:type="gramEnd"/>
      <w:r w:rsidRPr="000315B2">
        <w:rPr>
          <w:rFonts w:ascii="Arial" w:hAnsi="Arial" w:cs="Arial"/>
          <w:sz w:val="22"/>
          <w:szCs w:val="22"/>
          <w:lang w:eastAsia="hu-HU"/>
        </w:rPr>
        <w:t>, valamint köthet adósságot keletkeztető ügyletet.” A 10. § (3) bekezdés a)-d) pontja tartalmazza azokat a kivételi köröket is, amely esetben a Kormán</w:t>
      </w:r>
      <w:r>
        <w:rPr>
          <w:rFonts w:ascii="Arial" w:hAnsi="Arial" w:cs="Arial"/>
          <w:sz w:val="22"/>
          <w:szCs w:val="22"/>
          <w:lang w:eastAsia="hu-HU"/>
        </w:rPr>
        <w:t xml:space="preserve">y hozzájárulása nem szükséges. </w:t>
      </w:r>
      <w:r w:rsidRPr="000315B2">
        <w:rPr>
          <w:rFonts w:ascii="Arial" w:hAnsi="Arial" w:cs="Arial"/>
          <w:sz w:val="22"/>
          <w:szCs w:val="22"/>
          <w:lang w:eastAsia="hu-HU"/>
        </w:rPr>
        <w:t xml:space="preserve">Nincs szükség többek között a Kormány hozzájárulására az önkormányzat jogszabályon alapuló, kötelező kezesség-, illetve garanciavállalásához, a naptári éven belül lejáró adósságot keletkeztető ügyletéhez, a központi költségvetésből nyújtott európai uniós vagy más nemzetközi szervezettől az önkormányzat által elnyert, fejlesztési célú támogatás előfinanszírozásának biztosítására szolgáló esetben, vagy például, ha az önkormányzati többségi tulajdonban álló gazdasági társaság által a naptári éven belül keletkeztetett és lejáró futamidejű adósságot keletkeztető ügylethez kapcsolódik. </w:t>
      </w:r>
    </w:p>
    <w:p w14:paraId="28DC7A1A"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 xml:space="preserve">Feltétel az adósságot keletkeztető ügyletek jóváhagyásához, hogy az önkormányzat adósságot keletkeztető ügyletből származó tárgyévi fizetési kötelezettsége a futamidő végéig egyik évben sem haladhatja meg a saját bevételek 50 %-át. </w:t>
      </w:r>
    </w:p>
    <w:p w14:paraId="2D450B24"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4CC939CC"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 saját bevételek kö</w:t>
      </w:r>
      <w:r>
        <w:rPr>
          <w:rFonts w:ascii="Arial" w:hAnsi="Arial" w:cs="Arial"/>
          <w:sz w:val="22"/>
          <w:szCs w:val="22"/>
          <w:lang w:eastAsia="hu-HU"/>
        </w:rPr>
        <w:t xml:space="preserve">rét a Kormányrendelet rögzíti. </w:t>
      </w:r>
    </w:p>
    <w:p w14:paraId="5EBB1928"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DD1FE0E" w14:textId="2FAFAF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Bátaszék Város Ö</w:t>
      </w:r>
      <w:r w:rsidRPr="000315B2">
        <w:rPr>
          <w:rFonts w:ascii="Arial" w:hAnsi="Arial" w:cs="Arial"/>
          <w:sz w:val="22"/>
          <w:szCs w:val="22"/>
          <w:lang w:eastAsia="hu-HU"/>
        </w:rPr>
        <w:t>nkormányzat</w:t>
      </w:r>
      <w:r>
        <w:rPr>
          <w:rFonts w:ascii="Arial" w:hAnsi="Arial" w:cs="Arial"/>
          <w:sz w:val="22"/>
          <w:szCs w:val="22"/>
          <w:lang w:eastAsia="hu-HU"/>
        </w:rPr>
        <w:t>á</w:t>
      </w:r>
      <w:r w:rsidRPr="000315B2">
        <w:rPr>
          <w:rFonts w:ascii="Arial" w:hAnsi="Arial" w:cs="Arial"/>
          <w:sz w:val="22"/>
          <w:szCs w:val="22"/>
          <w:lang w:eastAsia="hu-HU"/>
        </w:rPr>
        <w:t xml:space="preserve">nak adósságot keletkeztető ügyletből eredő kötelezettsége </w:t>
      </w:r>
      <w:r w:rsidR="00E25B37">
        <w:rPr>
          <w:rFonts w:ascii="Arial" w:hAnsi="Arial" w:cs="Arial"/>
          <w:sz w:val="22"/>
          <w:szCs w:val="22"/>
          <w:lang w:eastAsia="hu-HU"/>
        </w:rPr>
        <w:t xml:space="preserve">a lízing kötelezettségen kívül </w:t>
      </w:r>
      <w:r w:rsidRPr="000315B2">
        <w:rPr>
          <w:rFonts w:ascii="Arial" w:hAnsi="Arial" w:cs="Arial"/>
          <w:sz w:val="22"/>
          <w:szCs w:val="22"/>
          <w:lang w:eastAsia="hu-HU"/>
        </w:rPr>
        <w:t xml:space="preserve">nem áll fenn. </w:t>
      </w:r>
    </w:p>
    <w:p w14:paraId="3C0C424B"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D57FD9B"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0315B2">
        <w:rPr>
          <w:rFonts w:ascii="Arial" w:hAnsi="Arial" w:cs="Arial"/>
          <w:sz w:val="22"/>
          <w:szCs w:val="22"/>
          <w:lang w:eastAsia="hu-HU"/>
        </w:rPr>
        <w:t>Az adósság-keletkeztetési szándékról az önkormányzatoknak az elfogadott határozat alapján tájékoztatási kötelezettsége áll fenn a Kormány felé.</w:t>
      </w:r>
    </w:p>
    <w:p w14:paraId="73A8EC49"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27DA993"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Testület</w:t>
      </w:r>
      <w:r w:rsidRPr="000315B2">
        <w:rPr>
          <w:rFonts w:ascii="Arial" w:hAnsi="Arial" w:cs="Arial"/>
          <w:sz w:val="22"/>
          <w:szCs w:val="22"/>
          <w:lang w:eastAsia="hu-HU"/>
        </w:rPr>
        <w:t xml:space="preserve"> a 20</w:t>
      </w:r>
      <w:r>
        <w:rPr>
          <w:rFonts w:ascii="Arial" w:hAnsi="Arial" w:cs="Arial"/>
          <w:sz w:val="22"/>
          <w:szCs w:val="22"/>
          <w:lang w:eastAsia="hu-HU"/>
        </w:rPr>
        <w:t>23</w:t>
      </w:r>
      <w:r w:rsidRPr="000315B2">
        <w:rPr>
          <w:rFonts w:ascii="Arial" w:hAnsi="Arial" w:cs="Arial"/>
          <w:sz w:val="22"/>
          <w:szCs w:val="22"/>
          <w:lang w:eastAsia="hu-HU"/>
        </w:rPr>
        <w:t>. évre és az azt követő három évre adósságot keletkeztető ügylet lebonyolítását nem tervezi, e</w:t>
      </w:r>
      <w:r>
        <w:rPr>
          <w:rFonts w:ascii="Arial" w:hAnsi="Arial" w:cs="Arial"/>
          <w:sz w:val="22"/>
          <w:szCs w:val="22"/>
          <w:lang w:eastAsia="hu-HU"/>
        </w:rPr>
        <w:t>miatt a bemutatásra kerülő, 2024-2026</w:t>
      </w:r>
      <w:r w:rsidRPr="000315B2">
        <w:rPr>
          <w:rFonts w:ascii="Arial" w:hAnsi="Arial" w:cs="Arial"/>
          <w:sz w:val="22"/>
          <w:szCs w:val="22"/>
          <w:lang w:eastAsia="hu-HU"/>
        </w:rPr>
        <w:t>. évi tervadatok az adósságot keletkeztető ügyletek tekintetében nulla Ft értékeket tartalmaznak.</w:t>
      </w:r>
    </w:p>
    <w:p w14:paraId="19DF4C63"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26823F98" w14:textId="77777777" w:rsidR="000315B2" w:rsidRPr="000315B2" w:rsidRDefault="000315B2" w:rsidP="000315B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Kérem a Testülete</w:t>
      </w:r>
      <w:r w:rsidRPr="000315B2">
        <w:rPr>
          <w:rFonts w:ascii="Arial" w:hAnsi="Arial" w:cs="Arial"/>
          <w:sz w:val="22"/>
          <w:szCs w:val="22"/>
          <w:lang w:eastAsia="hu-HU"/>
        </w:rPr>
        <w:t>t, hogy a jogszabályi előírásokra figyelemmel a határozati javaslatot fogadja el.</w:t>
      </w:r>
    </w:p>
    <w:p w14:paraId="6DCE6496" w14:textId="77777777" w:rsidR="006325C2" w:rsidRDefault="006325C2" w:rsidP="006325C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14:paraId="603F2E9F" w14:textId="77777777" w:rsidR="00FC2E7D" w:rsidRDefault="00FC2E7D" w:rsidP="006325C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14:paraId="21F5BB71" w14:textId="6E4821A2" w:rsidR="006325C2" w:rsidRDefault="006325C2" w:rsidP="006325C2">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r>
        <w:rPr>
          <w:rFonts w:ascii="Arial" w:hAnsi="Arial" w:cs="Arial"/>
          <w:b/>
          <w:sz w:val="22"/>
          <w:szCs w:val="22"/>
          <w:lang w:eastAsia="hu-HU"/>
        </w:rPr>
        <w:t>Tisztelt Képviselő-testület!</w:t>
      </w:r>
    </w:p>
    <w:p w14:paraId="6B2495B8" w14:textId="77777777" w:rsidR="006325C2" w:rsidRDefault="006325C2" w:rsidP="006325C2">
      <w:pPr>
        <w:tabs>
          <w:tab w:val="center" w:pos="4536"/>
          <w:tab w:val="right" w:pos="5160"/>
          <w:tab w:val="right" w:pos="9072"/>
        </w:tabs>
        <w:overflowPunct w:val="0"/>
        <w:autoSpaceDE w:val="0"/>
        <w:autoSpaceDN w:val="0"/>
        <w:adjustRightInd w:val="0"/>
        <w:textAlignment w:val="baseline"/>
        <w:rPr>
          <w:rFonts w:ascii="Arial" w:hAnsi="Arial" w:cs="Arial"/>
          <w:sz w:val="22"/>
          <w:szCs w:val="22"/>
          <w:lang w:eastAsia="hu-HU"/>
        </w:rPr>
      </w:pPr>
    </w:p>
    <w:p w14:paraId="7590B278"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jogalkotásról szóló 2010. évi CXXX. törvény (</w:t>
      </w:r>
      <w:proofErr w:type="spellStart"/>
      <w:r>
        <w:rPr>
          <w:rFonts w:ascii="Arial" w:hAnsi="Arial" w:cs="Arial"/>
          <w:sz w:val="22"/>
          <w:szCs w:val="22"/>
          <w:lang w:eastAsia="hu-HU"/>
        </w:rPr>
        <w:t>Jat</w:t>
      </w:r>
      <w:proofErr w:type="spellEnd"/>
      <w:r>
        <w:rPr>
          <w:rFonts w:ascii="Arial" w:hAnsi="Arial" w:cs="Arial"/>
          <w:sz w:val="22"/>
          <w:szCs w:val="22"/>
          <w:lang w:eastAsia="hu-HU"/>
        </w:rPr>
        <w:t>.) 17. §-</w:t>
      </w:r>
      <w:proofErr w:type="gramStart"/>
      <w:r>
        <w:rPr>
          <w:rFonts w:ascii="Arial" w:hAnsi="Arial" w:cs="Arial"/>
          <w:sz w:val="22"/>
          <w:szCs w:val="22"/>
          <w:lang w:eastAsia="hu-HU"/>
        </w:rPr>
        <w:t>a</w:t>
      </w:r>
      <w:proofErr w:type="gramEnd"/>
      <w:r>
        <w:rPr>
          <w:rFonts w:ascii="Arial" w:hAnsi="Arial" w:cs="Arial"/>
          <w:sz w:val="22"/>
          <w:szCs w:val="22"/>
          <w:lang w:eastAsia="hu-HU"/>
        </w:rPr>
        <w:t xml:space="preserve"> alapján a költségvetési rendeletet előkészítő jegyző előzetes hatásvizsgálatot végzett, melyben felmérte a szabályozás várható következményeit.</w:t>
      </w:r>
    </w:p>
    <w:p w14:paraId="4B1BA4E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7E91D668"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rendelettervezet előzetes hatásvizsgálatának megállapításai a következők: </w:t>
      </w:r>
    </w:p>
    <w:p w14:paraId="3BDB3F3B"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6515803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Pr>
          <w:rFonts w:ascii="Arial" w:hAnsi="Arial" w:cs="Arial"/>
          <w:sz w:val="22"/>
          <w:szCs w:val="22"/>
          <w:u w:val="single"/>
          <w:lang w:eastAsia="hu-HU"/>
        </w:rPr>
        <w:t>Társadalmi, gazdasági, hatások</w:t>
      </w:r>
    </w:p>
    <w:p w14:paraId="04E3B5C4"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2EC0CB23"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rendeletben foglaltak végrehajtása elősegíti az önkormányzat Gazdasági Programjában és költségvetési </w:t>
      </w:r>
      <w:proofErr w:type="gramStart"/>
      <w:r>
        <w:rPr>
          <w:rFonts w:ascii="Arial" w:hAnsi="Arial" w:cs="Arial"/>
          <w:sz w:val="22"/>
          <w:szCs w:val="22"/>
          <w:lang w:eastAsia="hu-HU"/>
        </w:rPr>
        <w:t>koncepciójában</w:t>
      </w:r>
      <w:proofErr w:type="gramEnd"/>
      <w:r>
        <w:rPr>
          <w:rFonts w:ascii="Arial" w:hAnsi="Arial" w:cs="Arial"/>
          <w:sz w:val="22"/>
          <w:szCs w:val="22"/>
          <w:lang w:eastAsia="hu-HU"/>
        </w:rPr>
        <w:t xml:space="preserve"> a szociális rendszer fejlesztésére vonatkozó célok megvalósítását, a foglalkoztatás növelését.</w:t>
      </w:r>
    </w:p>
    <w:p w14:paraId="353DDAA0"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rendeletben foglaltak végrehajtásának gazdasági, költségvetési hatását az előterjesztés részletesen tartalmazza.</w:t>
      </w:r>
    </w:p>
    <w:p w14:paraId="20F90EF5"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82F8888" w14:textId="77777777" w:rsidR="000E733A" w:rsidRDefault="000E733A"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p>
    <w:p w14:paraId="0DBF96E3" w14:textId="4103570E"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Pr>
          <w:rFonts w:ascii="Arial" w:hAnsi="Arial" w:cs="Arial"/>
          <w:sz w:val="22"/>
          <w:szCs w:val="22"/>
          <w:u w:val="single"/>
          <w:lang w:eastAsia="hu-HU"/>
        </w:rPr>
        <w:t>Környezeti és egészségügyi következmények</w:t>
      </w:r>
    </w:p>
    <w:p w14:paraId="0A0C39B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120DE9C2"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költségvetési rendeletben foglaltak végrehajtása elősegíti a Gazdasági Programban meghatározott Környezetvédelmi Program megvalósulását.</w:t>
      </w:r>
    </w:p>
    <w:p w14:paraId="3ACD82A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79193B71"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A költségvetési rendeletben foglaltak végrehajtásának egészségügyi követelményei nincsenek.</w:t>
      </w:r>
    </w:p>
    <w:p w14:paraId="580A5FE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210DF284"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Pr>
          <w:rFonts w:ascii="Arial" w:hAnsi="Arial" w:cs="Arial"/>
          <w:sz w:val="22"/>
          <w:szCs w:val="22"/>
          <w:u w:val="single"/>
          <w:lang w:eastAsia="hu-HU"/>
        </w:rPr>
        <w:t>Adminisztratív terheket befolyásoló hatások</w:t>
      </w:r>
    </w:p>
    <w:p w14:paraId="2F1D8460"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1A6C2939"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rendeletben foglalt pénzügyi,- számviteli és szociális előírások végrehajtása a szakmai, ügyintézési és adminisztratív feladatok végrehajtásában többletfeladatokat jelent a költségvetési szervek számára. </w:t>
      </w:r>
    </w:p>
    <w:p w14:paraId="42763B1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4CC58A7E" w14:textId="77777777" w:rsidR="006325C2" w:rsidRPr="007C1DF6"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7C1DF6">
        <w:rPr>
          <w:rFonts w:ascii="Arial" w:hAnsi="Arial" w:cs="Arial"/>
          <w:sz w:val="22"/>
          <w:szCs w:val="22"/>
          <w:u w:val="single"/>
          <w:lang w:eastAsia="hu-HU"/>
        </w:rPr>
        <w:t>A jogszabályok megalkotásának szükségessége, a jogalkotás elmaradásának várható következményei</w:t>
      </w:r>
    </w:p>
    <w:p w14:paraId="515ED2E6"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DCD9433" w14:textId="1B30C2D5"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 megalkotását szükségessé teszi az </w:t>
      </w:r>
      <w:proofErr w:type="spellStart"/>
      <w:r>
        <w:rPr>
          <w:rFonts w:ascii="Arial" w:hAnsi="Arial" w:cs="Arial"/>
          <w:sz w:val="22"/>
          <w:szCs w:val="22"/>
          <w:lang w:eastAsia="hu-HU"/>
        </w:rPr>
        <w:t>Mötv</w:t>
      </w:r>
      <w:proofErr w:type="spellEnd"/>
      <w:r>
        <w:rPr>
          <w:rFonts w:ascii="Arial" w:hAnsi="Arial" w:cs="Arial"/>
          <w:sz w:val="22"/>
          <w:szCs w:val="22"/>
          <w:lang w:eastAsia="hu-HU"/>
        </w:rPr>
        <w:t xml:space="preserve">. és az Áht. </w:t>
      </w:r>
      <w:proofErr w:type="gramStart"/>
      <w:r>
        <w:rPr>
          <w:rFonts w:ascii="Arial" w:hAnsi="Arial" w:cs="Arial"/>
          <w:sz w:val="22"/>
          <w:szCs w:val="22"/>
          <w:lang w:eastAsia="hu-HU"/>
        </w:rPr>
        <w:t>előírásai</w:t>
      </w:r>
      <w:proofErr w:type="gramEnd"/>
      <w:r>
        <w:rPr>
          <w:rFonts w:ascii="Arial" w:hAnsi="Arial" w:cs="Arial"/>
          <w:sz w:val="22"/>
          <w:szCs w:val="22"/>
          <w:lang w:eastAsia="hu-HU"/>
        </w:rPr>
        <w:t>, melynek elmaradása törvényességi mulasztásnak számít, ami támogatás megvonásával jár.</w:t>
      </w:r>
    </w:p>
    <w:p w14:paraId="38AF2884" w14:textId="77777777" w:rsidR="007C1DF6" w:rsidRDefault="007C1DF6"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12BB4FC8" w14:textId="77777777" w:rsidR="006325C2" w:rsidRPr="007C1DF6"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7C1DF6">
        <w:rPr>
          <w:rFonts w:ascii="Arial" w:hAnsi="Arial" w:cs="Arial"/>
          <w:sz w:val="22"/>
          <w:szCs w:val="22"/>
          <w:u w:val="single"/>
          <w:lang w:eastAsia="hu-HU"/>
        </w:rPr>
        <w:t>A jogszabály alkalmazásához szükséges személyi, szervezeti, tárgyi és pénzügyi feltételek</w:t>
      </w:r>
    </w:p>
    <w:p w14:paraId="36F06AAC"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 </w:t>
      </w:r>
    </w:p>
    <w:p w14:paraId="4039191C"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költségvetési rendelet alkalmazásához szükséges személyi, tárgyi, szervezeti és pénzügyi feltételek rendelkezésre állnak.  </w:t>
      </w:r>
    </w:p>
    <w:p w14:paraId="69850BBB"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14:paraId="301FE67E" w14:textId="77777777" w:rsidR="006325C2" w:rsidRDefault="006325C2" w:rsidP="006325C2">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Pr>
          <w:rFonts w:ascii="Arial" w:hAnsi="Arial" w:cs="Arial"/>
          <w:sz w:val="22"/>
          <w:szCs w:val="22"/>
          <w:lang w:eastAsia="hu-HU"/>
        </w:rPr>
        <w:t xml:space="preserve">A rendelet-tervezet elkészítésénél figyelembe vettük a jogszabályszerkesztésről szóló 61/2009. (XII.14.) IRM rendelet előírásait. </w:t>
      </w:r>
    </w:p>
    <w:p w14:paraId="52DA3648" w14:textId="77777777" w:rsidR="006325C2" w:rsidRDefault="006325C2" w:rsidP="006325C2">
      <w:pPr>
        <w:pStyle w:val="lfej"/>
        <w:tabs>
          <w:tab w:val="right" w:pos="5160"/>
        </w:tabs>
        <w:ind w:left="1134"/>
        <w:rPr>
          <w:rFonts w:ascii="Arial" w:hAnsi="Arial" w:cs="Arial"/>
          <w:b/>
          <w:bCs/>
          <w:sz w:val="22"/>
          <w:szCs w:val="22"/>
          <w:highlight w:val="yellow"/>
          <w:u w:val="single"/>
        </w:rPr>
      </w:pPr>
    </w:p>
    <w:p w14:paraId="18613F13" w14:textId="77777777" w:rsidR="006325C2" w:rsidRDefault="006325C2" w:rsidP="006325C2">
      <w:pPr>
        <w:rPr>
          <w:b/>
          <w:sz w:val="22"/>
          <w:szCs w:val="22"/>
          <w:u w:val="single"/>
        </w:rPr>
      </w:pPr>
      <w:r>
        <w:rPr>
          <w:b/>
          <w:sz w:val="22"/>
          <w:szCs w:val="22"/>
          <w:u w:val="single"/>
        </w:rPr>
        <w:br w:type="page"/>
      </w:r>
    </w:p>
    <w:p w14:paraId="65BD8A5A" w14:textId="77777777" w:rsidR="006325C2" w:rsidRDefault="006325C2" w:rsidP="006325C2">
      <w:pPr>
        <w:ind w:left="2268"/>
        <w:jc w:val="both"/>
        <w:rPr>
          <w:rFonts w:ascii="Arial" w:hAnsi="Arial" w:cs="Arial"/>
          <w:b/>
          <w:sz w:val="22"/>
          <w:szCs w:val="22"/>
          <w:u w:val="single"/>
        </w:rPr>
      </w:pPr>
      <w:r>
        <w:rPr>
          <w:rFonts w:ascii="Arial" w:hAnsi="Arial" w:cs="Arial"/>
          <w:b/>
          <w:sz w:val="22"/>
          <w:szCs w:val="22"/>
          <w:u w:val="single"/>
        </w:rPr>
        <w:t xml:space="preserve">H a t á r o z a t i   j a v a s l a </w:t>
      </w:r>
      <w:proofErr w:type="gramStart"/>
      <w:r>
        <w:rPr>
          <w:rFonts w:ascii="Arial" w:hAnsi="Arial" w:cs="Arial"/>
          <w:b/>
          <w:sz w:val="22"/>
          <w:szCs w:val="22"/>
          <w:u w:val="single"/>
        </w:rPr>
        <w:t>t :</w:t>
      </w:r>
      <w:proofErr w:type="gramEnd"/>
    </w:p>
    <w:p w14:paraId="33717F5B" w14:textId="77777777" w:rsidR="006325C2" w:rsidRDefault="006325C2" w:rsidP="006325C2">
      <w:pPr>
        <w:ind w:left="2268"/>
        <w:jc w:val="both"/>
        <w:rPr>
          <w:rFonts w:ascii="Arial" w:hAnsi="Arial" w:cs="Arial"/>
          <w:b/>
          <w:sz w:val="22"/>
          <w:szCs w:val="22"/>
          <w:u w:val="single"/>
        </w:rPr>
      </w:pPr>
    </w:p>
    <w:p w14:paraId="242F85AD" w14:textId="094183FB" w:rsidR="006325C2" w:rsidRDefault="006325C2" w:rsidP="006325C2">
      <w:pPr>
        <w:tabs>
          <w:tab w:val="left" w:pos="540"/>
        </w:tabs>
        <w:ind w:left="2268"/>
        <w:jc w:val="both"/>
        <w:rPr>
          <w:rFonts w:ascii="Arial" w:hAnsi="Arial" w:cs="Arial"/>
          <w:b/>
          <w:sz w:val="22"/>
          <w:szCs w:val="22"/>
          <w:u w:val="single"/>
        </w:rPr>
      </w:pPr>
      <w:r>
        <w:rPr>
          <w:rFonts w:ascii="Arial" w:hAnsi="Arial" w:cs="Arial"/>
          <w:b/>
          <w:sz w:val="22"/>
          <w:szCs w:val="22"/>
          <w:u w:val="single"/>
        </w:rPr>
        <w:t>Bátaszék Város Önkormányzat saját bevételeiről és fizeté</w:t>
      </w:r>
      <w:r w:rsidR="00111E53">
        <w:rPr>
          <w:rFonts w:ascii="Arial" w:hAnsi="Arial" w:cs="Arial"/>
          <w:b/>
          <w:sz w:val="22"/>
          <w:szCs w:val="22"/>
          <w:u w:val="single"/>
        </w:rPr>
        <w:t>si kötelezettségeiről szóló 2024-2026</w:t>
      </w:r>
      <w:r>
        <w:rPr>
          <w:rFonts w:ascii="Arial" w:hAnsi="Arial" w:cs="Arial"/>
          <w:b/>
          <w:sz w:val="22"/>
          <w:szCs w:val="22"/>
          <w:u w:val="single"/>
        </w:rPr>
        <w:t>. évi középtávú terv elfogadására</w:t>
      </w:r>
    </w:p>
    <w:p w14:paraId="4E27F97D" w14:textId="77777777" w:rsidR="006325C2" w:rsidRDefault="006325C2" w:rsidP="006325C2">
      <w:pPr>
        <w:tabs>
          <w:tab w:val="left" w:pos="540"/>
        </w:tabs>
        <w:ind w:left="2268"/>
        <w:jc w:val="both"/>
        <w:rPr>
          <w:rFonts w:ascii="Arial" w:hAnsi="Arial" w:cs="Arial"/>
          <w:b/>
          <w:sz w:val="22"/>
          <w:szCs w:val="22"/>
        </w:rPr>
      </w:pPr>
    </w:p>
    <w:p w14:paraId="6E9B20BA" w14:textId="77777777" w:rsidR="006325C2" w:rsidRDefault="006325C2" w:rsidP="006325C2">
      <w:pPr>
        <w:tabs>
          <w:tab w:val="left" w:pos="540"/>
        </w:tabs>
        <w:ind w:left="2268"/>
        <w:jc w:val="both"/>
        <w:rPr>
          <w:rFonts w:ascii="Arial" w:hAnsi="Arial" w:cs="Arial"/>
          <w:sz w:val="22"/>
          <w:szCs w:val="22"/>
        </w:rPr>
      </w:pPr>
      <w:r>
        <w:rPr>
          <w:rFonts w:ascii="Arial" w:hAnsi="Arial" w:cs="Arial"/>
          <w:sz w:val="22"/>
          <w:szCs w:val="22"/>
        </w:rPr>
        <w:t xml:space="preserve">Bátaszék Város Önkormányzatának Képviselő-testülete </w:t>
      </w:r>
      <w:r>
        <w:rPr>
          <w:rFonts w:ascii="Arial" w:hAnsi="Arial" w:cs="Arial"/>
          <w:i/>
          <w:sz w:val="22"/>
          <w:szCs w:val="22"/>
        </w:rPr>
        <w:t>az államháztartásról szóló 2011. évi CXCV. törvény. 29/A. §-</w:t>
      </w:r>
      <w:proofErr w:type="spellStart"/>
      <w:r>
        <w:rPr>
          <w:rFonts w:ascii="Arial" w:hAnsi="Arial" w:cs="Arial"/>
          <w:i/>
          <w:sz w:val="22"/>
          <w:szCs w:val="22"/>
        </w:rPr>
        <w:t>ában</w:t>
      </w:r>
      <w:proofErr w:type="spellEnd"/>
      <w:r>
        <w:rPr>
          <w:rFonts w:ascii="Arial" w:hAnsi="Arial" w:cs="Arial"/>
          <w:sz w:val="22"/>
          <w:szCs w:val="22"/>
        </w:rPr>
        <w:t xml:space="preserve"> foglaltakra figyelemmel a város saját bevételeinek és adósságot keletkeztető ügyleteiből eredő </w:t>
      </w:r>
      <w:r w:rsidR="00387FF4">
        <w:rPr>
          <w:rFonts w:ascii="Arial" w:hAnsi="Arial" w:cs="Arial"/>
          <w:sz w:val="22"/>
          <w:szCs w:val="22"/>
        </w:rPr>
        <w:t>fizetési kötelezettségeinek 2024-2026</w:t>
      </w:r>
      <w:r>
        <w:rPr>
          <w:rFonts w:ascii="Arial" w:hAnsi="Arial" w:cs="Arial"/>
          <w:sz w:val="22"/>
          <w:szCs w:val="22"/>
        </w:rPr>
        <w:t>. évi középtávú tervét a határozat 1. melléklete szerinti tartalommal jóváhagyja.</w:t>
      </w:r>
    </w:p>
    <w:p w14:paraId="50436420" w14:textId="77777777" w:rsidR="006325C2" w:rsidRDefault="006325C2" w:rsidP="006325C2">
      <w:pPr>
        <w:tabs>
          <w:tab w:val="left" w:pos="540"/>
          <w:tab w:val="left" w:pos="2880"/>
        </w:tabs>
        <w:ind w:left="2268"/>
        <w:jc w:val="both"/>
        <w:rPr>
          <w:rFonts w:ascii="Arial" w:hAnsi="Arial" w:cs="Arial"/>
          <w:i/>
          <w:sz w:val="22"/>
          <w:szCs w:val="22"/>
        </w:rPr>
      </w:pPr>
    </w:p>
    <w:p w14:paraId="4464F079" w14:textId="77777777" w:rsidR="006325C2" w:rsidRDefault="006325C2" w:rsidP="006325C2">
      <w:pPr>
        <w:tabs>
          <w:tab w:val="left" w:pos="540"/>
          <w:tab w:val="left" w:pos="2880"/>
        </w:tabs>
        <w:ind w:left="2268"/>
        <w:jc w:val="both"/>
        <w:rPr>
          <w:rFonts w:ascii="Arial" w:hAnsi="Arial" w:cs="Arial"/>
          <w:i/>
          <w:sz w:val="22"/>
          <w:szCs w:val="22"/>
        </w:rPr>
      </w:pPr>
    </w:p>
    <w:p w14:paraId="6F6A2B6B" w14:textId="77777777" w:rsidR="006325C2" w:rsidRDefault="006325C2" w:rsidP="006325C2">
      <w:pPr>
        <w:tabs>
          <w:tab w:val="left" w:pos="540"/>
          <w:tab w:val="left" w:pos="2880"/>
        </w:tabs>
        <w:ind w:left="2268"/>
        <w:jc w:val="both"/>
        <w:rPr>
          <w:rFonts w:ascii="Arial" w:hAnsi="Arial" w:cs="Arial"/>
          <w:sz w:val="22"/>
          <w:szCs w:val="22"/>
        </w:rPr>
      </w:pPr>
      <w:r>
        <w:rPr>
          <w:rFonts w:ascii="Arial" w:hAnsi="Arial" w:cs="Arial"/>
          <w:i/>
          <w:sz w:val="22"/>
          <w:szCs w:val="22"/>
        </w:rPr>
        <w:t>Határidő:</w:t>
      </w:r>
      <w:r>
        <w:rPr>
          <w:rFonts w:ascii="Arial" w:hAnsi="Arial" w:cs="Arial"/>
          <w:sz w:val="22"/>
          <w:szCs w:val="22"/>
        </w:rPr>
        <w:t xml:space="preserve"> Azonnal</w:t>
      </w:r>
    </w:p>
    <w:p w14:paraId="5710A36D" w14:textId="644AE2E3" w:rsidR="006325C2" w:rsidRDefault="006325C2" w:rsidP="006325C2">
      <w:pPr>
        <w:tabs>
          <w:tab w:val="left" w:pos="540"/>
          <w:tab w:val="left" w:pos="2880"/>
        </w:tabs>
        <w:ind w:left="2268"/>
        <w:jc w:val="both"/>
        <w:rPr>
          <w:rFonts w:ascii="Arial" w:hAnsi="Arial" w:cs="Arial"/>
          <w:sz w:val="22"/>
          <w:szCs w:val="22"/>
        </w:rPr>
      </w:pPr>
      <w:r>
        <w:rPr>
          <w:rFonts w:ascii="Arial" w:hAnsi="Arial" w:cs="Arial"/>
          <w:i/>
          <w:sz w:val="22"/>
          <w:szCs w:val="22"/>
        </w:rPr>
        <w:t>Felelős:</w:t>
      </w:r>
      <w:r>
        <w:rPr>
          <w:rFonts w:ascii="Arial" w:hAnsi="Arial" w:cs="Arial"/>
          <w:sz w:val="22"/>
          <w:szCs w:val="22"/>
        </w:rPr>
        <w:t xml:space="preserve"> Dr. Bozsolik Róbert polgármester</w:t>
      </w:r>
    </w:p>
    <w:p w14:paraId="345A7AAB" w14:textId="77777777" w:rsidR="006325C2" w:rsidRDefault="006325C2" w:rsidP="006325C2">
      <w:pPr>
        <w:tabs>
          <w:tab w:val="left" w:pos="540"/>
          <w:tab w:val="left" w:pos="2880"/>
        </w:tabs>
        <w:ind w:left="2268"/>
        <w:jc w:val="both"/>
        <w:rPr>
          <w:rFonts w:ascii="Arial" w:hAnsi="Arial" w:cs="Arial"/>
          <w:sz w:val="22"/>
          <w:szCs w:val="22"/>
        </w:rPr>
      </w:pPr>
    </w:p>
    <w:p w14:paraId="0E20C572" w14:textId="77777777" w:rsidR="006325C2" w:rsidRDefault="006325C2" w:rsidP="006325C2">
      <w:pPr>
        <w:tabs>
          <w:tab w:val="left" w:pos="540"/>
          <w:tab w:val="left" w:pos="2880"/>
        </w:tabs>
        <w:ind w:left="2268"/>
        <w:jc w:val="both"/>
      </w:pPr>
      <w:r w:rsidRPr="007C1DF6">
        <w:rPr>
          <w:rFonts w:ascii="Arial" w:hAnsi="Arial" w:cs="Arial"/>
          <w:i/>
          <w:iCs/>
          <w:sz w:val="22"/>
          <w:szCs w:val="22"/>
        </w:rPr>
        <w:t>Határozatról értesül:</w:t>
      </w:r>
      <w:r>
        <w:rPr>
          <w:rFonts w:ascii="Arial" w:hAnsi="Arial" w:cs="Arial"/>
          <w:sz w:val="22"/>
          <w:szCs w:val="22"/>
        </w:rPr>
        <w:t xml:space="preserve"> Bátaszéki KÖH pénzügyi iroda</w:t>
      </w:r>
    </w:p>
    <w:p w14:paraId="1A43594B" w14:textId="34E44C17" w:rsidR="006325C2" w:rsidRDefault="006325C2" w:rsidP="006325C2">
      <w:pPr>
        <w:tabs>
          <w:tab w:val="left" w:pos="540"/>
          <w:tab w:val="left" w:pos="2880"/>
        </w:tabs>
        <w:ind w:left="2268"/>
        <w:jc w:val="both"/>
      </w:pPr>
      <w:r>
        <w:t xml:space="preserve">                               </w:t>
      </w:r>
      <w:r w:rsidR="007C1DF6">
        <w:t xml:space="preserve">   </w:t>
      </w:r>
      <w:proofErr w:type="gramStart"/>
      <w:r>
        <w:t>irattár</w:t>
      </w:r>
      <w:proofErr w:type="gramEnd"/>
    </w:p>
    <w:p w14:paraId="24C55289" w14:textId="77777777" w:rsidR="006325C2" w:rsidRDefault="006325C2" w:rsidP="006325C2">
      <w:pPr>
        <w:pStyle w:val="Listaszerbekezds"/>
        <w:jc w:val="center"/>
        <w:rPr>
          <w:highlight w:val="yellow"/>
        </w:rPr>
      </w:pPr>
    </w:p>
    <w:p w14:paraId="40FC25C4" w14:textId="77777777" w:rsidR="006325C2" w:rsidRDefault="006325C2" w:rsidP="006325C2">
      <w:pPr>
        <w:pStyle w:val="Listaszerbekezds"/>
        <w:jc w:val="center"/>
        <w:rPr>
          <w:highlight w:val="yellow"/>
        </w:rPr>
      </w:pPr>
    </w:p>
    <w:p w14:paraId="24419B6F" w14:textId="77777777" w:rsidR="006325C2" w:rsidRDefault="006325C2" w:rsidP="006325C2">
      <w:pPr>
        <w:pStyle w:val="Listaszerbekezds"/>
        <w:jc w:val="center"/>
        <w:rPr>
          <w:highlight w:val="yellow"/>
        </w:rPr>
      </w:pPr>
    </w:p>
    <w:p w14:paraId="03F4B2E4" w14:textId="77777777" w:rsidR="006325C2" w:rsidRDefault="006325C2" w:rsidP="006325C2">
      <w:pPr>
        <w:pStyle w:val="Listaszerbekezds"/>
        <w:jc w:val="center"/>
        <w:rPr>
          <w:highlight w:val="yellow"/>
        </w:rPr>
      </w:pPr>
    </w:p>
    <w:p w14:paraId="5D7F85D4" w14:textId="77777777" w:rsidR="006325C2" w:rsidRDefault="006325C2" w:rsidP="006325C2">
      <w:pPr>
        <w:pStyle w:val="Listaszerbekezds"/>
        <w:jc w:val="center"/>
        <w:rPr>
          <w:highlight w:val="yellow"/>
        </w:rPr>
      </w:pPr>
    </w:p>
    <w:p w14:paraId="003E0E48" w14:textId="77777777" w:rsidR="006325C2" w:rsidRDefault="006325C2" w:rsidP="006325C2">
      <w:pPr>
        <w:pStyle w:val="Listaszerbekezds"/>
        <w:jc w:val="center"/>
        <w:rPr>
          <w:highlight w:val="yellow"/>
        </w:rPr>
      </w:pPr>
    </w:p>
    <w:p w14:paraId="67B681B9" w14:textId="77777777" w:rsidR="006325C2" w:rsidRDefault="006325C2" w:rsidP="006325C2">
      <w:pPr>
        <w:pStyle w:val="Listaszerbekezds"/>
        <w:jc w:val="center"/>
        <w:rPr>
          <w:highlight w:val="yellow"/>
        </w:rPr>
      </w:pPr>
    </w:p>
    <w:p w14:paraId="5F9B7E6F" w14:textId="77777777" w:rsidR="006325C2" w:rsidRDefault="006325C2" w:rsidP="006325C2">
      <w:pPr>
        <w:pStyle w:val="Listaszerbekezds"/>
        <w:jc w:val="center"/>
        <w:rPr>
          <w:highlight w:val="yellow"/>
        </w:rPr>
      </w:pPr>
    </w:p>
    <w:p w14:paraId="6B4E4396" w14:textId="77777777" w:rsidR="006325C2" w:rsidRDefault="006325C2" w:rsidP="006325C2">
      <w:pPr>
        <w:pStyle w:val="Listaszerbekezds"/>
        <w:jc w:val="center"/>
        <w:rPr>
          <w:highlight w:val="yellow"/>
        </w:rPr>
      </w:pPr>
    </w:p>
    <w:p w14:paraId="3483B479" w14:textId="77777777" w:rsidR="006325C2" w:rsidRDefault="006325C2" w:rsidP="006325C2">
      <w:pPr>
        <w:pStyle w:val="Listaszerbekezds"/>
        <w:jc w:val="center"/>
        <w:rPr>
          <w:highlight w:val="yellow"/>
        </w:rPr>
      </w:pPr>
    </w:p>
    <w:p w14:paraId="3BAF5DD9" w14:textId="77777777" w:rsidR="006325C2" w:rsidRDefault="006325C2" w:rsidP="006325C2">
      <w:pPr>
        <w:pStyle w:val="Listaszerbekezds"/>
        <w:jc w:val="center"/>
        <w:rPr>
          <w:highlight w:val="yellow"/>
        </w:rPr>
      </w:pPr>
    </w:p>
    <w:p w14:paraId="51B02A25" w14:textId="77777777" w:rsidR="006325C2" w:rsidRDefault="006325C2" w:rsidP="006325C2">
      <w:pPr>
        <w:pStyle w:val="Listaszerbekezds"/>
        <w:jc w:val="center"/>
        <w:rPr>
          <w:highlight w:val="yellow"/>
        </w:rPr>
      </w:pPr>
    </w:p>
    <w:p w14:paraId="6E4D9EE3" w14:textId="77777777" w:rsidR="006325C2" w:rsidRDefault="006325C2" w:rsidP="006325C2">
      <w:pPr>
        <w:rPr>
          <w:highlight w:val="yellow"/>
        </w:rPr>
      </w:pPr>
      <w:r>
        <w:rPr>
          <w:highlight w:val="yellow"/>
        </w:rPr>
        <w:br w:type="page"/>
      </w:r>
    </w:p>
    <w:p w14:paraId="32D55550" w14:textId="77777777" w:rsidR="006325C2" w:rsidRDefault="006325C2" w:rsidP="006325C2">
      <w:pPr>
        <w:pStyle w:val="Listaszerbekezds"/>
        <w:numPr>
          <w:ilvl w:val="0"/>
          <w:numId w:val="19"/>
        </w:numPr>
        <w:jc w:val="right"/>
        <w:rPr>
          <w:sz w:val="20"/>
          <w:szCs w:val="20"/>
        </w:rPr>
      </w:pPr>
      <w:r>
        <w:rPr>
          <w:sz w:val="20"/>
          <w:szCs w:val="20"/>
        </w:rPr>
        <w:t>melléklet</w:t>
      </w:r>
    </w:p>
    <w:tbl>
      <w:tblPr>
        <w:tblW w:w="8100" w:type="dxa"/>
        <w:tblInd w:w="70" w:type="dxa"/>
        <w:tblCellMar>
          <w:left w:w="70" w:type="dxa"/>
          <w:right w:w="70" w:type="dxa"/>
        </w:tblCellMar>
        <w:tblLook w:val="04A0" w:firstRow="1" w:lastRow="0" w:firstColumn="1" w:lastColumn="0" w:noHBand="0" w:noVBand="1"/>
      </w:tblPr>
      <w:tblGrid>
        <w:gridCol w:w="2820"/>
        <w:gridCol w:w="540"/>
        <w:gridCol w:w="1140"/>
        <w:gridCol w:w="1140"/>
        <w:gridCol w:w="1140"/>
        <w:gridCol w:w="1320"/>
      </w:tblGrid>
      <w:tr w:rsidR="006325C2" w14:paraId="775C6909" w14:textId="77777777" w:rsidTr="006325C2">
        <w:trPr>
          <w:trHeight w:val="840"/>
        </w:trPr>
        <w:tc>
          <w:tcPr>
            <w:tcW w:w="8100" w:type="dxa"/>
            <w:gridSpan w:val="6"/>
            <w:vAlign w:val="center"/>
            <w:hideMark/>
          </w:tcPr>
          <w:p w14:paraId="3D36B8CD" w14:textId="77777777" w:rsidR="006325C2" w:rsidRDefault="006325C2">
            <w:pPr>
              <w:jc w:val="center"/>
              <w:rPr>
                <w:b/>
                <w:bCs/>
                <w:sz w:val="22"/>
                <w:szCs w:val="22"/>
              </w:rPr>
            </w:pPr>
            <w:r>
              <w:rPr>
                <w:b/>
                <w:bCs/>
                <w:sz w:val="22"/>
                <w:szCs w:val="22"/>
              </w:rPr>
              <w:t>Bátaszék Város Önkormányzat adósságot keletkeztető ügyleteiből eredő fizetési kötelezettségeinek bemutatása</w:t>
            </w:r>
          </w:p>
        </w:tc>
      </w:tr>
      <w:tr w:rsidR="006325C2" w14:paraId="6DAF5D2F" w14:textId="77777777" w:rsidTr="006325C2">
        <w:trPr>
          <w:trHeight w:val="315"/>
        </w:trPr>
        <w:tc>
          <w:tcPr>
            <w:tcW w:w="2820" w:type="dxa"/>
            <w:noWrap/>
            <w:vAlign w:val="bottom"/>
            <w:hideMark/>
          </w:tcPr>
          <w:p w14:paraId="2F3672EF" w14:textId="77777777" w:rsidR="006325C2" w:rsidRDefault="006325C2">
            <w:pPr>
              <w:rPr>
                <w:b/>
                <w:bCs/>
                <w:sz w:val="22"/>
                <w:szCs w:val="22"/>
              </w:rPr>
            </w:pPr>
          </w:p>
        </w:tc>
        <w:tc>
          <w:tcPr>
            <w:tcW w:w="540" w:type="dxa"/>
            <w:noWrap/>
            <w:vAlign w:val="bottom"/>
            <w:hideMark/>
          </w:tcPr>
          <w:p w14:paraId="56E40D9E" w14:textId="77777777" w:rsidR="006325C2" w:rsidRDefault="006325C2">
            <w:pPr>
              <w:rPr>
                <w:sz w:val="20"/>
                <w:szCs w:val="20"/>
                <w:lang w:eastAsia="hu-HU"/>
              </w:rPr>
            </w:pPr>
          </w:p>
        </w:tc>
        <w:tc>
          <w:tcPr>
            <w:tcW w:w="1140" w:type="dxa"/>
            <w:noWrap/>
            <w:vAlign w:val="bottom"/>
            <w:hideMark/>
          </w:tcPr>
          <w:p w14:paraId="05EB5B97" w14:textId="77777777" w:rsidR="006325C2" w:rsidRDefault="006325C2">
            <w:pPr>
              <w:rPr>
                <w:sz w:val="20"/>
                <w:szCs w:val="20"/>
                <w:lang w:eastAsia="hu-HU"/>
              </w:rPr>
            </w:pPr>
          </w:p>
        </w:tc>
        <w:tc>
          <w:tcPr>
            <w:tcW w:w="1140" w:type="dxa"/>
            <w:noWrap/>
            <w:vAlign w:val="bottom"/>
            <w:hideMark/>
          </w:tcPr>
          <w:p w14:paraId="312566A1" w14:textId="77777777" w:rsidR="006325C2" w:rsidRDefault="006325C2">
            <w:pPr>
              <w:rPr>
                <w:sz w:val="20"/>
                <w:szCs w:val="20"/>
                <w:lang w:eastAsia="hu-HU"/>
              </w:rPr>
            </w:pPr>
          </w:p>
        </w:tc>
        <w:tc>
          <w:tcPr>
            <w:tcW w:w="1140" w:type="dxa"/>
            <w:noWrap/>
            <w:vAlign w:val="bottom"/>
            <w:hideMark/>
          </w:tcPr>
          <w:p w14:paraId="02DEFFDD" w14:textId="77777777" w:rsidR="006325C2" w:rsidRDefault="006325C2">
            <w:pPr>
              <w:rPr>
                <w:sz w:val="20"/>
                <w:szCs w:val="20"/>
                <w:lang w:eastAsia="hu-HU"/>
              </w:rPr>
            </w:pPr>
          </w:p>
        </w:tc>
        <w:tc>
          <w:tcPr>
            <w:tcW w:w="1320" w:type="dxa"/>
            <w:noWrap/>
            <w:vAlign w:val="bottom"/>
            <w:hideMark/>
          </w:tcPr>
          <w:p w14:paraId="400A7ECD" w14:textId="77777777" w:rsidR="006325C2" w:rsidRDefault="006325C2">
            <w:pPr>
              <w:jc w:val="right"/>
              <w:rPr>
                <w:b/>
                <w:bCs/>
                <w:i/>
                <w:iCs/>
                <w:color w:val="000000"/>
                <w:sz w:val="20"/>
                <w:szCs w:val="20"/>
              </w:rPr>
            </w:pPr>
            <w:r>
              <w:rPr>
                <w:b/>
                <w:bCs/>
                <w:i/>
                <w:iCs/>
                <w:color w:val="000000"/>
                <w:sz w:val="20"/>
                <w:szCs w:val="20"/>
              </w:rPr>
              <w:t>Forintban!</w:t>
            </w:r>
          </w:p>
        </w:tc>
      </w:tr>
      <w:tr w:rsidR="006325C2" w:rsidRPr="00A34FC4" w14:paraId="4DA3C490" w14:textId="77777777" w:rsidTr="006325C2">
        <w:trPr>
          <w:trHeight w:val="450"/>
        </w:trPr>
        <w:tc>
          <w:tcPr>
            <w:tcW w:w="2820" w:type="dxa"/>
            <w:vMerge w:val="restart"/>
            <w:tcBorders>
              <w:top w:val="single" w:sz="8" w:space="0" w:color="auto"/>
              <w:left w:val="single" w:sz="8" w:space="0" w:color="auto"/>
              <w:bottom w:val="single" w:sz="8" w:space="0" w:color="000000"/>
              <w:right w:val="single" w:sz="4" w:space="0" w:color="auto"/>
            </w:tcBorders>
            <w:vAlign w:val="center"/>
            <w:hideMark/>
          </w:tcPr>
          <w:p w14:paraId="7B96B554" w14:textId="77777777" w:rsidR="006325C2" w:rsidRPr="00A34FC4" w:rsidRDefault="006325C2">
            <w:pPr>
              <w:jc w:val="center"/>
              <w:rPr>
                <w:b/>
                <w:bCs/>
                <w:color w:val="000000"/>
                <w:sz w:val="18"/>
                <w:szCs w:val="18"/>
              </w:rPr>
            </w:pPr>
            <w:r w:rsidRPr="00A34FC4">
              <w:rPr>
                <w:b/>
                <w:bCs/>
                <w:color w:val="000000"/>
                <w:sz w:val="18"/>
                <w:szCs w:val="18"/>
              </w:rPr>
              <w:t>MEGNEVEZÉS</w:t>
            </w:r>
          </w:p>
        </w:tc>
        <w:tc>
          <w:tcPr>
            <w:tcW w:w="540" w:type="dxa"/>
            <w:vMerge w:val="restart"/>
            <w:tcBorders>
              <w:top w:val="single" w:sz="8" w:space="0" w:color="auto"/>
              <w:left w:val="single" w:sz="4" w:space="0" w:color="auto"/>
              <w:bottom w:val="single" w:sz="8" w:space="0" w:color="000000"/>
              <w:right w:val="single" w:sz="4" w:space="0" w:color="auto"/>
            </w:tcBorders>
            <w:vAlign w:val="center"/>
            <w:hideMark/>
          </w:tcPr>
          <w:p w14:paraId="5FB74F06" w14:textId="77777777" w:rsidR="006325C2" w:rsidRPr="00A34FC4" w:rsidRDefault="006325C2">
            <w:pPr>
              <w:jc w:val="center"/>
              <w:rPr>
                <w:b/>
                <w:bCs/>
                <w:color w:val="000000"/>
                <w:sz w:val="18"/>
                <w:szCs w:val="18"/>
              </w:rPr>
            </w:pPr>
            <w:r w:rsidRPr="00A34FC4">
              <w:rPr>
                <w:b/>
                <w:bCs/>
                <w:color w:val="000000"/>
                <w:sz w:val="18"/>
                <w:szCs w:val="18"/>
              </w:rPr>
              <w:t>Sor-szám</w:t>
            </w:r>
          </w:p>
        </w:tc>
        <w:tc>
          <w:tcPr>
            <w:tcW w:w="3420" w:type="dxa"/>
            <w:gridSpan w:val="3"/>
            <w:vMerge w:val="restart"/>
            <w:tcBorders>
              <w:top w:val="single" w:sz="8" w:space="0" w:color="auto"/>
              <w:left w:val="single" w:sz="4" w:space="0" w:color="auto"/>
              <w:bottom w:val="single" w:sz="4" w:space="0" w:color="000000"/>
              <w:right w:val="single" w:sz="8" w:space="0" w:color="000000"/>
            </w:tcBorders>
            <w:vAlign w:val="center"/>
            <w:hideMark/>
          </w:tcPr>
          <w:p w14:paraId="165F8E98" w14:textId="77777777" w:rsidR="006325C2" w:rsidRPr="00A34FC4" w:rsidRDefault="006325C2">
            <w:pPr>
              <w:jc w:val="center"/>
              <w:rPr>
                <w:b/>
                <w:bCs/>
                <w:color w:val="000000"/>
                <w:sz w:val="18"/>
                <w:szCs w:val="18"/>
              </w:rPr>
            </w:pPr>
            <w:r w:rsidRPr="00A34FC4">
              <w:rPr>
                <w:b/>
                <w:bCs/>
                <w:color w:val="000000"/>
                <w:sz w:val="18"/>
                <w:szCs w:val="18"/>
              </w:rPr>
              <w:t>Saját bevétel és adósságot keletkeztető ügyletből eredő fizetési kötelezettség összegei</w:t>
            </w:r>
          </w:p>
        </w:tc>
        <w:tc>
          <w:tcPr>
            <w:tcW w:w="1320" w:type="dxa"/>
            <w:vMerge w:val="restart"/>
            <w:tcBorders>
              <w:top w:val="single" w:sz="8" w:space="0" w:color="auto"/>
              <w:left w:val="single" w:sz="8" w:space="0" w:color="auto"/>
              <w:bottom w:val="single" w:sz="8" w:space="0" w:color="000000"/>
              <w:right w:val="single" w:sz="8" w:space="0" w:color="auto"/>
            </w:tcBorders>
            <w:vAlign w:val="center"/>
            <w:hideMark/>
          </w:tcPr>
          <w:p w14:paraId="6AEE28E5" w14:textId="77777777" w:rsidR="006325C2" w:rsidRPr="00A34FC4" w:rsidRDefault="006325C2">
            <w:pPr>
              <w:jc w:val="center"/>
              <w:rPr>
                <w:b/>
                <w:bCs/>
                <w:color w:val="000000"/>
                <w:sz w:val="18"/>
                <w:szCs w:val="18"/>
              </w:rPr>
            </w:pPr>
            <w:r w:rsidRPr="00A34FC4">
              <w:rPr>
                <w:b/>
                <w:bCs/>
                <w:color w:val="000000"/>
                <w:sz w:val="18"/>
                <w:szCs w:val="18"/>
              </w:rPr>
              <w:t>ÖSSZESEN</w:t>
            </w:r>
            <w:r w:rsidRPr="00A34FC4">
              <w:rPr>
                <w:b/>
                <w:bCs/>
                <w:color w:val="000000"/>
                <w:sz w:val="18"/>
                <w:szCs w:val="18"/>
              </w:rPr>
              <w:br/>
              <w:t>F=(C+D+E)</w:t>
            </w:r>
          </w:p>
        </w:tc>
      </w:tr>
      <w:tr w:rsidR="006325C2" w:rsidRPr="00A34FC4" w14:paraId="60EC92E3" w14:textId="77777777" w:rsidTr="006325C2">
        <w:trPr>
          <w:trHeight w:val="36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EB8AD65" w14:textId="77777777" w:rsidR="006325C2" w:rsidRPr="00A34FC4" w:rsidRDefault="006325C2">
            <w:pPr>
              <w:rPr>
                <w:b/>
                <w:bCs/>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DE0B071" w14:textId="77777777" w:rsidR="006325C2" w:rsidRPr="00A34FC4" w:rsidRDefault="006325C2">
            <w:pPr>
              <w:rPr>
                <w:b/>
                <w:bCs/>
                <w:color w:val="000000"/>
                <w:sz w:val="18"/>
                <w:szCs w:val="18"/>
              </w:rPr>
            </w:pPr>
          </w:p>
        </w:tc>
        <w:tc>
          <w:tcPr>
            <w:tcW w:w="0" w:type="auto"/>
            <w:gridSpan w:val="3"/>
            <w:vMerge/>
            <w:tcBorders>
              <w:top w:val="single" w:sz="8" w:space="0" w:color="auto"/>
              <w:left w:val="single" w:sz="4" w:space="0" w:color="auto"/>
              <w:bottom w:val="single" w:sz="4" w:space="0" w:color="000000"/>
              <w:right w:val="single" w:sz="8" w:space="0" w:color="000000"/>
            </w:tcBorders>
            <w:vAlign w:val="center"/>
            <w:hideMark/>
          </w:tcPr>
          <w:p w14:paraId="1FDDB419" w14:textId="77777777" w:rsidR="006325C2" w:rsidRPr="00A34FC4" w:rsidRDefault="006325C2">
            <w:pPr>
              <w:rPr>
                <w:b/>
                <w:bCs/>
                <w:color w:val="000000"/>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52DCC8" w14:textId="77777777" w:rsidR="006325C2" w:rsidRPr="00A34FC4" w:rsidRDefault="006325C2">
            <w:pPr>
              <w:rPr>
                <w:b/>
                <w:bCs/>
                <w:color w:val="000000"/>
                <w:sz w:val="18"/>
                <w:szCs w:val="18"/>
              </w:rPr>
            </w:pPr>
          </w:p>
        </w:tc>
      </w:tr>
      <w:tr w:rsidR="006325C2" w:rsidRPr="00A34FC4" w14:paraId="53A2B4F2" w14:textId="77777777" w:rsidTr="006325C2">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ECBEB13" w14:textId="77777777" w:rsidR="006325C2" w:rsidRPr="00A34FC4" w:rsidRDefault="006325C2">
            <w:pPr>
              <w:rPr>
                <w:b/>
                <w:bCs/>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006253A" w14:textId="77777777" w:rsidR="006325C2" w:rsidRPr="00A34FC4" w:rsidRDefault="006325C2">
            <w:pPr>
              <w:rPr>
                <w:b/>
                <w:bCs/>
                <w:color w:val="000000"/>
                <w:sz w:val="18"/>
                <w:szCs w:val="18"/>
              </w:rPr>
            </w:pPr>
          </w:p>
        </w:tc>
        <w:tc>
          <w:tcPr>
            <w:tcW w:w="1140" w:type="dxa"/>
            <w:tcBorders>
              <w:top w:val="nil"/>
              <w:left w:val="nil"/>
              <w:bottom w:val="single" w:sz="8" w:space="0" w:color="auto"/>
              <w:right w:val="single" w:sz="4" w:space="0" w:color="auto"/>
            </w:tcBorders>
            <w:vAlign w:val="center"/>
            <w:hideMark/>
          </w:tcPr>
          <w:p w14:paraId="26CED626" w14:textId="23234FC6" w:rsidR="006325C2" w:rsidRPr="00A34FC4" w:rsidRDefault="00FC2E7D">
            <w:pPr>
              <w:jc w:val="center"/>
              <w:rPr>
                <w:b/>
                <w:bCs/>
                <w:color w:val="000000"/>
                <w:sz w:val="16"/>
                <w:szCs w:val="16"/>
              </w:rPr>
            </w:pPr>
            <w:r w:rsidRPr="00A34FC4">
              <w:rPr>
                <w:b/>
                <w:bCs/>
                <w:color w:val="000000"/>
                <w:sz w:val="16"/>
                <w:szCs w:val="16"/>
              </w:rPr>
              <w:t>2024</w:t>
            </w:r>
            <w:r w:rsidR="006325C2" w:rsidRPr="00A34FC4">
              <w:rPr>
                <w:b/>
                <w:bCs/>
                <w:color w:val="000000"/>
                <w:sz w:val="16"/>
                <w:szCs w:val="16"/>
              </w:rPr>
              <w:t>.</w:t>
            </w:r>
          </w:p>
        </w:tc>
        <w:tc>
          <w:tcPr>
            <w:tcW w:w="1140" w:type="dxa"/>
            <w:tcBorders>
              <w:top w:val="nil"/>
              <w:left w:val="nil"/>
              <w:bottom w:val="single" w:sz="8" w:space="0" w:color="auto"/>
              <w:right w:val="single" w:sz="4" w:space="0" w:color="auto"/>
            </w:tcBorders>
            <w:vAlign w:val="center"/>
            <w:hideMark/>
          </w:tcPr>
          <w:p w14:paraId="67FA2C7F" w14:textId="32100E3C" w:rsidR="006325C2" w:rsidRPr="00A34FC4" w:rsidRDefault="00FC2E7D">
            <w:pPr>
              <w:jc w:val="center"/>
              <w:rPr>
                <w:b/>
                <w:bCs/>
                <w:color w:val="000000"/>
                <w:sz w:val="16"/>
                <w:szCs w:val="16"/>
              </w:rPr>
            </w:pPr>
            <w:r w:rsidRPr="00A34FC4">
              <w:rPr>
                <w:b/>
                <w:bCs/>
                <w:color w:val="000000"/>
                <w:sz w:val="16"/>
                <w:szCs w:val="16"/>
              </w:rPr>
              <w:t>2025</w:t>
            </w:r>
            <w:r w:rsidR="006325C2" w:rsidRPr="00A34FC4">
              <w:rPr>
                <w:b/>
                <w:bCs/>
                <w:color w:val="000000"/>
                <w:sz w:val="16"/>
                <w:szCs w:val="16"/>
              </w:rPr>
              <w:t>.</w:t>
            </w:r>
          </w:p>
        </w:tc>
        <w:tc>
          <w:tcPr>
            <w:tcW w:w="1140" w:type="dxa"/>
            <w:tcBorders>
              <w:top w:val="nil"/>
              <w:left w:val="nil"/>
              <w:bottom w:val="single" w:sz="8" w:space="0" w:color="auto"/>
              <w:right w:val="single" w:sz="4" w:space="0" w:color="auto"/>
            </w:tcBorders>
            <w:vAlign w:val="center"/>
            <w:hideMark/>
          </w:tcPr>
          <w:p w14:paraId="0389E2ED" w14:textId="23B99840" w:rsidR="006325C2" w:rsidRPr="00A34FC4" w:rsidRDefault="00FC2E7D">
            <w:pPr>
              <w:jc w:val="center"/>
              <w:rPr>
                <w:b/>
                <w:bCs/>
                <w:color w:val="000000"/>
                <w:sz w:val="16"/>
                <w:szCs w:val="16"/>
              </w:rPr>
            </w:pPr>
            <w:r w:rsidRPr="00A34FC4">
              <w:rPr>
                <w:b/>
                <w:bCs/>
                <w:color w:val="000000"/>
                <w:sz w:val="16"/>
                <w:szCs w:val="16"/>
              </w:rPr>
              <w:t>2026</w:t>
            </w:r>
            <w:r w:rsidR="006325C2" w:rsidRPr="00A34FC4">
              <w:rPr>
                <w:b/>
                <w:bCs/>
                <w:color w:val="000000"/>
                <w:sz w:val="16"/>
                <w:szCs w:val="16"/>
              </w:rPr>
              <w: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D348F5" w14:textId="77777777" w:rsidR="006325C2" w:rsidRPr="00A34FC4" w:rsidRDefault="006325C2">
            <w:pPr>
              <w:rPr>
                <w:b/>
                <w:bCs/>
                <w:color w:val="000000"/>
                <w:sz w:val="18"/>
                <w:szCs w:val="18"/>
              </w:rPr>
            </w:pPr>
          </w:p>
        </w:tc>
      </w:tr>
      <w:tr w:rsidR="006325C2" w:rsidRPr="00A34FC4" w14:paraId="3224DF20" w14:textId="77777777" w:rsidTr="006325C2">
        <w:trPr>
          <w:trHeight w:val="315"/>
        </w:trPr>
        <w:tc>
          <w:tcPr>
            <w:tcW w:w="2820" w:type="dxa"/>
            <w:tcBorders>
              <w:top w:val="nil"/>
              <w:left w:val="single" w:sz="8" w:space="0" w:color="auto"/>
              <w:bottom w:val="single" w:sz="8" w:space="0" w:color="auto"/>
              <w:right w:val="single" w:sz="4" w:space="0" w:color="auto"/>
            </w:tcBorders>
            <w:vAlign w:val="center"/>
            <w:hideMark/>
          </w:tcPr>
          <w:p w14:paraId="24048EDE" w14:textId="77777777" w:rsidR="006325C2" w:rsidRPr="00A34FC4" w:rsidRDefault="006325C2">
            <w:pPr>
              <w:jc w:val="center"/>
              <w:rPr>
                <w:b/>
                <w:bCs/>
                <w:color w:val="000000"/>
                <w:sz w:val="16"/>
                <w:szCs w:val="16"/>
              </w:rPr>
            </w:pPr>
            <w:r w:rsidRPr="00A34FC4">
              <w:rPr>
                <w:b/>
                <w:bCs/>
                <w:color w:val="000000"/>
                <w:sz w:val="16"/>
                <w:szCs w:val="16"/>
              </w:rPr>
              <w:t>A</w:t>
            </w:r>
          </w:p>
        </w:tc>
        <w:tc>
          <w:tcPr>
            <w:tcW w:w="540" w:type="dxa"/>
            <w:tcBorders>
              <w:top w:val="nil"/>
              <w:left w:val="nil"/>
              <w:bottom w:val="single" w:sz="8" w:space="0" w:color="auto"/>
              <w:right w:val="single" w:sz="4" w:space="0" w:color="auto"/>
            </w:tcBorders>
            <w:vAlign w:val="center"/>
            <w:hideMark/>
          </w:tcPr>
          <w:p w14:paraId="5DE9A427" w14:textId="77777777" w:rsidR="006325C2" w:rsidRPr="00A34FC4" w:rsidRDefault="006325C2">
            <w:pPr>
              <w:jc w:val="center"/>
              <w:rPr>
                <w:b/>
                <w:bCs/>
                <w:color w:val="000000"/>
                <w:sz w:val="16"/>
                <w:szCs w:val="16"/>
              </w:rPr>
            </w:pPr>
            <w:r w:rsidRPr="00A34FC4">
              <w:rPr>
                <w:b/>
                <w:bCs/>
                <w:color w:val="000000"/>
                <w:sz w:val="16"/>
                <w:szCs w:val="16"/>
              </w:rPr>
              <w:t>B</w:t>
            </w:r>
          </w:p>
        </w:tc>
        <w:tc>
          <w:tcPr>
            <w:tcW w:w="1140" w:type="dxa"/>
            <w:tcBorders>
              <w:top w:val="nil"/>
              <w:left w:val="nil"/>
              <w:bottom w:val="single" w:sz="8" w:space="0" w:color="auto"/>
              <w:right w:val="single" w:sz="4" w:space="0" w:color="auto"/>
            </w:tcBorders>
            <w:vAlign w:val="center"/>
            <w:hideMark/>
          </w:tcPr>
          <w:p w14:paraId="674B4D46" w14:textId="77777777" w:rsidR="006325C2" w:rsidRPr="00A34FC4" w:rsidRDefault="006325C2">
            <w:pPr>
              <w:jc w:val="center"/>
              <w:rPr>
                <w:b/>
                <w:bCs/>
                <w:color w:val="000000"/>
                <w:sz w:val="16"/>
                <w:szCs w:val="16"/>
              </w:rPr>
            </w:pPr>
            <w:r w:rsidRPr="00A34FC4">
              <w:rPr>
                <w:b/>
                <w:bCs/>
                <w:color w:val="000000"/>
                <w:sz w:val="16"/>
                <w:szCs w:val="16"/>
              </w:rPr>
              <w:t>C</w:t>
            </w:r>
          </w:p>
        </w:tc>
        <w:tc>
          <w:tcPr>
            <w:tcW w:w="1140" w:type="dxa"/>
            <w:tcBorders>
              <w:top w:val="nil"/>
              <w:left w:val="nil"/>
              <w:bottom w:val="nil"/>
              <w:right w:val="single" w:sz="4" w:space="0" w:color="auto"/>
            </w:tcBorders>
            <w:vAlign w:val="center"/>
            <w:hideMark/>
          </w:tcPr>
          <w:p w14:paraId="4EE05FDA" w14:textId="77777777" w:rsidR="006325C2" w:rsidRPr="00A34FC4" w:rsidRDefault="006325C2">
            <w:pPr>
              <w:jc w:val="center"/>
              <w:rPr>
                <w:b/>
                <w:bCs/>
                <w:color w:val="000000"/>
                <w:sz w:val="16"/>
                <w:szCs w:val="16"/>
              </w:rPr>
            </w:pPr>
            <w:r w:rsidRPr="00A34FC4">
              <w:rPr>
                <w:b/>
                <w:bCs/>
                <w:color w:val="000000"/>
                <w:sz w:val="16"/>
                <w:szCs w:val="16"/>
              </w:rPr>
              <w:t>D</w:t>
            </w:r>
          </w:p>
        </w:tc>
        <w:tc>
          <w:tcPr>
            <w:tcW w:w="1140" w:type="dxa"/>
            <w:tcBorders>
              <w:top w:val="nil"/>
              <w:left w:val="nil"/>
              <w:bottom w:val="nil"/>
              <w:right w:val="single" w:sz="4" w:space="0" w:color="auto"/>
            </w:tcBorders>
            <w:vAlign w:val="center"/>
            <w:hideMark/>
          </w:tcPr>
          <w:p w14:paraId="10CA1DD7" w14:textId="77777777" w:rsidR="006325C2" w:rsidRPr="00A34FC4" w:rsidRDefault="006325C2">
            <w:pPr>
              <w:jc w:val="center"/>
              <w:rPr>
                <w:b/>
                <w:bCs/>
                <w:color w:val="000000"/>
                <w:sz w:val="16"/>
                <w:szCs w:val="16"/>
              </w:rPr>
            </w:pPr>
            <w:r w:rsidRPr="00A34FC4">
              <w:rPr>
                <w:b/>
                <w:bCs/>
                <w:color w:val="000000"/>
                <w:sz w:val="16"/>
                <w:szCs w:val="16"/>
              </w:rPr>
              <w:t>E</w:t>
            </w:r>
          </w:p>
        </w:tc>
        <w:tc>
          <w:tcPr>
            <w:tcW w:w="1320" w:type="dxa"/>
            <w:tcBorders>
              <w:top w:val="nil"/>
              <w:left w:val="single" w:sz="8" w:space="0" w:color="auto"/>
              <w:bottom w:val="nil"/>
              <w:right w:val="single" w:sz="8" w:space="0" w:color="auto"/>
            </w:tcBorders>
            <w:vAlign w:val="center"/>
            <w:hideMark/>
          </w:tcPr>
          <w:p w14:paraId="34E78D4F" w14:textId="77777777" w:rsidR="006325C2" w:rsidRPr="00A34FC4" w:rsidRDefault="006325C2">
            <w:pPr>
              <w:jc w:val="center"/>
              <w:rPr>
                <w:b/>
                <w:bCs/>
                <w:color w:val="000000"/>
                <w:sz w:val="16"/>
                <w:szCs w:val="16"/>
              </w:rPr>
            </w:pPr>
            <w:r w:rsidRPr="00A34FC4">
              <w:rPr>
                <w:b/>
                <w:bCs/>
                <w:color w:val="000000"/>
                <w:sz w:val="16"/>
                <w:szCs w:val="16"/>
              </w:rPr>
              <w:t>F</w:t>
            </w:r>
          </w:p>
        </w:tc>
      </w:tr>
      <w:tr w:rsidR="00E41367" w:rsidRPr="00A34FC4" w14:paraId="78860769" w14:textId="77777777" w:rsidTr="00752073">
        <w:trPr>
          <w:trHeight w:val="446"/>
        </w:trPr>
        <w:tc>
          <w:tcPr>
            <w:tcW w:w="2820" w:type="dxa"/>
            <w:tcBorders>
              <w:top w:val="nil"/>
              <w:left w:val="single" w:sz="8" w:space="0" w:color="auto"/>
              <w:bottom w:val="single" w:sz="4" w:space="0" w:color="auto"/>
              <w:right w:val="single" w:sz="4" w:space="0" w:color="auto"/>
            </w:tcBorders>
            <w:shd w:val="clear" w:color="auto" w:fill="auto"/>
            <w:vAlign w:val="center"/>
            <w:hideMark/>
          </w:tcPr>
          <w:p w14:paraId="4B9096C8" w14:textId="77777777" w:rsidR="00E41367" w:rsidRPr="00752073" w:rsidRDefault="00E41367" w:rsidP="00E41367">
            <w:pPr>
              <w:rPr>
                <w:rFonts w:ascii="Times New Roman CE" w:hAnsi="Times New Roman CE" w:cs="Calibri"/>
                <w:sz w:val="14"/>
                <w:szCs w:val="14"/>
              </w:rPr>
            </w:pPr>
            <w:r w:rsidRPr="00752073">
              <w:rPr>
                <w:rFonts w:ascii="Times New Roman CE" w:hAnsi="Times New Roman CE" w:cs="Calibri"/>
                <w:sz w:val="14"/>
                <w:szCs w:val="14"/>
              </w:rPr>
              <w:t>Helyi adóból és a települési adóból származó bevétel</w:t>
            </w:r>
          </w:p>
        </w:tc>
        <w:tc>
          <w:tcPr>
            <w:tcW w:w="540" w:type="dxa"/>
            <w:tcBorders>
              <w:top w:val="nil"/>
              <w:left w:val="nil"/>
              <w:bottom w:val="single" w:sz="4" w:space="0" w:color="auto"/>
              <w:right w:val="single" w:sz="4" w:space="0" w:color="auto"/>
            </w:tcBorders>
            <w:vAlign w:val="center"/>
            <w:hideMark/>
          </w:tcPr>
          <w:p w14:paraId="04F54D6D" w14:textId="77777777" w:rsidR="00E41367" w:rsidRPr="00A34FC4" w:rsidRDefault="00E41367" w:rsidP="00E41367">
            <w:pPr>
              <w:jc w:val="center"/>
              <w:rPr>
                <w:color w:val="000000"/>
                <w:sz w:val="16"/>
                <w:szCs w:val="16"/>
              </w:rPr>
            </w:pPr>
            <w:r w:rsidRPr="00A34FC4">
              <w:rPr>
                <w:color w:val="000000"/>
                <w:sz w:val="16"/>
                <w:szCs w:val="16"/>
              </w:rPr>
              <w:t>01</w:t>
            </w:r>
          </w:p>
        </w:tc>
        <w:tc>
          <w:tcPr>
            <w:tcW w:w="1140" w:type="dxa"/>
            <w:tcBorders>
              <w:top w:val="nil"/>
              <w:left w:val="nil"/>
              <w:bottom w:val="single" w:sz="4" w:space="0" w:color="auto"/>
              <w:right w:val="single" w:sz="4" w:space="0" w:color="auto"/>
            </w:tcBorders>
            <w:vAlign w:val="center"/>
            <w:hideMark/>
          </w:tcPr>
          <w:p w14:paraId="51A80F1C" w14:textId="2B7693EB" w:rsidR="00E41367" w:rsidRPr="00A34FC4" w:rsidRDefault="00E41367" w:rsidP="00E41367">
            <w:pPr>
              <w:ind w:firstLineChars="100" w:firstLine="160"/>
              <w:jc w:val="right"/>
              <w:rPr>
                <w:color w:val="000000"/>
                <w:sz w:val="16"/>
                <w:szCs w:val="16"/>
              </w:rPr>
            </w:pPr>
            <w:r>
              <w:rPr>
                <w:color w:val="000000"/>
                <w:sz w:val="16"/>
                <w:szCs w:val="16"/>
              </w:rPr>
              <w:t>362 000 000</w:t>
            </w:r>
          </w:p>
        </w:tc>
        <w:tc>
          <w:tcPr>
            <w:tcW w:w="1140" w:type="dxa"/>
            <w:tcBorders>
              <w:top w:val="single" w:sz="8" w:space="0" w:color="auto"/>
              <w:left w:val="nil"/>
              <w:bottom w:val="single" w:sz="4" w:space="0" w:color="auto"/>
              <w:right w:val="single" w:sz="4" w:space="0" w:color="auto"/>
            </w:tcBorders>
            <w:vAlign w:val="center"/>
            <w:hideMark/>
          </w:tcPr>
          <w:p w14:paraId="37588E13" w14:textId="72BAA36E" w:rsidR="00E41367" w:rsidRPr="00A34FC4" w:rsidRDefault="00E41367" w:rsidP="00E41367">
            <w:pPr>
              <w:ind w:firstLineChars="100" w:firstLine="160"/>
              <w:jc w:val="right"/>
              <w:rPr>
                <w:color w:val="000000"/>
                <w:sz w:val="16"/>
                <w:szCs w:val="16"/>
              </w:rPr>
            </w:pPr>
            <w:r>
              <w:rPr>
                <w:color w:val="000000"/>
                <w:sz w:val="16"/>
                <w:szCs w:val="16"/>
              </w:rPr>
              <w:t>367</w:t>
            </w:r>
            <w:r w:rsidRPr="00A34FC4">
              <w:rPr>
                <w:color w:val="000000"/>
                <w:sz w:val="16"/>
                <w:szCs w:val="16"/>
              </w:rPr>
              <w:t xml:space="preserve"> 000 000</w:t>
            </w:r>
          </w:p>
        </w:tc>
        <w:tc>
          <w:tcPr>
            <w:tcW w:w="1140" w:type="dxa"/>
            <w:tcBorders>
              <w:top w:val="single" w:sz="8" w:space="0" w:color="auto"/>
              <w:left w:val="nil"/>
              <w:bottom w:val="single" w:sz="4" w:space="0" w:color="auto"/>
              <w:right w:val="single" w:sz="4" w:space="0" w:color="auto"/>
            </w:tcBorders>
            <w:vAlign w:val="center"/>
            <w:hideMark/>
          </w:tcPr>
          <w:p w14:paraId="5B4F2DC4" w14:textId="4D57CEF1" w:rsidR="00E41367" w:rsidRPr="00A34FC4" w:rsidRDefault="00E41367" w:rsidP="00E41367">
            <w:pPr>
              <w:ind w:firstLineChars="100" w:firstLine="160"/>
              <w:jc w:val="right"/>
              <w:rPr>
                <w:color w:val="000000"/>
                <w:sz w:val="16"/>
                <w:szCs w:val="16"/>
              </w:rPr>
            </w:pPr>
            <w:r>
              <w:rPr>
                <w:color w:val="000000"/>
                <w:sz w:val="16"/>
                <w:szCs w:val="16"/>
              </w:rPr>
              <w:t>372 000 000</w:t>
            </w:r>
          </w:p>
        </w:tc>
        <w:tc>
          <w:tcPr>
            <w:tcW w:w="1320" w:type="dxa"/>
            <w:tcBorders>
              <w:top w:val="single" w:sz="8" w:space="0" w:color="auto"/>
              <w:left w:val="nil"/>
              <w:bottom w:val="single" w:sz="4" w:space="0" w:color="auto"/>
              <w:right w:val="single" w:sz="8" w:space="0" w:color="auto"/>
            </w:tcBorders>
            <w:vAlign w:val="center"/>
            <w:hideMark/>
          </w:tcPr>
          <w:p w14:paraId="079BA142" w14:textId="7EA4D1DC"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1 101 000 000</w:t>
            </w:r>
          </w:p>
        </w:tc>
      </w:tr>
      <w:tr w:rsidR="00E41367" w:rsidRPr="00A34FC4" w14:paraId="54DE8831" w14:textId="77777777" w:rsidTr="006325C2">
        <w:trPr>
          <w:trHeight w:val="705"/>
        </w:trPr>
        <w:tc>
          <w:tcPr>
            <w:tcW w:w="2820" w:type="dxa"/>
            <w:tcBorders>
              <w:top w:val="nil"/>
              <w:left w:val="single" w:sz="8" w:space="0" w:color="auto"/>
              <w:bottom w:val="single" w:sz="4" w:space="0" w:color="auto"/>
              <w:right w:val="single" w:sz="4" w:space="0" w:color="auto"/>
            </w:tcBorders>
            <w:vAlign w:val="center"/>
            <w:hideMark/>
          </w:tcPr>
          <w:p w14:paraId="48D74E51" w14:textId="77777777" w:rsidR="00E41367" w:rsidRPr="00A34FC4" w:rsidRDefault="00E41367" w:rsidP="00E41367">
            <w:pPr>
              <w:jc w:val="both"/>
              <w:rPr>
                <w:sz w:val="14"/>
                <w:szCs w:val="14"/>
              </w:rPr>
            </w:pPr>
            <w:r w:rsidRPr="00A34FC4">
              <w:rPr>
                <w:sz w:val="14"/>
                <w:szCs w:val="14"/>
              </w:rPr>
              <w:t>Az önkormányzati vagyon és az önkormányzatot megillető vagyoni értékű jog értékesítéséből és hasznosításából származó bevétel</w:t>
            </w:r>
          </w:p>
        </w:tc>
        <w:tc>
          <w:tcPr>
            <w:tcW w:w="540" w:type="dxa"/>
            <w:tcBorders>
              <w:top w:val="nil"/>
              <w:left w:val="nil"/>
              <w:bottom w:val="single" w:sz="4" w:space="0" w:color="auto"/>
              <w:right w:val="single" w:sz="4" w:space="0" w:color="auto"/>
            </w:tcBorders>
            <w:vAlign w:val="center"/>
            <w:hideMark/>
          </w:tcPr>
          <w:p w14:paraId="06E446FB" w14:textId="77777777" w:rsidR="00E41367" w:rsidRPr="00A34FC4" w:rsidRDefault="00E41367" w:rsidP="00E41367">
            <w:pPr>
              <w:jc w:val="center"/>
              <w:rPr>
                <w:color w:val="000000"/>
                <w:sz w:val="16"/>
                <w:szCs w:val="16"/>
              </w:rPr>
            </w:pPr>
            <w:r w:rsidRPr="00A34FC4">
              <w:rPr>
                <w:color w:val="000000"/>
                <w:sz w:val="16"/>
                <w:szCs w:val="16"/>
              </w:rPr>
              <w:t>02</w:t>
            </w:r>
          </w:p>
        </w:tc>
        <w:tc>
          <w:tcPr>
            <w:tcW w:w="1140" w:type="dxa"/>
            <w:tcBorders>
              <w:top w:val="nil"/>
              <w:left w:val="nil"/>
              <w:bottom w:val="single" w:sz="4" w:space="0" w:color="auto"/>
              <w:right w:val="single" w:sz="4" w:space="0" w:color="auto"/>
            </w:tcBorders>
            <w:vAlign w:val="center"/>
            <w:hideMark/>
          </w:tcPr>
          <w:p w14:paraId="7E83BE95" w14:textId="5A5B0D98" w:rsidR="00E41367" w:rsidRPr="00A34FC4" w:rsidRDefault="00E41367" w:rsidP="00E41367">
            <w:pPr>
              <w:ind w:firstLineChars="100" w:firstLine="160"/>
              <w:jc w:val="right"/>
              <w:rPr>
                <w:color w:val="000000"/>
                <w:sz w:val="16"/>
                <w:szCs w:val="16"/>
              </w:rPr>
            </w:pPr>
            <w:r w:rsidRPr="00A34FC4">
              <w:rPr>
                <w:color w:val="000000"/>
                <w:sz w:val="16"/>
                <w:szCs w:val="16"/>
              </w:rPr>
              <w:t>20 000 000</w:t>
            </w:r>
          </w:p>
        </w:tc>
        <w:tc>
          <w:tcPr>
            <w:tcW w:w="1140" w:type="dxa"/>
            <w:tcBorders>
              <w:top w:val="nil"/>
              <w:left w:val="nil"/>
              <w:bottom w:val="single" w:sz="4" w:space="0" w:color="auto"/>
              <w:right w:val="single" w:sz="4" w:space="0" w:color="auto"/>
            </w:tcBorders>
            <w:vAlign w:val="center"/>
            <w:hideMark/>
          </w:tcPr>
          <w:p w14:paraId="1F334B33" w14:textId="21020056" w:rsidR="00E41367" w:rsidRPr="00A34FC4" w:rsidRDefault="00E41367" w:rsidP="00E41367">
            <w:pPr>
              <w:ind w:firstLineChars="100" w:firstLine="160"/>
              <w:jc w:val="right"/>
              <w:rPr>
                <w:color w:val="000000"/>
                <w:sz w:val="16"/>
                <w:szCs w:val="16"/>
              </w:rPr>
            </w:pPr>
            <w:r w:rsidRPr="00A34FC4">
              <w:rPr>
                <w:color w:val="000000"/>
                <w:sz w:val="16"/>
                <w:szCs w:val="16"/>
              </w:rPr>
              <w:t>25 000 000</w:t>
            </w:r>
          </w:p>
        </w:tc>
        <w:tc>
          <w:tcPr>
            <w:tcW w:w="1140" w:type="dxa"/>
            <w:tcBorders>
              <w:top w:val="nil"/>
              <w:left w:val="nil"/>
              <w:bottom w:val="single" w:sz="4" w:space="0" w:color="auto"/>
              <w:right w:val="single" w:sz="4" w:space="0" w:color="auto"/>
            </w:tcBorders>
            <w:vAlign w:val="center"/>
            <w:hideMark/>
          </w:tcPr>
          <w:p w14:paraId="0DD89AC1" w14:textId="24D3DC4F" w:rsidR="00E41367" w:rsidRPr="00A34FC4" w:rsidRDefault="00E41367" w:rsidP="00E41367">
            <w:pPr>
              <w:ind w:firstLineChars="100" w:firstLine="160"/>
              <w:jc w:val="right"/>
              <w:rPr>
                <w:color w:val="000000"/>
                <w:sz w:val="16"/>
                <w:szCs w:val="16"/>
              </w:rPr>
            </w:pPr>
            <w:r w:rsidRPr="00A34FC4">
              <w:rPr>
                <w:color w:val="000000"/>
                <w:sz w:val="16"/>
                <w:szCs w:val="16"/>
              </w:rPr>
              <w:t>30 000 000</w:t>
            </w:r>
          </w:p>
        </w:tc>
        <w:tc>
          <w:tcPr>
            <w:tcW w:w="1320" w:type="dxa"/>
            <w:tcBorders>
              <w:top w:val="nil"/>
              <w:left w:val="nil"/>
              <w:bottom w:val="single" w:sz="4" w:space="0" w:color="auto"/>
              <w:right w:val="single" w:sz="8" w:space="0" w:color="auto"/>
            </w:tcBorders>
            <w:vAlign w:val="center"/>
            <w:hideMark/>
          </w:tcPr>
          <w:p w14:paraId="49B58C92" w14:textId="1405F6EE"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75 000 000</w:t>
            </w:r>
          </w:p>
        </w:tc>
      </w:tr>
      <w:tr w:rsidR="00E41367" w:rsidRPr="00A34FC4" w14:paraId="08E26F4F" w14:textId="77777777" w:rsidTr="006325C2">
        <w:trPr>
          <w:trHeight w:val="260"/>
        </w:trPr>
        <w:tc>
          <w:tcPr>
            <w:tcW w:w="2820" w:type="dxa"/>
            <w:tcBorders>
              <w:top w:val="nil"/>
              <w:left w:val="single" w:sz="8" w:space="0" w:color="auto"/>
              <w:bottom w:val="single" w:sz="4" w:space="0" w:color="auto"/>
              <w:right w:val="single" w:sz="4" w:space="0" w:color="auto"/>
            </w:tcBorders>
            <w:vAlign w:val="center"/>
            <w:hideMark/>
          </w:tcPr>
          <w:p w14:paraId="781BA0C1" w14:textId="77777777" w:rsidR="00E41367" w:rsidRPr="00A34FC4" w:rsidRDefault="00E41367" w:rsidP="00E41367">
            <w:pPr>
              <w:rPr>
                <w:sz w:val="14"/>
                <w:szCs w:val="14"/>
              </w:rPr>
            </w:pPr>
            <w:r w:rsidRPr="00A34FC4">
              <w:rPr>
                <w:sz w:val="14"/>
                <w:szCs w:val="14"/>
              </w:rPr>
              <w:t>Osztalék, koncessziós díj és hozambevétel</w:t>
            </w:r>
          </w:p>
        </w:tc>
        <w:tc>
          <w:tcPr>
            <w:tcW w:w="540" w:type="dxa"/>
            <w:tcBorders>
              <w:top w:val="nil"/>
              <w:left w:val="nil"/>
              <w:bottom w:val="single" w:sz="4" w:space="0" w:color="auto"/>
              <w:right w:val="single" w:sz="4" w:space="0" w:color="auto"/>
            </w:tcBorders>
            <w:vAlign w:val="center"/>
            <w:hideMark/>
          </w:tcPr>
          <w:p w14:paraId="56F30DF7" w14:textId="77777777" w:rsidR="00E41367" w:rsidRPr="00A34FC4" w:rsidRDefault="00E41367" w:rsidP="00E41367">
            <w:pPr>
              <w:jc w:val="center"/>
              <w:rPr>
                <w:color w:val="000000"/>
                <w:sz w:val="16"/>
                <w:szCs w:val="16"/>
              </w:rPr>
            </w:pPr>
            <w:r w:rsidRPr="00A34FC4">
              <w:rPr>
                <w:color w:val="000000"/>
                <w:sz w:val="16"/>
                <w:szCs w:val="16"/>
              </w:rPr>
              <w:t>03</w:t>
            </w:r>
          </w:p>
        </w:tc>
        <w:tc>
          <w:tcPr>
            <w:tcW w:w="1140" w:type="dxa"/>
            <w:tcBorders>
              <w:top w:val="nil"/>
              <w:left w:val="nil"/>
              <w:bottom w:val="single" w:sz="4" w:space="0" w:color="auto"/>
              <w:right w:val="single" w:sz="4" w:space="0" w:color="auto"/>
            </w:tcBorders>
            <w:vAlign w:val="center"/>
            <w:hideMark/>
          </w:tcPr>
          <w:p w14:paraId="456B8E54" w14:textId="542A28DB" w:rsidR="00E41367" w:rsidRPr="00A34FC4" w:rsidRDefault="00E41367" w:rsidP="00E41367">
            <w:pPr>
              <w:ind w:firstLineChars="100" w:firstLine="160"/>
              <w:jc w:val="right"/>
              <w:rPr>
                <w:color w:val="000000"/>
                <w:sz w:val="16"/>
                <w:szCs w:val="16"/>
              </w:rPr>
            </w:pPr>
            <w:r w:rsidRPr="00A34FC4">
              <w:rPr>
                <w:color w:val="000000"/>
                <w:sz w:val="16"/>
                <w:szCs w:val="16"/>
              </w:rPr>
              <w:t> </w:t>
            </w:r>
          </w:p>
        </w:tc>
        <w:tc>
          <w:tcPr>
            <w:tcW w:w="1140" w:type="dxa"/>
            <w:tcBorders>
              <w:top w:val="nil"/>
              <w:left w:val="nil"/>
              <w:bottom w:val="single" w:sz="4" w:space="0" w:color="auto"/>
              <w:right w:val="single" w:sz="4" w:space="0" w:color="auto"/>
            </w:tcBorders>
            <w:vAlign w:val="center"/>
            <w:hideMark/>
          </w:tcPr>
          <w:p w14:paraId="4A3FFEF0" w14:textId="51BEBECF" w:rsidR="00E41367" w:rsidRPr="00A34FC4" w:rsidRDefault="00E41367" w:rsidP="00E41367">
            <w:pPr>
              <w:ind w:firstLineChars="100" w:firstLine="160"/>
              <w:jc w:val="right"/>
              <w:rPr>
                <w:color w:val="000000"/>
                <w:sz w:val="16"/>
                <w:szCs w:val="16"/>
              </w:rPr>
            </w:pPr>
            <w:r w:rsidRPr="00A34FC4">
              <w:rPr>
                <w:color w:val="000000"/>
                <w:sz w:val="16"/>
                <w:szCs w:val="16"/>
              </w:rPr>
              <w:t> </w:t>
            </w:r>
          </w:p>
        </w:tc>
        <w:tc>
          <w:tcPr>
            <w:tcW w:w="1140" w:type="dxa"/>
            <w:tcBorders>
              <w:top w:val="nil"/>
              <w:left w:val="nil"/>
              <w:bottom w:val="single" w:sz="4" w:space="0" w:color="auto"/>
              <w:right w:val="single" w:sz="4" w:space="0" w:color="auto"/>
            </w:tcBorders>
            <w:vAlign w:val="center"/>
            <w:hideMark/>
          </w:tcPr>
          <w:p w14:paraId="14240F89" w14:textId="400A8357" w:rsidR="00E41367" w:rsidRPr="00A34FC4" w:rsidRDefault="00E41367" w:rsidP="00E41367">
            <w:pPr>
              <w:ind w:firstLineChars="100" w:firstLine="160"/>
              <w:jc w:val="right"/>
              <w:rPr>
                <w:color w:val="000000"/>
                <w:sz w:val="16"/>
                <w:szCs w:val="16"/>
              </w:rPr>
            </w:pPr>
            <w:r w:rsidRPr="00A34FC4">
              <w:rPr>
                <w:color w:val="000000"/>
                <w:sz w:val="16"/>
                <w:szCs w:val="16"/>
              </w:rPr>
              <w:t> </w:t>
            </w:r>
          </w:p>
        </w:tc>
        <w:tc>
          <w:tcPr>
            <w:tcW w:w="1320" w:type="dxa"/>
            <w:tcBorders>
              <w:top w:val="nil"/>
              <w:left w:val="nil"/>
              <w:bottom w:val="single" w:sz="4" w:space="0" w:color="auto"/>
              <w:right w:val="single" w:sz="8" w:space="0" w:color="auto"/>
            </w:tcBorders>
            <w:vAlign w:val="center"/>
            <w:hideMark/>
          </w:tcPr>
          <w:p w14:paraId="4674C626" w14:textId="124F032D"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47BE92CB" w14:textId="77777777" w:rsidTr="006325C2">
        <w:trPr>
          <w:trHeight w:val="561"/>
        </w:trPr>
        <w:tc>
          <w:tcPr>
            <w:tcW w:w="2820" w:type="dxa"/>
            <w:tcBorders>
              <w:top w:val="nil"/>
              <w:left w:val="single" w:sz="8" w:space="0" w:color="auto"/>
              <w:bottom w:val="single" w:sz="4" w:space="0" w:color="auto"/>
              <w:right w:val="single" w:sz="4" w:space="0" w:color="auto"/>
            </w:tcBorders>
            <w:vAlign w:val="center"/>
            <w:hideMark/>
          </w:tcPr>
          <w:p w14:paraId="71D4D275" w14:textId="77777777" w:rsidR="00E41367" w:rsidRPr="00A34FC4" w:rsidRDefault="00E41367" w:rsidP="00E41367">
            <w:pPr>
              <w:rPr>
                <w:sz w:val="14"/>
                <w:szCs w:val="14"/>
              </w:rPr>
            </w:pPr>
            <w:r w:rsidRPr="00A34FC4">
              <w:rPr>
                <w:sz w:val="14"/>
                <w:szCs w:val="14"/>
              </w:rPr>
              <w:t>Tárgyi eszköz és az immateriális jószág, részvény, részesedés, vállalat értékesítéséből vagy privatizációból származó bevétel</w:t>
            </w:r>
          </w:p>
        </w:tc>
        <w:tc>
          <w:tcPr>
            <w:tcW w:w="540" w:type="dxa"/>
            <w:tcBorders>
              <w:top w:val="nil"/>
              <w:left w:val="nil"/>
              <w:bottom w:val="single" w:sz="4" w:space="0" w:color="auto"/>
              <w:right w:val="single" w:sz="4" w:space="0" w:color="auto"/>
            </w:tcBorders>
            <w:vAlign w:val="center"/>
            <w:hideMark/>
          </w:tcPr>
          <w:p w14:paraId="0C9ACB84" w14:textId="77777777" w:rsidR="00E41367" w:rsidRPr="00A34FC4" w:rsidRDefault="00E41367" w:rsidP="00E41367">
            <w:pPr>
              <w:jc w:val="center"/>
              <w:rPr>
                <w:color w:val="000000"/>
                <w:sz w:val="16"/>
                <w:szCs w:val="16"/>
              </w:rPr>
            </w:pPr>
            <w:r w:rsidRPr="00A34FC4">
              <w:rPr>
                <w:color w:val="000000"/>
                <w:sz w:val="16"/>
                <w:szCs w:val="16"/>
              </w:rPr>
              <w:t>04</w:t>
            </w:r>
          </w:p>
        </w:tc>
        <w:tc>
          <w:tcPr>
            <w:tcW w:w="1140" w:type="dxa"/>
            <w:tcBorders>
              <w:top w:val="nil"/>
              <w:left w:val="nil"/>
              <w:bottom w:val="single" w:sz="4" w:space="0" w:color="auto"/>
              <w:right w:val="single" w:sz="4" w:space="0" w:color="auto"/>
            </w:tcBorders>
            <w:vAlign w:val="center"/>
            <w:hideMark/>
          </w:tcPr>
          <w:p w14:paraId="297E47EB" w14:textId="485F4003" w:rsidR="00E41367" w:rsidRPr="00A34FC4" w:rsidRDefault="00E41367" w:rsidP="00E41367">
            <w:pPr>
              <w:ind w:firstLineChars="100" w:firstLine="160"/>
              <w:jc w:val="right"/>
              <w:rPr>
                <w:color w:val="000000"/>
                <w:sz w:val="16"/>
                <w:szCs w:val="16"/>
              </w:rPr>
            </w:pPr>
            <w:r w:rsidRPr="00A34FC4">
              <w:rPr>
                <w:color w:val="000000"/>
                <w:sz w:val="16"/>
                <w:szCs w:val="16"/>
              </w:rPr>
              <w:t>2 000 000</w:t>
            </w:r>
          </w:p>
        </w:tc>
        <w:tc>
          <w:tcPr>
            <w:tcW w:w="1140" w:type="dxa"/>
            <w:tcBorders>
              <w:top w:val="nil"/>
              <w:left w:val="nil"/>
              <w:bottom w:val="single" w:sz="4" w:space="0" w:color="auto"/>
              <w:right w:val="single" w:sz="4" w:space="0" w:color="auto"/>
            </w:tcBorders>
            <w:vAlign w:val="center"/>
            <w:hideMark/>
          </w:tcPr>
          <w:p w14:paraId="6C99C85A" w14:textId="4C2B6595" w:rsidR="00E41367" w:rsidRPr="00A34FC4" w:rsidRDefault="00E41367" w:rsidP="00E41367">
            <w:pPr>
              <w:ind w:firstLineChars="100" w:firstLine="160"/>
              <w:jc w:val="right"/>
              <w:rPr>
                <w:color w:val="000000"/>
                <w:sz w:val="16"/>
                <w:szCs w:val="16"/>
              </w:rPr>
            </w:pPr>
            <w:r w:rsidRPr="00A34FC4">
              <w:rPr>
                <w:color w:val="000000"/>
                <w:sz w:val="16"/>
                <w:szCs w:val="16"/>
              </w:rPr>
              <w:t xml:space="preserve">3 000 000 </w:t>
            </w:r>
          </w:p>
        </w:tc>
        <w:tc>
          <w:tcPr>
            <w:tcW w:w="1140" w:type="dxa"/>
            <w:tcBorders>
              <w:top w:val="nil"/>
              <w:left w:val="nil"/>
              <w:bottom w:val="single" w:sz="4" w:space="0" w:color="auto"/>
              <w:right w:val="single" w:sz="4" w:space="0" w:color="auto"/>
            </w:tcBorders>
            <w:vAlign w:val="center"/>
            <w:hideMark/>
          </w:tcPr>
          <w:p w14:paraId="62A8178F" w14:textId="63365729" w:rsidR="00E41367" w:rsidRPr="00A34FC4" w:rsidRDefault="00E41367" w:rsidP="00E41367">
            <w:pPr>
              <w:ind w:firstLineChars="100" w:firstLine="160"/>
              <w:jc w:val="right"/>
              <w:rPr>
                <w:color w:val="000000"/>
                <w:sz w:val="16"/>
                <w:szCs w:val="16"/>
              </w:rPr>
            </w:pPr>
            <w:r w:rsidRPr="00A34FC4">
              <w:rPr>
                <w:color w:val="000000"/>
                <w:sz w:val="16"/>
                <w:szCs w:val="16"/>
              </w:rPr>
              <w:t>4 000 000</w:t>
            </w:r>
          </w:p>
        </w:tc>
        <w:tc>
          <w:tcPr>
            <w:tcW w:w="1320" w:type="dxa"/>
            <w:tcBorders>
              <w:top w:val="nil"/>
              <w:left w:val="nil"/>
              <w:bottom w:val="single" w:sz="4" w:space="0" w:color="auto"/>
              <w:right w:val="single" w:sz="8" w:space="0" w:color="auto"/>
            </w:tcBorders>
            <w:vAlign w:val="center"/>
            <w:hideMark/>
          </w:tcPr>
          <w:p w14:paraId="659CB452" w14:textId="30B10712"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9 000 000</w:t>
            </w:r>
          </w:p>
        </w:tc>
      </w:tr>
      <w:tr w:rsidR="00E41367" w:rsidRPr="00A34FC4" w14:paraId="5F4D50E4" w14:textId="77777777" w:rsidTr="006325C2">
        <w:trPr>
          <w:trHeight w:val="300"/>
        </w:trPr>
        <w:tc>
          <w:tcPr>
            <w:tcW w:w="2820" w:type="dxa"/>
            <w:tcBorders>
              <w:top w:val="nil"/>
              <w:left w:val="single" w:sz="8" w:space="0" w:color="auto"/>
              <w:bottom w:val="single" w:sz="4" w:space="0" w:color="auto"/>
              <w:right w:val="single" w:sz="4" w:space="0" w:color="auto"/>
            </w:tcBorders>
            <w:vAlign w:val="center"/>
            <w:hideMark/>
          </w:tcPr>
          <w:p w14:paraId="751249E3" w14:textId="77777777" w:rsidR="00E41367" w:rsidRPr="00A34FC4" w:rsidRDefault="00E41367" w:rsidP="00E41367">
            <w:pPr>
              <w:rPr>
                <w:sz w:val="14"/>
                <w:szCs w:val="14"/>
              </w:rPr>
            </w:pPr>
            <w:r w:rsidRPr="00A34FC4">
              <w:rPr>
                <w:sz w:val="14"/>
                <w:szCs w:val="14"/>
              </w:rPr>
              <w:t>Bírság-, pótlék- és díjbevétel</w:t>
            </w:r>
          </w:p>
        </w:tc>
        <w:tc>
          <w:tcPr>
            <w:tcW w:w="540" w:type="dxa"/>
            <w:tcBorders>
              <w:top w:val="nil"/>
              <w:left w:val="nil"/>
              <w:bottom w:val="single" w:sz="4" w:space="0" w:color="auto"/>
              <w:right w:val="single" w:sz="4" w:space="0" w:color="auto"/>
            </w:tcBorders>
            <w:vAlign w:val="center"/>
            <w:hideMark/>
          </w:tcPr>
          <w:p w14:paraId="59A988FE" w14:textId="77777777" w:rsidR="00E41367" w:rsidRPr="00A34FC4" w:rsidRDefault="00E41367" w:rsidP="00E41367">
            <w:pPr>
              <w:jc w:val="center"/>
              <w:rPr>
                <w:color w:val="000000"/>
                <w:sz w:val="16"/>
                <w:szCs w:val="16"/>
              </w:rPr>
            </w:pPr>
            <w:r w:rsidRPr="00A34FC4">
              <w:rPr>
                <w:color w:val="000000"/>
                <w:sz w:val="16"/>
                <w:szCs w:val="16"/>
              </w:rPr>
              <w:t>05</w:t>
            </w:r>
          </w:p>
        </w:tc>
        <w:tc>
          <w:tcPr>
            <w:tcW w:w="1140" w:type="dxa"/>
            <w:tcBorders>
              <w:top w:val="nil"/>
              <w:left w:val="nil"/>
              <w:bottom w:val="single" w:sz="4" w:space="0" w:color="auto"/>
              <w:right w:val="single" w:sz="4" w:space="0" w:color="auto"/>
            </w:tcBorders>
            <w:vAlign w:val="center"/>
            <w:hideMark/>
          </w:tcPr>
          <w:p w14:paraId="57F9581B" w14:textId="654DEEED" w:rsidR="00E41367" w:rsidRPr="00A34FC4" w:rsidRDefault="00E41367" w:rsidP="00E41367">
            <w:pPr>
              <w:ind w:firstLineChars="100" w:firstLine="160"/>
              <w:jc w:val="right"/>
              <w:rPr>
                <w:color w:val="000000"/>
                <w:sz w:val="16"/>
                <w:szCs w:val="16"/>
              </w:rPr>
            </w:pPr>
            <w:r w:rsidRPr="00A34FC4">
              <w:rPr>
                <w:color w:val="000000"/>
                <w:sz w:val="16"/>
                <w:szCs w:val="16"/>
              </w:rPr>
              <w:t>1 100 000</w:t>
            </w:r>
          </w:p>
        </w:tc>
        <w:tc>
          <w:tcPr>
            <w:tcW w:w="1140" w:type="dxa"/>
            <w:tcBorders>
              <w:top w:val="nil"/>
              <w:left w:val="nil"/>
              <w:bottom w:val="single" w:sz="4" w:space="0" w:color="auto"/>
              <w:right w:val="single" w:sz="4" w:space="0" w:color="auto"/>
            </w:tcBorders>
            <w:vAlign w:val="center"/>
            <w:hideMark/>
          </w:tcPr>
          <w:p w14:paraId="13B5E9DD" w14:textId="4F8A6372" w:rsidR="00E41367" w:rsidRPr="00A34FC4" w:rsidRDefault="00E41367" w:rsidP="00E41367">
            <w:pPr>
              <w:ind w:firstLineChars="100" w:firstLine="160"/>
              <w:jc w:val="right"/>
              <w:rPr>
                <w:color w:val="000000"/>
                <w:sz w:val="16"/>
                <w:szCs w:val="16"/>
              </w:rPr>
            </w:pPr>
            <w:r w:rsidRPr="00A34FC4">
              <w:rPr>
                <w:color w:val="000000"/>
                <w:sz w:val="16"/>
                <w:szCs w:val="16"/>
              </w:rPr>
              <w:t>1 200 000</w:t>
            </w:r>
          </w:p>
        </w:tc>
        <w:tc>
          <w:tcPr>
            <w:tcW w:w="1140" w:type="dxa"/>
            <w:tcBorders>
              <w:top w:val="nil"/>
              <w:left w:val="nil"/>
              <w:bottom w:val="single" w:sz="4" w:space="0" w:color="auto"/>
              <w:right w:val="single" w:sz="4" w:space="0" w:color="auto"/>
            </w:tcBorders>
            <w:vAlign w:val="center"/>
            <w:hideMark/>
          </w:tcPr>
          <w:p w14:paraId="44D985E5" w14:textId="6057B27E" w:rsidR="00E41367" w:rsidRPr="00A34FC4" w:rsidRDefault="00E41367" w:rsidP="00E41367">
            <w:pPr>
              <w:ind w:firstLineChars="100" w:firstLine="160"/>
              <w:jc w:val="right"/>
              <w:rPr>
                <w:color w:val="000000"/>
                <w:sz w:val="16"/>
                <w:szCs w:val="16"/>
              </w:rPr>
            </w:pPr>
            <w:r w:rsidRPr="00A34FC4">
              <w:rPr>
                <w:color w:val="000000"/>
                <w:sz w:val="16"/>
                <w:szCs w:val="16"/>
              </w:rPr>
              <w:t>1 300 000</w:t>
            </w:r>
          </w:p>
        </w:tc>
        <w:tc>
          <w:tcPr>
            <w:tcW w:w="1320" w:type="dxa"/>
            <w:tcBorders>
              <w:top w:val="nil"/>
              <w:left w:val="nil"/>
              <w:bottom w:val="single" w:sz="4" w:space="0" w:color="auto"/>
              <w:right w:val="single" w:sz="8" w:space="0" w:color="auto"/>
            </w:tcBorders>
            <w:vAlign w:val="center"/>
            <w:hideMark/>
          </w:tcPr>
          <w:p w14:paraId="67F28E63" w14:textId="602D219D"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3 600 000</w:t>
            </w:r>
          </w:p>
        </w:tc>
      </w:tr>
      <w:tr w:rsidR="00E41367" w:rsidRPr="00A34FC4" w14:paraId="4DE171FF" w14:textId="77777777" w:rsidTr="006325C2">
        <w:trPr>
          <w:trHeight w:val="390"/>
        </w:trPr>
        <w:tc>
          <w:tcPr>
            <w:tcW w:w="2820" w:type="dxa"/>
            <w:tcBorders>
              <w:top w:val="nil"/>
              <w:left w:val="single" w:sz="8" w:space="0" w:color="auto"/>
              <w:bottom w:val="single" w:sz="8" w:space="0" w:color="auto"/>
              <w:right w:val="single" w:sz="4" w:space="0" w:color="auto"/>
            </w:tcBorders>
            <w:vAlign w:val="center"/>
            <w:hideMark/>
          </w:tcPr>
          <w:p w14:paraId="34252E5E" w14:textId="77777777" w:rsidR="00E41367" w:rsidRPr="00A34FC4" w:rsidRDefault="00E41367" w:rsidP="00E41367">
            <w:pPr>
              <w:rPr>
                <w:sz w:val="14"/>
                <w:szCs w:val="14"/>
              </w:rPr>
            </w:pPr>
            <w:r w:rsidRPr="00A34FC4">
              <w:rPr>
                <w:sz w:val="14"/>
                <w:szCs w:val="14"/>
              </w:rPr>
              <w:t>Kezesség-, illetve garanciavállalással kapcsolatos megtérülés</w:t>
            </w:r>
          </w:p>
        </w:tc>
        <w:tc>
          <w:tcPr>
            <w:tcW w:w="540" w:type="dxa"/>
            <w:tcBorders>
              <w:top w:val="nil"/>
              <w:left w:val="nil"/>
              <w:bottom w:val="single" w:sz="4" w:space="0" w:color="auto"/>
              <w:right w:val="single" w:sz="4" w:space="0" w:color="auto"/>
            </w:tcBorders>
            <w:vAlign w:val="center"/>
            <w:hideMark/>
          </w:tcPr>
          <w:p w14:paraId="1170A970" w14:textId="77777777" w:rsidR="00E41367" w:rsidRPr="00A34FC4" w:rsidRDefault="00E41367" w:rsidP="00E41367">
            <w:pPr>
              <w:jc w:val="center"/>
              <w:rPr>
                <w:color w:val="000000"/>
                <w:sz w:val="16"/>
                <w:szCs w:val="16"/>
              </w:rPr>
            </w:pPr>
            <w:r w:rsidRPr="00A34FC4">
              <w:rPr>
                <w:color w:val="000000"/>
                <w:sz w:val="16"/>
                <w:szCs w:val="16"/>
              </w:rPr>
              <w:t>06</w:t>
            </w:r>
          </w:p>
        </w:tc>
        <w:tc>
          <w:tcPr>
            <w:tcW w:w="1140" w:type="dxa"/>
            <w:tcBorders>
              <w:top w:val="nil"/>
              <w:left w:val="nil"/>
              <w:bottom w:val="single" w:sz="8" w:space="0" w:color="auto"/>
              <w:right w:val="single" w:sz="4" w:space="0" w:color="auto"/>
            </w:tcBorders>
            <w:vAlign w:val="center"/>
            <w:hideMark/>
          </w:tcPr>
          <w:p w14:paraId="2A20E6A2" w14:textId="5564FE86" w:rsidR="00E41367" w:rsidRPr="00A34FC4" w:rsidRDefault="00E41367" w:rsidP="00E41367">
            <w:pPr>
              <w:ind w:firstLineChars="100" w:firstLine="160"/>
              <w:jc w:val="right"/>
              <w:rPr>
                <w:color w:val="000000"/>
                <w:sz w:val="16"/>
                <w:szCs w:val="16"/>
              </w:rPr>
            </w:pPr>
            <w:r w:rsidRPr="00A34FC4">
              <w:rPr>
                <w:color w:val="000000"/>
                <w:sz w:val="16"/>
                <w:szCs w:val="16"/>
              </w:rPr>
              <w:t> </w:t>
            </w:r>
          </w:p>
        </w:tc>
        <w:tc>
          <w:tcPr>
            <w:tcW w:w="1140" w:type="dxa"/>
            <w:tcBorders>
              <w:top w:val="nil"/>
              <w:left w:val="nil"/>
              <w:bottom w:val="single" w:sz="8" w:space="0" w:color="auto"/>
              <w:right w:val="single" w:sz="4" w:space="0" w:color="auto"/>
            </w:tcBorders>
            <w:vAlign w:val="center"/>
            <w:hideMark/>
          </w:tcPr>
          <w:p w14:paraId="4B3CB07D" w14:textId="783F5859" w:rsidR="00E41367" w:rsidRPr="00A34FC4" w:rsidRDefault="00E41367" w:rsidP="00E41367">
            <w:pPr>
              <w:ind w:firstLineChars="100" w:firstLine="160"/>
              <w:jc w:val="right"/>
              <w:rPr>
                <w:color w:val="000000"/>
                <w:sz w:val="16"/>
                <w:szCs w:val="16"/>
              </w:rPr>
            </w:pPr>
            <w:r w:rsidRPr="00A34FC4">
              <w:rPr>
                <w:color w:val="000000"/>
                <w:sz w:val="16"/>
                <w:szCs w:val="16"/>
              </w:rPr>
              <w:t> </w:t>
            </w:r>
          </w:p>
        </w:tc>
        <w:tc>
          <w:tcPr>
            <w:tcW w:w="1140" w:type="dxa"/>
            <w:tcBorders>
              <w:top w:val="nil"/>
              <w:left w:val="nil"/>
              <w:bottom w:val="single" w:sz="8" w:space="0" w:color="auto"/>
              <w:right w:val="single" w:sz="4" w:space="0" w:color="auto"/>
            </w:tcBorders>
            <w:vAlign w:val="center"/>
            <w:hideMark/>
          </w:tcPr>
          <w:p w14:paraId="724B8ADE" w14:textId="2E425C86" w:rsidR="00E41367" w:rsidRPr="00A34FC4" w:rsidRDefault="00E41367" w:rsidP="00E41367">
            <w:pPr>
              <w:ind w:firstLineChars="100" w:firstLine="160"/>
              <w:jc w:val="right"/>
              <w:rPr>
                <w:color w:val="000000"/>
                <w:sz w:val="16"/>
                <w:szCs w:val="16"/>
              </w:rPr>
            </w:pPr>
            <w:r w:rsidRPr="00A34FC4">
              <w:rPr>
                <w:color w:val="000000"/>
                <w:sz w:val="16"/>
                <w:szCs w:val="16"/>
              </w:rPr>
              <w:t> </w:t>
            </w:r>
          </w:p>
        </w:tc>
        <w:tc>
          <w:tcPr>
            <w:tcW w:w="1320" w:type="dxa"/>
            <w:tcBorders>
              <w:top w:val="nil"/>
              <w:left w:val="nil"/>
              <w:bottom w:val="single" w:sz="8" w:space="0" w:color="auto"/>
              <w:right w:val="single" w:sz="8" w:space="0" w:color="auto"/>
            </w:tcBorders>
            <w:vAlign w:val="center"/>
            <w:hideMark/>
          </w:tcPr>
          <w:p w14:paraId="571B5039" w14:textId="4ADF2F9B"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10E9A56A" w14:textId="77777777" w:rsidTr="006325C2">
        <w:trPr>
          <w:trHeight w:val="360"/>
        </w:trPr>
        <w:tc>
          <w:tcPr>
            <w:tcW w:w="2820" w:type="dxa"/>
            <w:tcBorders>
              <w:top w:val="nil"/>
              <w:left w:val="single" w:sz="8" w:space="0" w:color="auto"/>
              <w:bottom w:val="single" w:sz="8" w:space="0" w:color="auto"/>
              <w:right w:val="single" w:sz="4" w:space="0" w:color="auto"/>
            </w:tcBorders>
            <w:vAlign w:val="center"/>
            <w:hideMark/>
          </w:tcPr>
          <w:p w14:paraId="5CDF34ED" w14:textId="77777777" w:rsidR="00E41367" w:rsidRPr="00A34FC4" w:rsidRDefault="00E41367" w:rsidP="00E41367">
            <w:pPr>
              <w:rPr>
                <w:b/>
                <w:bCs/>
                <w:color w:val="000000"/>
                <w:sz w:val="16"/>
                <w:szCs w:val="16"/>
              </w:rPr>
            </w:pPr>
            <w:r w:rsidRPr="00A34FC4">
              <w:rPr>
                <w:b/>
                <w:bCs/>
                <w:color w:val="000000"/>
                <w:sz w:val="16"/>
                <w:szCs w:val="16"/>
              </w:rPr>
              <w:t>Saját bevételek (01+</w:t>
            </w:r>
            <w:proofErr w:type="gramStart"/>
            <w:r w:rsidRPr="00A34FC4">
              <w:rPr>
                <w:b/>
                <w:bCs/>
                <w:color w:val="000000"/>
                <w:sz w:val="16"/>
                <w:szCs w:val="16"/>
              </w:rPr>
              <w:t>… .</w:t>
            </w:r>
            <w:proofErr w:type="gramEnd"/>
            <w:r w:rsidRPr="00A34FC4">
              <w:rPr>
                <w:b/>
                <w:bCs/>
                <w:color w:val="000000"/>
                <w:sz w:val="16"/>
                <w:szCs w:val="16"/>
              </w:rPr>
              <w:t>+06)</w:t>
            </w:r>
          </w:p>
        </w:tc>
        <w:tc>
          <w:tcPr>
            <w:tcW w:w="540" w:type="dxa"/>
            <w:tcBorders>
              <w:top w:val="single" w:sz="8" w:space="0" w:color="auto"/>
              <w:left w:val="nil"/>
              <w:bottom w:val="single" w:sz="8" w:space="0" w:color="auto"/>
              <w:right w:val="single" w:sz="4" w:space="0" w:color="auto"/>
            </w:tcBorders>
            <w:vAlign w:val="center"/>
            <w:hideMark/>
          </w:tcPr>
          <w:p w14:paraId="79FE5A83" w14:textId="77777777" w:rsidR="00E41367" w:rsidRPr="00A34FC4" w:rsidRDefault="00E41367" w:rsidP="00E41367">
            <w:pPr>
              <w:jc w:val="center"/>
              <w:rPr>
                <w:b/>
                <w:bCs/>
                <w:color w:val="000000"/>
                <w:sz w:val="16"/>
                <w:szCs w:val="16"/>
              </w:rPr>
            </w:pPr>
            <w:r w:rsidRPr="00A34FC4">
              <w:rPr>
                <w:b/>
                <w:bCs/>
                <w:color w:val="000000"/>
                <w:sz w:val="16"/>
                <w:szCs w:val="16"/>
              </w:rPr>
              <w:t>07</w:t>
            </w:r>
          </w:p>
        </w:tc>
        <w:tc>
          <w:tcPr>
            <w:tcW w:w="1140" w:type="dxa"/>
            <w:tcBorders>
              <w:top w:val="nil"/>
              <w:left w:val="nil"/>
              <w:bottom w:val="single" w:sz="8" w:space="0" w:color="auto"/>
              <w:right w:val="nil"/>
            </w:tcBorders>
            <w:vAlign w:val="center"/>
            <w:hideMark/>
          </w:tcPr>
          <w:p w14:paraId="2DE33B71" w14:textId="6FB629C3"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385 100 000</w:t>
            </w:r>
          </w:p>
        </w:tc>
        <w:tc>
          <w:tcPr>
            <w:tcW w:w="1140" w:type="dxa"/>
            <w:tcBorders>
              <w:top w:val="nil"/>
              <w:left w:val="single" w:sz="4" w:space="0" w:color="auto"/>
              <w:bottom w:val="single" w:sz="8" w:space="0" w:color="auto"/>
              <w:right w:val="single" w:sz="4" w:space="0" w:color="auto"/>
            </w:tcBorders>
            <w:vAlign w:val="center"/>
            <w:hideMark/>
          </w:tcPr>
          <w:p w14:paraId="016C2E9A" w14:textId="052C7482"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396 200 000</w:t>
            </w:r>
          </w:p>
        </w:tc>
        <w:tc>
          <w:tcPr>
            <w:tcW w:w="1140" w:type="dxa"/>
            <w:tcBorders>
              <w:top w:val="nil"/>
              <w:left w:val="nil"/>
              <w:bottom w:val="single" w:sz="8" w:space="0" w:color="auto"/>
              <w:right w:val="single" w:sz="4" w:space="0" w:color="auto"/>
            </w:tcBorders>
            <w:vAlign w:val="center"/>
            <w:hideMark/>
          </w:tcPr>
          <w:p w14:paraId="2E44878A" w14:textId="2AA7B005"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407 300 000</w:t>
            </w:r>
          </w:p>
        </w:tc>
        <w:tc>
          <w:tcPr>
            <w:tcW w:w="1320" w:type="dxa"/>
            <w:tcBorders>
              <w:top w:val="nil"/>
              <w:left w:val="nil"/>
              <w:bottom w:val="single" w:sz="8" w:space="0" w:color="auto"/>
              <w:right w:val="single" w:sz="8" w:space="0" w:color="auto"/>
            </w:tcBorders>
            <w:vAlign w:val="center"/>
            <w:hideMark/>
          </w:tcPr>
          <w:p w14:paraId="16107874" w14:textId="0D3DB107"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1 188 600 000</w:t>
            </w:r>
          </w:p>
        </w:tc>
      </w:tr>
      <w:tr w:rsidR="00E41367" w:rsidRPr="00A34FC4" w14:paraId="1ECE01EB" w14:textId="77777777" w:rsidTr="006325C2">
        <w:trPr>
          <w:trHeight w:val="360"/>
        </w:trPr>
        <w:tc>
          <w:tcPr>
            <w:tcW w:w="2820" w:type="dxa"/>
            <w:tcBorders>
              <w:top w:val="nil"/>
              <w:left w:val="single" w:sz="8" w:space="0" w:color="auto"/>
              <w:bottom w:val="single" w:sz="8" w:space="0" w:color="auto"/>
              <w:right w:val="single" w:sz="4" w:space="0" w:color="auto"/>
            </w:tcBorders>
            <w:vAlign w:val="center"/>
            <w:hideMark/>
          </w:tcPr>
          <w:p w14:paraId="6E7B963B" w14:textId="77777777" w:rsidR="00E41367" w:rsidRPr="00A34FC4" w:rsidRDefault="00E41367" w:rsidP="00E41367">
            <w:pPr>
              <w:rPr>
                <w:b/>
                <w:bCs/>
                <w:color w:val="000000"/>
                <w:sz w:val="16"/>
                <w:szCs w:val="16"/>
              </w:rPr>
            </w:pPr>
            <w:r w:rsidRPr="00A34FC4">
              <w:rPr>
                <w:b/>
                <w:bCs/>
                <w:color w:val="000000"/>
                <w:sz w:val="16"/>
                <w:szCs w:val="16"/>
              </w:rPr>
              <w:t>Saját bevételek  (07 sor)  50%-</w:t>
            </w:r>
            <w:proofErr w:type="gramStart"/>
            <w:r w:rsidRPr="00A34FC4">
              <w:rPr>
                <w:b/>
                <w:bCs/>
                <w:color w:val="000000"/>
                <w:sz w:val="16"/>
                <w:szCs w:val="16"/>
              </w:rPr>
              <w:t>a</w:t>
            </w:r>
            <w:proofErr w:type="gramEnd"/>
            <w:r w:rsidRPr="00A34FC4">
              <w:rPr>
                <w:b/>
                <w:bCs/>
                <w:color w:val="000000"/>
                <w:sz w:val="16"/>
                <w:szCs w:val="16"/>
              </w:rPr>
              <w:t xml:space="preserve"> </w:t>
            </w:r>
          </w:p>
        </w:tc>
        <w:tc>
          <w:tcPr>
            <w:tcW w:w="540" w:type="dxa"/>
            <w:tcBorders>
              <w:top w:val="nil"/>
              <w:left w:val="nil"/>
              <w:bottom w:val="single" w:sz="8" w:space="0" w:color="auto"/>
              <w:right w:val="single" w:sz="4" w:space="0" w:color="auto"/>
            </w:tcBorders>
            <w:vAlign w:val="center"/>
            <w:hideMark/>
          </w:tcPr>
          <w:p w14:paraId="163F38E7" w14:textId="77777777" w:rsidR="00E41367" w:rsidRPr="00A34FC4" w:rsidRDefault="00E41367" w:rsidP="00E41367">
            <w:pPr>
              <w:jc w:val="center"/>
              <w:rPr>
                <w:b/>
                <w:bCs/>
                <w:color w:val="000000"/>
                <w:sz w:val="16"/>
                <w:szCs w:val="16"/>
              </w:rPr>
            </w:pPr>
            <w:r w:rsidRPr="00A34FC4">
              <w:rPr>
                <w:b/>
                <w:bCs/>
                <w:color w:val="000000"/>
                <w:sz w:val="16"/>
                <w:szCs w:val="16"/>
              </w:rPr>
              <w:t>08</w:t>
            </w:r>
          </w:p>
        </w:tc>
        <w:tc>
          <w:tcPr>
            <w:tcW w:w="1140" w:type="dxa"/>
            <w:tcBorders>
              <w:top w:val="nil"/>
              <w:left w:val="nil"/>
              <w:bottom w:val="single" w:sz="8" w:space="0" w:color="auto"/>
              <w:right w:val="nil"/>
            </w:tcBorders>
            <w:vAlign w:val="center"/>
            <w:hideMark/>
          </w:tcPr>
          <w:p w14:paraId="1276C186" w14:textId="79F9C6DD"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192 550 000</w:t>
            </w:r>
          </w:p>
        </w:tc>
        <w:tc>
          <w:tcPr>
            <w:tcW w:w="1140" w:type="dxa"/>
            <w:tcBorders>
              <w:top w:val="nil"/>
              <w:left w:val="single" w:sz="4" w:space="0" w:color="auto"/>
              <w:bottom w:val="single" w:sz="8" w:space="0" w:color="auto"/>
              <w:right w:val="single" w:sz="4" w:space="0" w:color="auto"/>
            </w:tcBorders>
            <w:vAlign w:val="center"/>
            <w:hideMark/>
          </w:tcPr>
          <w:p w14:paraId="70EAEFB8" w14:textId="39822A73"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198 100 000</w:t>
            </w:r>
          </w:p>
        </w:tc>
        <w:tc>
          <w:tcPr>
            <w:tcW w:w="1140" w:type="dxa"/>
            <w:tcBorders>
              <w:top w:val="nil"/>
              <w:left w:val="nil"/>
              <w:bottom w:val="single" w:sz="8" w:space="0" w:color="auto"/>
              <w:right w:val="single" w:sz="4" w:space="0" w:color="auto"/>
            </w:tcBorders>
            <w:vAlign w:val="center"/>
            <w:hideMark/>
          </w:tcPr>
          <w:p w14:paraId="7FFB4EF7" w14:textId="03CF49C7"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203 650 000</w:t>
            </w:r>
          </w:p>
        </w:tc>
        <w:tc>
          <w:tcPr>
            <w:tcW w:w="1320" w:type="dxa"/>
            <w:tcBorders>
              <w:top w:val="nil"/>
              <w:left w:val="nil"/>
              <w:bottom w:val="single" w:sz="8" w:space="0" w:color="auto"/>
              <w:right w:val="single" w:sz="8" w:space="0" w:color="auto"/>
            </w:tcBorders>
            <w:vAlign w:val="center"/>
            <w:hideMark/>
          </w:tcPr>
          <w:p w14:paraId="671153F0" w14:textId="499ADB3C"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594 300 000</w:t>
            </w:r>
          </w:p>
        </w:tc>
      </w:tr>
      <w:tr w:rsidR="00E41367" w:rsidRPr="00A34FC4" w14:paraId="46F4D8D4" w14:textId="77777777" w:rsidTr="006325C2">
        <w:trPr>
          <w:trHeight w:val="617"/>
        </w:trPr>
        <w:tc>
          <w:tcPr>
            <w:tcW w:w="2820" w:type="dxa"/>
            <w:tcBorders>
              <w:top w:val="nil"/>
              <w:left w:val="single" w:sz="8" w:space="0" w:color="auto"/>
              <w:bottom w:val="single" w:sz="4" w:space="0" w:color="auto"/>
              <w:right w:val="single" w:sz="4" w:space="0" w:color="auto"/>
            </w:tcBorders>
            <w:vAlign w:val="center"/>
            <w:hideMark/>
          </w:tcPr>
          <w:p w14:paraId="602C6524" w14:textId="77777777" w:rsidR="00E41367" w:rsidRPr="00A34FC4" w:rsidRDefault="00E41367" w:rsidP="00E41367">
            <w:pPr>
              <w:rPr>
                <w:color w:val="000000"/>
                <w:sz w:val="14"/>
                <w:szCs w:val="14"/>
              </w:rPr>
            </w:pPr>
            <w:r w:rsidRPr="00A34FC4">
              <w:rPr>
                <w:color w:val="000000"/>
                <w:sz w:val="14"/>
                <w:szCs w:val="14"/>
              </w:rPr>
              <w:t>Hitel, kölcsön felvétele, átvállalása a folyósítás,</w:t>
            </w:r>
            <w:r w:rsidRPr="00A34FC4">
              <w:rPr>
                <w:color w:val="000000"/>
                <w:sz w:val="14"/>
                <w:szCs w:val="14"/>
              </w:rPr>
              <w:br/>
              <w:t xml:space="preserve">átvállalás napjától a végtörlesztés napjáig, és annak </w:t>
            </w:r>
            <w:proofErr w:type="gramStart"/>
            <w:r w:rsidRPr="00A34FC4">
              <w:rPr>
                <w:color w:val="000000"/>
                <w:sz w:val="14"/>
                <w:szCs w:val="14"/>
              </w:rPr>
              <w:t>aktuális</w:t>
            </w:r>
            <w:proofErr w:type="gramEnd"/>
            <w:r w:rsidRPr="00A34FC4">
              <w:rPr>
                <w:color w:val="000000"/>
                <w:sz w:val="14"/>
                <w:szCs w:val="14"/>
              </w:rPr>
              <w:t xml:space="preserve"> tőketartozása</w:t>
            </w:r>
          </w:p>
        </w:tc>
        <w:tc>
          <w:tcPr>
            <w:tcW w:w="540" w:type="dxa"/>
            <w:tcBorders>
              <w:top w:val="nil"/>
              <w:left w:val="nil"/>
              <w:bottom w:val="single" w:sz="4" w:space="0" w:color="auto"/>
              <w:right w:val="single" w:sz="4" w:space="0" w:color="auto"/>
            </w:tcBorders>
            <w:vAlign w:val="center"/>
            <w:hideMark/>
          </w:tcPr>
          <w:p w14:paraId="22310EF1" w14:textId="77777777" w:rsidR="00E41367" w:rsidRPr="00A34FC4" w:rsidRDefault="00E41367" w:rsidP="00E41367">
            <w:pPr>
              <w:jc w:val="center"/>
              <w:rPr>
                <w:color w:val="000000"/>
                <w:sz w:val="16"/>
                <w:szCs w:val="16"/>
              </w:rPr>
            </w:pPr>
            <w:r w:rsidRPr="00A34FC4">
              <w:rPr>
                <w:color w:val="000000"/>
                <w:sz w:val="16"/>
                <w:szCs w:val="16"/>
              </w:rPr>
              <w:t>09</w:t>
            </w:r>
          </w:p>
        </w:tc>
        <w:tc>
          <w:tcPr>
            <w:tcW w:w="1140" w:type="dxa"/>
            <w:tcBorders>
              <w:top w:val="nil"/>
              <w:left w:val="nil"/>
              <w:bottom w:val="nil"/>
              <w:right w:val="single" w:sz="4" w:space="0" w:color="auto"/>
            </w:tcBorders>
            <w:vAlign w:val="center"/>
            <w:hideMark/>
          </w:tcPr>
          <w:p w14:paraId="4F16E680" w14:textId="33A5087E"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nil"/>
              <w:right w:val="single" w:sz="4" w:space="0" w:color="auto"/>
            </w:tcBorders>
            <w:vAlign w:val="center"/>
            <w:hideMark/>
          </w:tcPr>
          <w:p w14:paraId="3C95AA1F" w14:textId="03173BAF"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nil"/>
              <w:right w:val="single" w:sz="4" w:space="0" w:color="auto"/>
            </w:tcBorders>
            <w:vAlign w:val="center"/>
            <w:hideMark/>
          </w:tcPr>
          <w:p w14:paraId="54AC3722" w14:textId="555E90BA"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320" w:type="dxa"/>
            <w:tcBorders>
              <w:top w:val="nil"/>
              <w:left w:val="nil"/>
              <w:bottom w:val="nil"/>
              <w:right w:val="single" w:sz="8" w:space="0" w:color="auto"/>
            </w:tcBorders>
            <w:vAlign w:val="center"/>
            <w:hideMark/>
          </w:tcPr>
          <w:p w14:paraId="6DCC0551" w14:textId="4E795575"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15513304" w14:textId="77777777" w:rsidTr="006325C2">
        <w:trPr>
          <w:trHeight w:val="1273"/>
        </w:trPr>
        <w:tc>
          <w:tcPr>
            <w:tcW w:w="2820" w:type="dxa"/>
            <w:tcBorders>
              <w:top w:val="nil"/>
              <w:left w:val="single" w:sz="8" w:space="0" w:color="auto"/>
              <w:bottom w:val="single" w:sz="4" w:space="0" w:color="auto"/>
              <w:right w:val="nil"/>
            </w:tcBorders>
            <w:vAlign w:val="center"/>
            <w:hideMark/>
          </w:tcPr>
          <w:p w14:paraId="3A2F2624" w14:textId="77777777" w:rsidR="00E41367" w:rsidRPr="00A34FC4" w:rsidRDefault="00E41367" w:rsidP="00E41367">
            <w:pPr>
              <w:rPr>
                <w:color w:val="222222"/>
                <w:sz w:val="14"/>
                <w:szCs w:val="14"/>
              </w:rPr>
            </w:pPr>
            <w:r w:rsidRPr="00A34FC4">
              <w:rPr>
                <w:color w:val="222222"/>
                <w:sz w:val="14"/>
                <w:szCs w:val="14"/>
              </w:rPr>
              <w:t>A számvitelről szóló törvény (a továbbiakban: Szt.)</w:t>
            </w:r>
            <w:r w:rsidRPr="00A34FC4">
              <w:rPr>
                <w:color w:val="222222"/>
                <w:sz w:val="14"/>
                <w:szCs w:val="14"/>
              </w:rPr>
              <w:br/>
              <w:t>szerinti hitelviszonyt megtestesítő értékpapír forgalomba hozatala a forgalomba hozatal napjától a beváltás napjáig, kamatozó értékpapír esetén annak névértéke, egyéb értékpapír esetén annak vételára</w:t>
            </w:r>
          </w:p>
        </w:tc>
        <w:tc>
          <w:tcPr>
            <w:tcW w:w="540" w:type="dxa"/>
            <w:tcBorders>
              <w:top w:val="nil"/>
              <w:left w:val="single" w:sz="4" w:space="0" w:color="auto"/>
              <w:bottom w:val="single" w:sz="4" w:space="0" w:color="auto"/>
              <w:right w:val="single" w:sz="4" w:space="0" w:color="auto"/>
            </w:tcBorders>
            <w:vAlign w:val="center"/>
            <w:hideMark/>
          </w:tcPr>
          <w:p w14:paraId="3DD706D9" w14:textId="77777777" w:rsidR="00E41367" w:rsidRPr="00A34FC4" w:rsidRDefault="00E41367" w:rsidP="00E41367">
            <w:pPr>
              <w:jc w:val="center"/>
              <w:rPr>
                <w:color w:val="000000"/>
                <w:sz w:val="16"/>
                <w:szCs w:val="16"/>
              </w:rPr>
            </w:pPr>
            <w:r w:rsidRPr="00A34FC4">
              <w:rPr>
                <w:color w:val="000000"/>
                <w:sz w:val="16"/>
                <w:szCs w:val="16"/>
              </w:rPr>
              <w:t>10</w:t>
            </w:r>
          </w:p>
        </w:tc>
        <w:tc>
          <w:tcPr>
            <w:tcW w:w="1140" w:type="dxa"/>
            <w:tcBorders>
              <w:top w:val="single" w:sz="4" w:space="0" w:color="auto"/>
              <w:left w:val="nil"/>
              <w:bottom w:val="nil"/>
              <w:right w:val="single" w:sz="4" w:space="0" w:color="auto"/>
            </w:tcBorders>
            <w:vAlign w:val="center"/>
            <w:hideMark/>
          </w:tcPr>
          <w:p w14:paraId="7D2E8F84" w14:textId="172C90AF"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single" w:sz="4" w:space="0" w:color="auto"/>
              <w:left w:val="nil"/>
              <w:bottom w:val="nil"/>
              <w:right w:val="single" w:sz="4" w:space="0" w:color="auto"/>
            </w:tcBorders>
            <w:vAlign w:val="center"/>
            <w:hideMark/>
          </w:tcPr>
          <w:p w14:paraId="7E44AF3D" w14:textId="46801AF9"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single" w:sz="4" w:space="0" w:color="auto"/>
              <w:left w:val="nil"/>
              <w:bottom w:val="nil"/>
              <w:right w:val="single" w:sz="4" w:space="0" w:color="auto"/>
            </w:tcBorders>
            <w:vAlign w:val="center"/>
            <w:hideMark/>
          </w:tcPr>
          <w:p w14:paraId="2C03B3C4" w14:textId="43DDAF90"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320" w:type="dxa"/>
            <w:tcBorders>
              <w:top w:val="single" w:sz="4" w:space="0" w:color="auto"/>
              <w:left w:val="nil"/>
              <w:bottom w:val="nil"/>
              <w:right w:val="single" w:sz="8" w:space="0" w:color="auto"/>
            </w:tcBorders>
            <w:vAlign w:val="center"/>
            <w:hideMark/>
          </w:tcPr>
          <w:p w14:paraId="251442BE" w14:textId="18B994DE"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5BB3A410" w14:textId="77777777" w:rsidTr="006325C2">
        <w:trPr>
          <w:trHeight w:val="823"/>
        </w:trPr>
        <w:tc>
          <w:tcPr>
            <w:tcW w:w="2820" w:type="dxa"/>
            <w:tcBorders>
              <w:top w:val="nil"/>
              <w:left w:val="single" w:sz="8" w:space="0" w:color="auto"/>
              <w:bottom w:val="single" w:sz="4" w:space="0" w:color="auto"/>
              <w:right w:val="nil"/>
            </w:tcBorders>
            <w:vAlign w:val="center"/>
            <w:hideMark/>
          </w:tcPr>
          <w:p w14:paraId="671ED893" w14:textId="77777777" w:rsidR="00E41367" w:rsidRPr="00A34FC4" w:rsidRDefault="00E41367" w:rsidP="00E41367">
            <w:pPr>
              <w:rPr>
                <w:color w:val="222222"/>
                <w:sz w:val="14"/>
                <w:szCs w:val="14"/>
              </w:rPr>
            </w:pPr>
            <w:r w:rsidRPr="00A34FC4">
              <w:rPr>
                <w:color w:val="222222"/>
                <w:sz w:val="14"/>
                <w:szCs w:val="14"/>
              </w:rPr>
              <w:t>Váltó kibocsátása a kibocsátás napjától a beváltás</w:t>
            </w:r>
            <w:r w:rsidRPr="00A34FC4">
              <w:rPr>
                <w:color w:val="222222"/>
                <w:sz w:val="14"/>
                <w:szCs w:val="14"/>
              </w:rPr>
              <w:br/>
              <w:t>napjáig, és annak a váltóval kiváltott kötelezettséggel megegyező, kamatot nem tartalmazó értéke</w:t>
            </w:r>
          </w:p>
        </w:tc>
        <w:tc>
          <w:tcPr>
            <w:tcW w:w="540" w:type="dxa"/>
            <w:tcBorders>
              <w:top w:val="nil"/>
              <w:left w:val="single" w:sz="4" w:space="0" w:color="auto"/>
              <w:bottom w:val="single" w:sz="4" w:space="0" w:color="auto"/>
              <w:right w:val="single" w:sz="4" w:space="0" w:color="auto"/>
            </w:tcBorders>
            <w:vAlign w:val="center"/>
            <w:hideMark/>
          </w:tcPr>
          <w:p w14:paraId="25675B1E" w14:textId="77777777" w:rsidR="00E41367" w:rsidRPr="00A34FC4" w:rsidRDefault="00E41367" w:rsidP="00E41367">
            <w:pPr>
              <w:jc w:val="center"/>
              <w:rPr>
                <w:color w:val="000000"/>
                <w:sz w:val="16"/>
                <w:szCs w:val="16"/>
              </w:rPr>
            </w:pPr>
            <w:r w:rsidRPr="00A34FC4">
              <w:rPr>
                <w:color w:val="000000"/>
                <w:sz w:val="16"/>
                <w:szCs w:val="16"/>
              </w:rPr>
              <w:t>11</w:t>
            </w:r>
          </w:p>
        </w:tc>
        <w:tc>
          <w:tcPr>
            <w:tcW w:w="1140" w:type="dxa"/>
            <w:tcBorders>
              <w:top w:val="single" w:sz="4" w:space="0" w:color="auto"/>
              <w:left w:val="nil"/>
              <w:bottom w:val="single" w:sz="4" w:space="0" w:color="auto"/>
              <w:right w:val="single" w:sz="4" w:space="0" w:color="auto"/>
            </w:tcBorders>
            <w:vAlign w:val="center"/>
            <w:hideMark/>
          </w:tcPr>
          <w:p w14:paraId="091F4DF7" w14:textId="25E1458C"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single" w:sz="4" w:space="0" w:color="auto"/>
              <w:left w:val="nil"/>
              <w:bottom w:val="single" w:sz="4" w:space="0" w:color="auto"/>
              <w:right w:val="single" w:sz="4" w:space="0" w:color="auto"/>
            </w:tcBorders>
            <w:vAlign w:val="center"/>
            <w:hideMark/>
          </w:tcPr>
          <w:p w14:paraId="10FEBBD3" w14:textId="03FEFE1C"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single" w:sz="4" w:space="0" w:color="auto"/>
              <w:left w:val="nil"/>
              <w:bottom w:val="single" w:sz="4" w:space="0" w:color="auto"/>
              <w:right w:val="single" w:sz="4" w:space="0" w:color="auto"/>
            </w:tcBorders>
            <w:vAlign w:val="center"/>
            <w:hideMark/>
          </w:tcPr>
          <w:p w14:paraId="17783EE2" w14:textId="58D732EA"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320" w:type="dxa"/>
            <w:tcBorders>
              <w:top w:val="single" w:sz="4" w:space="0" w:color="auto"/>
              <w:left w:val="nil"/>
              <w:bottom w:val="single" w:sz="4" w:space="0" w:color="auto"/>
              <w:right w:val="single" w:sz="8" w:space="0" w:color="auto"/>
            </w:tcBorders>
            <w:vAlign w:val="center"/>
            <w:hideMark/>
          </w:tcPr>
          <w:p w14:paraId="7B112489" w14:textId="0AA412CE"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4FFF83D5" w14:textId="77777777" w:rsidTr="006325C2">
        <w:trPr>
          <w:trHeight w:val="848"/>
        </w:trPr>
        <w:tc>
          <w:tcPr>
            <w:tcW w:w="2820" w:type="dxa"/>
            <w:tcBorders>
              <w:top w:val="nil"/>
              <w:left w:val="single" w:sz="8" w:space="0" w:color="auto"/>
              <w:bottom w:val="single" w:sz="4" w:space="0" w:color="auto"/>
              <w:right w:val="nil"/>
            </w:tcBorders>
            <w:vAlign w:val="center"/>
            <w:hideMark/>
          </w:tcPr>
          <w:p w14:paraId="15A9E33D" w14:textId="77777777" w:rsidR="00E41367" w:rsidRPr="00A34FC4" w:rsidRDefault="00E41367" w:rsidP="00E41367">
            <w:pPr>
              <w:rPr>
                <w:color w:val="222222"/>
                <w:sz w:val="14"/>
                <w:szCs w:val="14"/>
              </w:rPr>
            </w:pPr>
            <w:r w:rsidRPr="00A34FC4">
              <w:rPr>
                <w:color w:val="222222"/>
                <w:sz w:val="14"/>
                <w:szCs w:val="14"/>
              </w:rPr>
              <w:t xml:space="preserve">Az Szt. szerint pénzügyi lízing </w:t>
            </w:r>
            <w:proofErr w:type="spellStart"/>
            <w:r w:rsidRPr="00A34FC4">
              <w:rPr>
                <w:color w:val="222222"/>
                <w:sz w:val="14"/>
                <w:szCs w:val="14"/>
              </w:rPr>
              <w:t>lízingbevevői</w:t>
            </w:r>
            <w:proofErr w:type="spellEnd"/>
            <w:r w:rsidRPr="00A34FC4">
              <w:rPr>
                <w:color w:val="222222"/>
                <w:sz w:val="14"/>
                <w:szCs w:val="14"/>
              </w:rPr>
              <w:t xml:space="preserve"> félként</w:t>
            </w:r>
            <w:r w:rsidRPr="00A34FC4">
              <w:rPr>
                <w:color w:val="222222"/>
                <w:sz w:val="14"/>
                <w:szCs w:val="14"/>
              </w:rPr>
              <w:br/>
              <w:t>történő megkötése a lízing futamideje alatt, és a lízingszerződésben kikötött tőkerész hátralévő összege</w:t>
            </w:r>
          </w:p>
        </w:tc>
        <w:tc>
          <w:tcPr>
            <w:tcW w:w="540" w:type="dxa"/>
            <w:tcBorders>
              <w:top w:val="nil"/>
              <w:left w:val="single" w:sz="4" w:space="0" w:color="auto"/>
              <w:bottom w:val="single" w:sz="4" w:space="0" w:color="auto"/>
              <w:right w:val="single" w:sz="4" w:space="0" w:color="auto"/>
            </w:tcBorders>
            <w:vAlign w:val="center"/>
            <w:hideMark/>
          </w:tcPr>
          <w:p w14:paraId="317F6471" w14:textId="77777777" w:rsidR="00E41367" w:rsidRPr="00A34FC4" w:rsidRDefault="00E41367" w:rsidP="00E41367">
            <w:pPr>
              <w:jc w:val="center"/>
              <w:rPr>
                <w:color w:val="000000"/>
                <w:sz w:val="16"/>
                <w:szCs w:val="16"/>
              </w:rPr>
            </w:pPr>
            <w:r w:rsidRPr="00A34FC4">
              <w:rPr>
                <w:color w:val="000000"/>
                <w:sz w:val="16"/>
                <w:szCs w:val="16"/>
              </w:rPr>
              <w:t>12</w:t>
            </w:r>
          </w:p>
        </w:tc>
        <w:tc>
          <w:tcPr>
            <w:tcW w:w="1140" w:type="dxa"/>
            <w:tcBorders>
              <w:top w:val="nil"/>
              <w:left w:val="nil"/>
              <w:bottom w:val="single" w:sz="4" w:space="0" w:color="auto"/>
              <w:right w:val="single" w:sz="4" w:space="0" w:color="auto"/>
            </w:tcBorders>
            <w:vAlign w:val="center"/>
            <w:hideMark/>
          </w:tcPr>
          <w:p w14:paraId="7F3D0F40" w14:textId="5BC35A16" w:rsidR="00E41367" w:rsidRPr="00A34FC4" w:rsidRDefault="00E41367" w:rsidP="00E41367">
            <w:pPr>
              <w:ind w:firstLineChars="100" w:firstLine="160"/>
              <w:jc w:val="right"/>
              <w:rPr>
                <w:color w:val="000000"/>
                <w:sz w:val="16"/>
                <w:szCs w:val="16"/>
              </w:rPr>
            </w:pPr>
            <w:r w:rsidRPr="00A34FC4">
              <w:rPr>
                <w:color w:val="000000"/>
                <w:sz w:val="16"/>
                <w:szCs w:val="16"/>
              </w:rPr>
              <w:t>214 353</w:t>
            </w:r>
          </w:p>
        </w:tc>
        <w:tc>
          <w:tcPr>
            <w:tcW w:w="1140" w:type="dxa"/>
            <w:tcBorders>
              <w:top w:val="nil"/>
              <w:left w:val="nil"/>
              <w:bottom w:val="single" w:sz="4" w:space="0" w:color="auto"/>
              <w:right w:val="single" w:sz="4" w:space="0" w:color="auto"/>
            </w:tcBorders>
            <w:vAlign w:val="center"/>
            <w:hideMark/>
          </w:tcPr>
          <w:p w14:paraId="647F0009" w14:textId="0070ABC8" w:rsidR="00E41367" w:rsidRPr="00A34FC4" w:rsidRDefault="00E41367" w:rsidP="00E41367">
            <w:pPr>
              <w:ind w:firstLineChars="100" w:firstLine="160"/>
              <w:jc w:val="right"/>
              <w:rPr>
                <w:color w:val="000000"/>
                <w:sz w:val="16"/>
                <w:szCs w:val="16"/>
              </w:rPr>
            </w:pPr>
          </w:p>
        </w:tc>
        <w:tc>
          <w:tcPr>
            <w:tcW w:w="1140" w:type="dxa"/>
            <w:tcBorders>
              <w:top w:val="nil"/>
              <w:left w:val="nil"/>
              <w:bottom w:val="single" w:sz="4" w:space="0" w:color="auto"/>
              <w:right w:val="single" w:sz="4" w:space="0" w:color="auto"/>
            </w:tcBorders>
            <w:vAlign w:val="center"/>
            <w:hideMark/>
          </w:tcPr>
          <w:p w14:paraId="773147C9" w14:textId="43F3DA2D" w:rsidR="00E41367" w:rsidRPr="00A34FC4" w:rsidRDefault="00E41367" w:rsidP="00E41367">
            <w:pPr>
              <w:ind w:firstLineChars="100" w:firstLine="160"/>
              <w:jc w:val="right"/>
              <w:rPr>
                <w:color w:val="000000"/>
                <w:sz w:val="16"/>
                <w:szCs w:val="16"/>
              </w:rPr>
            </w:pPr>
            <w:r w:rsidRPr="00A34FC4">
              <w:rPr>
                <w:color w:val="000000"/>
                <w:sz w:val="16"/>
                <w:szCs w:val="16"/>
              </w:rPr>
              <w:t xml:space="preserve"> </w:t>
            </w:r>
          </w:p>
        </w:tc>
        <w:tc>
          <w:tcPr>
            <w:tcW w:w="1320" w:type="dxa"/>
            <w:tcBorders>
              <w:top w:val="nil"/>
              <w:left w:val="nil"/>
              <w:bottom w:val="single" w:sz="4" w:space="0" w:color="auto"/>
              <w:right w:val="single" w:sz="8" w:space="0" w:color="auto"/>
            </w:tcBorders>
            <w:vAlign w:val="center"/>
            <w:hideMark/>
          </w:tcPr>
          <w:p w14:paraId="389BE727" w14:textId="632D1978"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214 353</w:t>
            </w:r>
          </w:p>
        </w:tc>
      </w:tr>
      <w:tr w:rsidR="00E41367" w:rsidRPr="00A34FC4" w14:paraId="19C8B669" w14:textId="77777777" w:rsidTr="006325C2">
        <w:trPr>
          <w:trHeight w:val="989"/>
        </w:trPr>
        <w:tc>
          <w:tcPr>
            <w:tcW w:w="2820" w:type="dxa"/>
            <w:tcBorders>
              <w:top w:val="nil"/>
              <w:left w:val="single" w:sz="8" w:space="0" w:color="auto"/>
              <w:bottom w:val="single" w:sz="4" w:space="0" w:color="auto"/>
              <w:right w:val="nil"/>
            </w:tcBorders>
            <w:vAlign w:val="center"/>
            <w:hideMark/>
          </w:tcPr>
          <w:p w14:paraId="187152DB" w14:textId="77777777" w:rsidR="00E41367" w:rsidRPr="00A34FC4" w:rsidRDefault="00E41367" w:rsidP="00E41367">
            <w:pPr>
              <w:rPr>
                <w:color w:val="222222"/>
                <w:sz w:val="14"/>
                <w:szCs w:val="14"/>
              </w:rPr>
            </w:pPr>
            <w:r w:rsidRPr="00A34FC4">
              <w:rPr>
                <w:color w:val="222222"/>
                <w:sz w:val="14"/>
                <w:szCs w:val="14"/>
              </w:rPr>
              <w:t>A visszavásárlási kötelezettség kikötésével megkötött</w:t>
            </w:r>
            <w:r w:rsidRPr="00A34FC4">
              <w:rPr>
                <w:color w:val="222222"/>
                <w:sz w:val="14"/>
                <w:szCs w:val="14"/>
              </w:rPr>
              <w:br/>
              <w:t xml:space="preserve">adásvételi szerződés eladói félként történő megkötése - ideértve az Szt. szerinti valódi penziós és óvadéki </w:t>
            </w:r>
            <w:proofErr w:type="spellStart"/>
            <w:r w:rsidRPr="00A34FC4">
              <w:rPr>
                <w:color w:val="222222"/>
                <w:sz w:val="14"/>
                <w:szCs w:val="14"/>
              </w:rPr>
              <w:t>repóügyleteket</w:t>
            </w:r>
            <w:proofErr w:type="spellEnd"/>
            <w:r w:rsidRPr="00A34FC4">
              <w:rPr>
                <w:color w:val="222222"/>
                <w:sz w:val="14"/>
                <w:szCs w:val="14"/>
              </w:rPr>
              <w:t xml:space="preserve"> is - a visszavásárlásig, és a kikötött visszavásárlási ár</w:t>
            </w:r>
          </w:p>
        </w:tc>
        <w:tc>
          <w:tcPr>
            <w:tcW w:w="540" w:type="dxa"/>
            <w:tcBorders>
              <w:top w:val="nil"/>
              <w:left w:val="single" w:sz="4" w:space="0" w:color="auto"/>
              <w:bottom w:val="single" w:sz="4" w:space="0" w:color="auto"/>
              <w:right w:val="single" w:sz="4" w:space="0" w:color="auto"/>
            </w:tcBorders>
            <w:vAlign w:val="center"/>
            <w:hideMark/>
          </w:tcPr>
          <w:p w14:paraId="4E84522E" w14:textId="77777777" w:rsidR="00E41367" w:rsidRPr="00A34FC4" w:rsidRDefault="00E41367" w:rsidP="00E41367">
            <w:pPr>
              <w:jc w:val="center"/>
              <w:rPr>
                <w:color w:val="000000"/>
                <w:sz w:val="16"/>
                <w:szCs w:val="16"/>
              </w:rPr>
            </w:pPr>
            <w:r w:rsidRPr="00A34FC4">
              <w:rPr>
                <w:color w:val="000000"/>
                <w:sz w:val="16"/>
                <w:szCs w:val="16"/>
              </w:rPr>
              <w:t>13</w:t>
            </w:r>
          </w:p>
        </w:tc>
        <w:tc>
          <w:tcPr>
            <w:tcW w:w="1140" w:type="dxa"/>
            <w:tcBorders>
              <w:top w:val="nil"/>
              <w:left w:val="nil"/>
              <w:bottom w:val="single" w:sz="4" w:space="0" w:color="auto"/>
              <w:right w:val="single" w:sz="4" w:space="0" w:color="auto"/>
            </w:tcBorders>
            <w:vAlign w:val="center"/>
            <w:hideMark/>
          </w:tcPr>
          <w:p w14:paraId="45519882" w14:textId="5BA3E0C9"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66549F59" w14:textId="6CC6E905"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5771F74A" w14:textId="10515E80"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320" w:type="dxa"/>
            <w:tcBorders>
              <w:top w:val="nil"/>
              <w:left w:val="nil"/>
              <w:bottom w:val="single" w:sz="4" w:space="0" w:color="auto"/>
              <w:right w:val="single" w:sz="8" w:space="0" w:color="auto"/>
            </w:tcBorders>
            <w:vAlign w:val="center"/>
            <w:hideMark/>
          </w:tcPr>
          <w:p w14:paraId="4A28C98B" w14:textId="379ADACB"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60B397AE" w14:textId="77777777" w:rsidTr="006325C2">
        <w:trPr>
          <w:trHeight w:val="692"/>
        </w:trPr>
        <w:tc>
          <w:tcPr>
            <w:tcW w:w="2820" w:type="dxa"/>
            <w:tcBorders>
              <w:top w:val="nil"/>
              <w:left w:val="single" w:sz="8" w:space="0" w:color="auto"/>
              <w:bottom w:val="single" w:sz="4" w:space="0" w:color="auto"/>
              <w:right w:val="nil"/>
            </w:tcBorders>
            <w:vAlign w:val="center"/>
            <w:hideMark/>
          </w:tcPr>
          <w:p w14:paraId="440A969D" w14:textId="77777777" w:rsidR="00E41367" w:rsidRPr="00A34FC4" w:rsidRDefault="00E41367" w:rsidP="00E41367">
            <w:pPr>
              <w:rPr>
                <w:color w:val="222222"/>
                <w:sz w:val="14"/>
                <w:szCs w:val="14"/>
              </w:rPr>
            </w:pPr>
            <w:r w:rsidRPr="00A34FC4">
              <w:rPr>
                <w:color w:val="222222"/>
                <w:sz w:val="14"/>
                <w:szCs w:val="14"/>
              </w:rPr>
              <w:t>A szerződésben kapott, legalább háromszázhatvanöt</w:t>
            </w:r>
            <w:r w:rsidRPr="00A34FC4">
              <w:rPr>
                <w:color w:val="222222"/>
                <w:sz w:val="14"/>
                <w:szCs w:val="14"/>
              </w:rPr>
              <w:br/>
              <w:t>nap időtartamú halasztott fizetés, részletfizetés, és a még ki nem fizetett ellenérték</w:t>
            </w:r>
          </w:p>
        </w:tc>
        <w:tc>
          <w:tcPr>
            <w:tcW w:w="540" w:type="dxa"/>
            <w:tcBorders>
              <w:top w:val="nil"/>
              <w:left w:val="single" w:sz="4" w:space="0" w:color="auto"/>
              <w:bottom w:val="single" w:sz="4" w:space="0" w:color="auto"/>
              <w:right w:val="single" w:sz="4" w:space="0" w:color="auto"/>
            </w:tcBorders>
            <w:vAlign w:val="center"/>
            <w:hideMark/>
          </w:tcPr>
          <w:p w14:paraId="6540CEEA" w14:textId="77777777" w:rsidR="00E41367" w:rsidRPr="00A34FC4" w:rsidRDefault="00E41367" w:rsidP="00E41367">
            <w:pPr>
              <w:jc w:val="center"/>
              <w:rPr>
                <w:color w:val="000000"/>
                <w:sz w:val="16"/>
                <w:szCs w:val="16"/>
              </w:rPr>
            </w:pPr>
            <w:r w:rsidRPr="00A34FC4">
              <w:rPr>
                <w:color w:val="000000"/>
                <w:sz w:val="16"/>
                <w:szCs w:val="16"/>
              </w:rPr>
              <w:t>14</w:t>
            </w:r>
          </w:p>
        </w:tc>
        <w:tc>
          <w:tcPr>
            <w:tcW w:w="1140" w:type="dxa"/>
            <w:tcBorders>
              <w:top w:val="nil"/>
              <w:left w:val="nil"/>
              <w:bottom w:val="single" w:sz="4" w:space="0" w:color="auto"/>
              <w:right w:val="single" w:sz="4" w:space="0" w:color="auto"/>
            </w:tcBorders>
            <w:vAlign w:val="center"/>
            <w:hideMark/>
          </w:tcPr>
          <w:p w14:paraId="024EC499" w14:textId="04958A37"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22D8D00A" w14:textId="045DDA96"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single" w:sz="4" w:space="0" w:color="auto"/>
              <w:right w:val="single" w:sz="4" w:space="0" w:color="auto"/>
            </w:tcBorders>
            <w:vAlign w:val="center"/>
            <w:hideMark/>
          </w:tcPr>
          <w:p w14:paraId="72B1DAC9" w14:textId="0A7ADF1A"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320" w:type="dxa"/>
            <w:tcBorders>
              <w:top w:val="nil"/>
              <w:left w:val="nil"/>
              <w:bottom w:val="single" w:sz="4" w:space="0" w:color="auto"/>
              <w:right w:val="single" w:sz="8" w:space="0" w:color="auto"/>
            </w:tcBorders>
            <w:vAlign w:val="center"/>
            <w:hideMark/>
          </w:tcPr>
          <w:p w14:paraId="2C2348FB" w14:textId="37FD88C1"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7A5780D6" w14:textId="77777777" w:rsidTr="006325C2">
        <w:trPr>
          <w:trHeight w:val="701"/>
        </w:trPr>
        <w:tc>
          <w:tcPr>
            <w:tcW w:w="2820" w:type="dxa"/>
            <w:tcBorders>
              <w:top w:val="nil"/>
              <w:left w:val="single" w:sz="8" w:space="0" w:color="auto"/>
              <w:bottom w:val="single" w:sz="8" w:space="0" w:color="auto"/>
              <w:right w:val="nil"/>
            </w:tcBorders>
            <w:vAlign w:val="center"/>
            <w:hideMark/>
          </w:tcPr>
          <w:p w14:paraId="64CEC786" w14:textId="77777777" w:rsidR="00E41367" w:rsidRPr="00A34FC4" w:rsidRDefault="00E41367" w:rsidP="00E41367">
            <w:pPr>
              <w:rPr>
                <w:color w:val="222222"/>
                <w:sz w:val="14"/>
                <w:szCs w:val="14"/>
              </w:rPr>
            </w:pPr>
            <w:r w:rsidRPr="00A34FC4">
              <w:rPr>
                <w:color w:val="222222"/>
                <w:sz w:val="14"/>
                <w:szCs w:val="14"/>
              </w:rPr>
              <w:t xml:space="preserve">hitelintézetek által, származékos műveletek </w:t>
            </w:r>
            <w:r w:rsidRPr="00A34FC4">
              <w:rPr>
                <w:color w:val="222222"/>
                <w:sz w:val="14"/>
                <w:szCs w:val="14"/>
              </w:rPr>
              <w:br/>
              <w:t>különbözeteként az Államadósság Kezelő Központ Zrt.-</w:t>
            </w:r>
            <w:proofErr w:type="spellStart"/>
            <w:r w:rsidRPr="00A34FC4">
              <w:rPr>
                <w:color w:val="222222"/>
                <w:sz w:val="14"/>
                <w:szCs w:val="14"/>
              </w:rPr>
              <w:t>nél</w:t>
            </w:r>
            <w:proofErr w:type="spellEnd"/>
            <w:r w:rsidRPr="00A34FC4">
              <w:rPr>
                <w:color w:val="222222"/>
                <w:sz w:val="14"/>
                <w:szCs w:val="14"/>
              </w:rPr>
              <w:t xml:space="preserve"> (a továbbiakban: ÁKK Zrt.) elhelyezett fedezeti betétek, és azok összege</w:t>
            </w:r>
          </w:p>
        </w:tc>
        <w:tc>
          <w:tcPr>
            <w:tcW w:w="540" w:type="dxa"/>
            <w:tcBorders>
              <w:top w:val="nil"/>
              <w:left w:val="single" w:sz="4" w:space="0" w:color="auto"/>
              <w:bottom w:val="single" w:sz="8" w:space="0" w:color="auto"/>
              <w:right w:val="single" w:sz="4" w:space="0" w:color="auto"/>
            </w:tcBorders>
            <w:vAlign w:val="center"/>
            <w:hideMark/>
          </w:tcPr>
          <w:p w14:paraId="6BC94D4C" w14:textId="77777777" w:rsidR="00E41367" w:rsidRPr="00A34FC4" w:rsidRDefault="00E41367" w:rsidP="00E41367">
            <w:pPr>
              <w:jc w:val="center"/>
              <w:rPr>
                <w:color w:val="000000"/>
                <w:sz w:val="16"/>
                <w:szCs w:val="16"/>
              </w:rPr>
            </w:pPr>
            <w:r w:rsidRPr="00A34FC4">
              <w:rPr>
                <w:color w:val="000000"/>
                <w:sz w:val="16"/>
                <w:szCs w:val="16"/>
              </w:rPr>
              <w:t>15</w:t>
            </w:r>
          </w:p>
        </w:tc>
        <w:tc>
          <w:tcPr>
            <w:tcW w:w="1140" w:type="dxa"/>
            <w:tcBorders>
              <w:top w:val="nil"/>
              <w:left w:val="nil"/>
              <w:bottom w:val="single" w:sz="8" w:space="0" w:color="auto"/>
              <w:right w:val="single" w:sz="4" w:space="0" w:color="auto"/>
            </w:tcBorders>
            <w:vAlign w:val="center"/>
            <w:hideMark/>
          </w:tcPr>
          <w:p w14:paraId="24A752D9" w14:textId="45AC96FD"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single" w:sz="8" w:space="0" w:color="auto"/>
              <w:right w:val="single" w:sz="4" w:space="0" w:color="auto"/>
            </w:tcBorders>
            <w:vAlign w:val="center"/>
            <w:hideMark/>
          </w:tcPr>
          <w:p w14:paraId="42221A96" w14:textId="0EA9B5FA"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140" w:type="dxa"/>
            <w:tcBorders>
              <w:top w:val="nil"/>
              <w:left w:val="nil"/>
              <w:bottom w:val="single" w:sz="8" w:space="0" w:color="auto"/>
              <w:right w:val="single" w:sz="4" w:space="0" w:color="auto"/>
            </w:tcBorders>
            <w:vAlign w:val="center"/>
            <w:hideMark/>
          </w:tcPr>
          <w:p w14:paraId="3162B878" w14:textId="4905C1EB" w:rsidR="00E41367" w:rsidRPr="00A34FC4" w:rsidRDefault="00E41367" w:rsidP="00E41367">
            <w:pPr>
              <w:ind w:firstLineChars="100" w:firstLine="120"/>
              <w:jc w:val="right"/>
              <w:rPr>
                <w:color w:val="000000"/>
                <w:sz w:val="12"/>
                <w:szCs w:val="12"/>
              </w:rPr>
            </w:pPr>
            <w:r w:rsidRPr="00A34FC4">
              <w:rPr>
                <w:color w:val="000000"/>
                <w:sz w:val="12"/>
                <w:szCs w:val="12"/>
              </w:rPr>
              <w:t> </w:t>
            </w:r>
          </w:p>
        </w:tc>
        <w:tc>
          <w:tcPr>
            <w:tcW w:w="1320" w:type="dxa"/>
            <w:tcBorders>
              <w:top w:val="nil"/>
              <w:left w:val="nil"/>
              <w:bottom w:val="single" w:sz="8" w:space="0" w:color="auto"/>
              <w:right w:val="single" w:sz="8" w:space="0" w:color="auto"/>
            </w:tcBorders>
            <w:vAlign w:val="center"/>
            <w:hideMark/>
          </w:tcPr>
          <w:p w14:paraId="334BB47A" w14:textId="308BB0E1"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 </w:t>
            </w:r>
          </w:p>
        </w:tc>
      </w:tr>
      <w:tr w:rsidR="00E41367" w:rsidRPr="00A34FC4" w14:paraId="02123A24" w14:textId="77777777" w:rsidTr="00103E60">
        <w:trPr>
          <w:trHeight w:val="360"/>
        </w:trPr>
        <w:tc>
          <w:tcPr>
            <w:tcW w:w="2820" w:type="dxa"/>
            <w:tcBorders>
              <w:top w:val="nil"/>
              <w:left w:val="single" w:sz="8" w:space="0" w:color="auto"/>
              <w:bottom w:val="single" w:sz="8" w:space="0" w:color="auto"/>
              <w:right w:val="single" w:sz="4" w:space="0" w:color="auto"/>
            </w:tcBorders>
            <w:vAlign w:val="center"/>
            <w:hideMark/>
          </w:tcPr>
          <w:p w14:paraId="09F68DC1" w14:textId="77777777" w:rsidR="00E41367" w:rsidRPr="00A34FC4" w:rsidRDefault="00E41367" w:rsidP="00E41367">
            <w:pPr>
              <w:rPr>
                <w:b/>
                <w:bCs/>
                <w:color w:val="000000"/>
                <w:sz w:val="16"/>
                <w:szCs w:val="16"/>
              </w:rPr>
            </w:pPr>
            <w:r w:rsidRPr="00A34FC4">
              <w:rPr>
                <w:b/>
                <w:bCs/>
                <w:color w:val="000000"/>
                <w:sz w:val="16"/>
                <w:szCs w:val="16"/>
              </w:rPr>
              <w:t>Fizetési kötelezettség (09+…+15)</w:t>
            </w:r>
          </w:p>
        </w:tc>
        <w:tc>
          <w:tcPr>
            <w:tcW w:w="540" w:type="dxa"/>
            <w:tcBorders>
              <w:top w:val="nil"/>
              <w:left w:val="nil"/>
              <w:bottom w:val="single" w:sz="8" w:space="0" w:color="auto"/>
              <w:right w:val="single" w:sz="4" w:space="0" w:color="auto"/>
            </w:tcBorders>
            <w:vAlign w:val="center"/>
            <w:hideMark/>
          </w:tcPr>
          <w:p w14:paraId="52A8C9E7" w14:textId="77777777" w:rsidR="00E41367" w:rsidRPr="00A34FC4" w:rsidRDefault="00E41367" w:rsidP="00E41367">
            <w:pPr>
              <w:jc w:val="center"/>
              <w:rPr>
                <w:b/>
                <w:bCs/>
                <w:color w:val="000000"/>
                <w:sz w:val="16"/>
                <w:szCs w:val="16"/>
              </w:rPr>
            </w:pPr>
            <w:r w:rsidRPr="00A34FC4">
              <w:rPr>
                <w:b/>
                <w:bCs/>
                <w:color w:val="000000"/>
                <w:sz w:val="16"/>
                <w:szCs w:val="16"/>
              </w:rPr>
              <w:t>16</w:t>
            </w:r>
          </w:p>
        </w:tc>
        <w:tc>
          <w:tcPr>
            <w:tcW w:w="1140" w:type="dxa"/>
            <w:tcBorders>
              <w:top w:val="nil"/>
              <w:left w:val="nil"/>
              <w:bottom w:val="single" w:sz="8" w:space="0" w:color="auto"/>
              <w:right w:val="nil"/>
            </w:tcBorders>
            <w:vAlign w:val="center"/>
            <w:hideMark/>
          </w:tcPr>
          <w:p w14:paraId="305683E0" w14:textId="70E676D1"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214 353</w:t>
            </w:r>
          </w:p>
        </w:tc>
        <w:tc>
          <w:tcPr>
            <w:tcW w:w="1140" w:type="dxa"/>
            <w:tcBorders>
              <w:top w:val="nil"/>
              <w:left w:val="single" w:sz="4" w:space="0" w:color="auto"/>
              <w:bottom w:val="single" w:sz="8" w:space="0" w:color="auto"/>
              <w:right w:val="single" w:sz="4" w:space="0" w:color="auto"/>
            </w:tcBorders>
            <w:vAlign w:val="center"/>
          </w:tcPr>
          <w:p w14:paraId="020E03DE" w14:textId="02B67F0B" w:rsidR="00E41367" w:rsidRPr="00A34FC4" w:rsidRDefault="00E41367" w:rsidP="00E41367">
            <w:pPr>
              <w:ind w:firstLineChars="100" w:firstLine="160"/>
              <w:jc w:val="right"/>
              <w:rPr>
                <w:rFonts w:ascii="Times New Roman CE" w:hAnsi="Times New Roman CE" w:cs="Calibri"/>
                <w:b/>
                <w:bCs/>
                <w:sz w:val="16"/>
                <w:szCs w:val="16"/>
              </w:rPr>
            </w:pPr>
          </w:p>
        </w:tc>
        <w:tc>
          <w:tcPr>
            <w:tcW w:w="1140" w:type="dxa"/>
            <w:tcBorders>
              <w:top w:val="nil"/>
              <w:left w:val="nil"/>
              <w:bottom w:val="single" w:sz="8" w:space="0" w:color="auto"/>
              <w:right w:val="single" w:sz="4" w:space="0" w:color="auto"/>
            </w:tcBorders>
            <w:vAlign w:val="center"/>
          </w:tcPr>
          <w:p w14:paraId="6EB706CE" w14:textId="4A4CE33D" w:rsidR="00E41367" w:rsidRPr="00A34FC4" w:rsidRDefault="00E41367" w:rsidP="00E41367">
            <w:pPr>
              <w:ind w:firstLineChars="100" w:firstLine="160"/>
              <w:jc w:val="right"/>
              <w:rPr>
                <w:rFonts w:ascii="Times New Roman CE" w:hAnsi="Times New Roman CE" w:cs="Calibri"/>
                <w:b/>
                <w:bCs/>
                <w:sz w:val="16"/>
                <w:szCs w:val="16"/>
              </w:rPr>
            </w:pPr>
          </w:p>
        </w:tc>
        <w:tc>
          <w:tcPr>
            <w:tcW w:w="1320" w:type="dxa"/>
            <w:tcBorders>
              <w:top w:val="nil"/>
              <w:left w:val="nil"/>
              <w:bottom w:val="single" w:sz="8" w:space="0" w:color="auto"/>
              <w:right w:val="single" w:sz="8" w:space="0" w:color="auto"/>
            </w:tcBorders>
            <w:vAlign w:val="center"/>
            <w:hideMark/>
          </w:tcPr>
          <w:p w14:paraId="7E8CFEA7" w14:textId="61DE39F1" w:rsidR="00E41367" w:rsidRPr="00A34FC4" w:rsidRDefault="00E41367" w:rsidP="00E41367">
            <w:pPr>
              <w:ind w:firstLineChars="100" w:firstLine="160"/>
              <w:jc w:val="right"/>
              <w:rPr>
                <w:rFonts w:ascii="Times New Roman CE" w:hAnsi="Times New Roman CE" w:cs="Calibri"/>
                <w:b/>
                <w:bCs/>
                <w:sz w:val="16"/>
                <w:szCs w:val="16"/>
              </w:rPr>
            </w:pPr>
            <w:r w:rsidRPr="00A34FC4">
              <w:rPr>
                <w:rFonts w:ascii="Times New Roman CE" w:hAnsi="Times New Roman CE" w:cs="Calibri"/>
                <w:b/>
                <w:bCs/>
                <w:sz w:val="16"/>
                <w:szCs w:val="16"/>
              </w:rPr>
              <w:t>214 353</w:t>
            </w:r>
          </w:p>
        </w:tc>
      </w:tr>
      <w:tr w:rsidR="00E41367" w:rsidRPr="006F433B" w14:paraId="78EA14C3" w14:textId="77777777" w:rsidTr="006325C2">
        <w:trPr>
          <w:trHeight w:val="600"/>
        </w:trPr>
        <w:tc>
          <w:tcPr>
            <w:tcW w:w="2820" w:type="dxa"/>
            <w:tcBorders>
              <w:top w:val="nil"/>
              <w:left w:val="single" w:sz="8" w:space="0" w:color="auto"/>
              <w:bottom w:val="single" w:sz="8" w:space="0" w:color="auto"/>
              <w:right w:val="single" w:sz="4" w:space="0" w:color="auto"/>
            </w:tcBorders>
            <w:vAlign w:val="center"/>
            <w:hideMark/>
          </w:tcPr>
          <w:p w14:paraId="104D3918" w14:textId="77777777" w:rsidR="00E41367" w:rsidRPr="00A34FC4" w:rsidRDefault="00E41367" w:rsidP="00E41367">
            <w:pPr>
              <w:rPr>
                <w:b/>
                <w:bCs/>
                <w:color w:val="000000"/>
                <w:sz w:val="16"/>
                <w:szCs w:val="16"/>
              </w:rPr>
            </w:pPr>
            <w:r w:rsidRPr="00A34FC4">
              <w:rPr>
                <w:b/>
                <w:bCs/>
                <w:color w:val="000000"/>
                <w:sz w:val="16"/>
                <w:szCs w:val="16"/>
              </w:rPr>
              <w:t>Fizetési kötelezettséggel csökkentett saját bevétel (08-16)</w:t>
            </w:r>
          </w:p>
        </w:tc>
        <w:tc>
          <w:tcPr>
            <w:tcW w:w="540" w:type="dxa"/>
            <w:tcBorders>
              <w:top w:val="nil"/>
              <w:left w:val="nil"/>
              <w:bottom w:val="single" w:sz="8" w:space="0" w:color="auto"/>
              <w:right w:val="single" w:sz="4" w:space="0" w:color="auto"/>
            </w:tcBorders>
            <w:vAlign w:val="center"/>
            <w:hideMark/>
          </w:tcPr>
          <w:p w14:paraId="7D94022B" w14:textId="77777777" w:rsidR="00E41367" w:rsidRPr="00A34FC4" w:rsidRDefault="00E41367" w:rsidP="00E41367">
            <w:pPr>
              <w:jc w:val="center"/>
              <w:rPr>
                <w:b/>
                <w:bCs/>
                <w:color w:val="000000"/>
                <w:sz w:val="16"/>
                <w:szCs w:val="16"/>
              </w:rPr>
            </w:pPr>
            <w:r w:rsidRPr="00A34FC4">
              <w:rPr>
                <w:b/>
                <w:bCs/>
                <w:color w:val="000000"/>
                <w:sz w:val="16"/>
                <w:szCs w:val="16"/>
              </w:rPr>
              <w:t>17</w:t>
            </w:r>
          </w:p>
        </w:tc>
        <w:tc>
          <w:tcPr>
            <w:tcW w:w="1140" w:type="dxa"/>
            <w:tcBorders>
              <w:top w:val="nil"/>
              <w:left w:val="nil"/>
              <w:bottom w:val="single" w:sz="8" w:space="0" w:color="auto"/>
              <w:right w:val="nil"/>
            </w:tcBorders>
            <w:vAlign w:val="center"/>
            <w:hideMark/>
          </w:tcPr>
          <w:p w14:paraId="32242229" w14:textId="30FF5467"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192 335 647</w:t>
            </w:r>
          </w:p>
        </w:tc>
        <w:tc>
          <w:tcPr>
            <w:tcW w:w="1140" w:type="dxa"/>
            <w:tcBorders>
              <w:top w:val="nil"/>
              <w:left w:val="single" w:sz="4" w:space="0" w:color="auto"/>
              <w:bottom w:val="single" w:sz="8" w:space="0" w:color="auto"/>
              <w:right w:val="single" w:sz="4" w:space="0" w:color="auto"/>
            </w:tcBorders>
            <w:vAlign w:val="center"/>
            <w:hideMark/>
          </w:tcPr>
          <w:p w14:paraId="2F3F4029" w14:textId="4CF80B6A"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198 100 000</w:t>
            </w:r>
          </w:p>
        </w:tc>
        <w:tc>
          <w:tcPr>
            <w:tcW w:w="1140" w:type="dxa"/>
            <w:tcBorders>
              <w:top w:val="nil"/>
              <w:left w:val="nil"/>
              <w:bottom w:val="single" w:sz="8" w:space="0" w:color="auto"/>
              <w:right w:val="single" w:sz="4" w:space="0" w:color="auto"/>
            </w:tcBorders>
            <w:vAlign w:val="center"/>
            <w:hideMark/>
          </w:tcPr>
          <w:p w14:paraId="288D2064" w14:textId="7E0FA2F4" w:rsidR="00E41367" w:rsidRPr="00A34FC4"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203 650 000</w:t>
            </w:r>
          </w:p>
        </w:tc>
        <w:tc>
          <w:tcPr>
            <w:tcW w:w="1320" w:type="dxa"/>
            <w:tcBorders>
              <w:top w:val="nil"/>
              <w:left w:val="nil"/>
              <w:bottom w:val="single" w:sz="8" w:space="0" w:color="auto"/>
              <w:right w:val="single" w:sz="8" w:space="0" w:color="auto"/>
            </w:tcBorders>
            <w:vAlign w:val="center"/>
            <w:hideMark/>
          </w:tcPr>
          <w:p w14:paraId="49205858" w14:textId="3C5FFBC5" w:rsidR="00E41367" w:rsidRPr="006F433B" w:rsidRDefault="00E41367" w:rsidP="00E41367">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594 085 647</w:t>
            </w:r>
          </w:p>
        </w:tc>
      </w:tr>
    </w:tbl>
    <w:p w14:paraId="472B7327" w14:textId="77777777" w:rsidR="006325C2" w:rsidRPr="006F433B" w:rsidRDefault="006325C2" w:rsidP="006325C2">
      <w:pPr>
        <w:pStyle w:val="Listaszerbekezds"/>
        <w:jc w:val="center"/>
      </w:pPr>
    </w:p>
    <w:p w14:paraId="68ED71D0" w14:textId="77777777" w:rsidR="004E04CF" w:rsidRPr="00D9303B" w:rsidRDefault="004E04CF" w:rsidP="00DA5EEA">
      <w:pPr>
        <w:tabs>
          <w:tab w:val="num" w:pos="0"/>
        </w:tabs>
        <w:jc w:val="both"/>
        <w:rPr>
          <w:rFonts w:ascii="Arial" w:hAnsi="Arial" w:cs="Arial"/>
          <w:sz w:val="20"/>
          <w:szCs w:val="20"/>
        </w:rPr>
      </w:pPr>
    </w:p>
    <w:sectPr w:rsidR="004E04CF" w:rsidRPr="00D9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A33"/>
    <w:multiLevelType w:val="hybridMultilevel"/>
    <w:tmpl w:val="C87A9D2E"/>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8FF45A3"/>
    <w:multiLevelType w:val="hybridMultilevel"/>
    <w:tmpl w:val="EEC0C410"/>
    <w:lvl w:ilvl="0" w:tplc="0B6C7730">
      <w:start w:val="6"/>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342815C9"/>
    <w:multiLevelType w:val="hybridMultilevel"/>
    <w:tmpl w:val="16087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7262EC3"/>
    <w:multiLevelType w:val="hybridMultilevel"/>
    <w:tmpl w:val="3904D6A2"/>
    <w:lvl w:ilvl="0" w:tplc="4F364DF6">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CB33110"/>
    <w:multiLevelType w:val="hybridMultilevel"/>
    <w:tmpl w:val="CAF834A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4DFE5463"/>
    <w:multiLevelType w:val="hybridMultilevel"/>
    <w:tmpl w:val="25CEC86A"/>
    <w:lvl w:ilvl="0" w:tplc="4614C94C">
      <w:start w:val="1"/>
      <w:numFmt w:val="bullet"/>
      <w:lvlText w:val="-"/>
      <w:lvlJc w:val="left"/>
      <w:pPr>
        <w:ind w:left="1080" w:hanging="360"/>
      </w:pPr>
      <w:rPr>
        <w:rFonts w:ascii="Arial" w:eastAsia="Times New Roman" w:hAnsi="Arial" w:cs="Aria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8" w15:restartNumberingAfterBreak="0">
    <w:nsid w:val="4F9414F1"/>
    <w:multiLevelType w:val="hybridMultilevel"/>
    <w:tmpl w:val="07F0C53A"/>
    <w:lvl w:ilvl="0" w:tplc="FA8C525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9" w15:restartNumberingAfterBreak="0">
    <w:nsid w:val="612F15E4"/>
    <w:multiLevelType w:val="hybridMultilevel"/>
    <w:tmpl w:val="8990C92C"/>
    <w:lvl w:ilvl="0" w:tplc="54747666">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673B14AE"/>
    <w:multiLevelType w:val="hybridMultilevel"/>
    <w:tmpl w:val="0F24151C"/>
    <w:lvl w:ilvl="0" w:tplc="E75C303C">
      <w:start w:val="1"/>
      <w:numFmt w:val="bullet"/>
      <w:lvlText w:val="–"/>
      <w:lvlJc w:val="left"/>
      <w:pPr>
        <w:ind w:left="720" w:hanging="360"/>
      </w:pPr>
      <w:rPr>
        <w:rFonts w:ascii="Times New Roman" w:hAnsi="Times New Roman" w:cs="Times New Roman" w:hint="default"/>
        <w:color w:val="auto"/>
        <w:sz w:val="28"/>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1"/>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004FC"/>
    <w:rsid w:val="000026C4"/>
    <w:rsid w:val="00003A0C"/>
    <w:rsid w:val="000056A9"/>
    <w:rsid w:val="00016E4C"/>
    <w:rsid w:val="000171AD"/>
    <w:rsid w:val="000315B2"/>
    <w:rsid w:val="00032A7E"/>
    <w:rsid w:val="00035DFD"/>
    <w:rsid w:val="00046BA8"/>
    <w:rsid w:val="00086A82"/>
    <w:rsid w:val="0009010B"/>
    <w:rsid w:val="000943F3"/>
    <w:rsid w:val="000964AC"/>
    <w:rsid w:val="000B204E"/>
    <w:rsid w:val="000B7D1B"/>
    <w:rsid w:val="000C0FEB"/>
    <w:rsid w:val="000C5EF6"/>
    <w:rsid w:val="000C7F49"/>
    <w:rsid w:val="000E1B63"/>
    <w:rsid w:val="000E2077"/>
    <w:rsid w:val="000E733A"/>
    <w:rsid w:val="000F7371"/>
    <w:rsid w:val="00103E60"/>
    <w:rsid w:val="00107507"/>
    <w:rsid w:val="00110DD6"/>
    <w:rsid w:val="00111E53"/>
    <w:rsid w:val="00120872"/>
    <w:rsid w:val="00120D14"/>
    <w:rsid w:val="0013145A"/>
    <w:rsid w:val="00144B47"/>
    <w:rsid w:val="00154813"/>
    <w:rsid w:val="00161C9C"/>
    <w:rsid w:val="00161E33"/>
    <w:rsid w:val="001709EB"/>
    <w:rsid w:val="0019587B"/>
    <w:rsid w:val="00195881"/>
    <w:rsid w:val="00195BC2"/>
    <w:rsid w:val="001C13FF"/>
    <w:rsid w:val="001D3DD9"/>
    <w:rsid w:val="001E4102"/>
    <w:rsid w:val="001F0C1D"/>
    <w:rsid w:val="00204800"/>
    <w:rsid w:val="0021070F"/>
    <w:rsid w:val="00217B18"/>
    <w:rsid w:val="00232A21"/>
    <w:rsid w:val="002654BE"/>
    <w:rsid w:val="00294D69"/>
    <w:rsid w:val="002A5941"/>
    <w:rsid w:val="002A7949"/>
    <w:rsid w:val="002B3C68"/>
    <w:rsid w:val="002C1D52"/>
    <w:rsid w:val="00310CE9"/>
    <w:rsid w:val="00316B16"/>
    <w:rsid w:val="0032339D"/>
    <w:rsid w:val="00324F0B"/>
    <w:rsid w:val="0032605A"/>
    <w:rsid w:val="00332C16"/>
    <w:rsid w:val="003547A4"/>
    <w:rsid w:val="00354E5A"/>
    <w:rsid w:val="00357D91"/>
    <w:rsid w:val="0037748C"/>
    <w:rsid w:val="003776E6"/>
    <w:rsid w:val="00382091"/>
    <w:rsid w:val="00383FBB"/>
    <w:rsid w:val="00387FF4"/>
    <w:rsid w:val="003A5FBB"/>
    <w:rsid w:val="003B2D24"/>
    <w:rsid w:val="003C2235"/>
    <w:rsid w:val="003D67D8"/>
    <w:rsid w:val="003F0C3C"/>
    <w:rsid w:val="003F5633"/>
    <w:rsid w:val="003F7D69"/>
    <w:rsid w:val="00401152"/>
    <w:rsid w:val="00405270"/>
    <w:rsid w:val="00413514"/>
    <w:rsid w:val="004202D5"/>
    <w:rsid w:val="0042566B"/>
    <w:rsid w:val="00431E64"/>
    <w:rsid w:val="0043390E"/>
    <w:rsid w:val="00460649"/>
    <w:rsid w:val="0046197C"/>
    <w:rsid w:val="004631CD"/>
    <w:rsid w:val="004653FF"/>
    <w:rsid w:val="00471F07"/>
    <w:rsid w:val="00494C9F"/>
    <w:rsid w:val="004A1820"/>
    <w:rsid w:val="004A4AC4"/>
    <w:rsid w:val="004A573F"/>
    <w:rsid w:val="004C1694"/>
    <w:rsid w:val="004C5585"/>
    <w:rsid w:val="004D013C"/>
    <w:rsid w:val="004D1BB5"/>
    <w:rsid w:val="004D4F1C"/>
    <w:rsid w:val="004E04CF"/>
    <w:rsid w:val="005009E1"/>
    <w:rsid w:val="00500E42"/>
    <w:rsid w:val="00513A5C"/>
    <w:rsid w:val="00517357"/>
    <w:rsid w:val="00522C29"/>
    <w:rsid w:val="00523FB3"/>
    <w:rsid w:val="00527184"/>
    <w:rsid w:val="005611CE"/>
    <w:rsid w:val="0056555E"/>
    <w:rsid w:val="005728EF"/>
    <w:rsid w:val="00576BB2"/>
    <w:rsid w:val="00581F5C"/>
    <w:rsid w:val="00583BCD"/>
    <w:rsid w:val="00584185"/>
    <w:rsid w:val="0059334A"/>
    <w:rsid w:val="00595BC2"/>
    <w:rsid w:val="00596F63"/>
    <w:rsid w:val="00597CDD"/>
    <w:rsid w:val="005E220A"/>
    <w:rsid w:val="005E7A3E"/>
    <w:rsid w:val="005F683B"/>
    <w:rsid w:val="005F74F7"/>
    <w:rsid w:val="0061068A"/>
    <w:rsid w:val="00620722"/>
    <w:rsid w:val="006325C2"/>
    <w:rsid w:val="006559A7"/>
    <w:rsid w:val="006804C6"/>
    <w:rsid w:val="00693739"/>
    <w:rsid w:val="006C2F4C"/>
    <w:rsid w:val="006C513A"/>
    <w:rsid w:val="006D5DC7"/>
    <w:rsid w:val="006E084E"/>
    <w:rsid w:val="006F433B"/>
    <w:rsid w:val="006F4395"/>
    <w:rsid w:val="006F5DA3"/>
    <w:rsid w:val="00710636"/>
    <w:rsid w:val="00721392"/>
    <w:rsid w:val="00733F5A"/>
    <w:rsid w:val="0074084C"/>
    <w:rsid w:val="00740B27"/>
    <w:rsid w:val="00752073"/>
    <w:rsid w:val="007557E4"/>
    <w:rsid w:val="0078464E"/>
    <w:rsid w:val="00786A55"/>
    <w:rsid w:val="007945B3"/>
    <w:rsid w:val="00796729"/>
    <w:rsid w:val="007B1DC6"/>
    <w:rsid w:val="007C1DF6"/>
    <w:rsid w:val="007D7D17"/>
    <w:rsid w:val="007F2E54"/>
    <w:rsid w:val="007F7A97"/>
    <w:rsid w:val="00811CE8"/>
    <w:rsid w:val="00823389"/>
    <w:rsid w:val="00823686"/>
    <w:rsid w:val="0084217A"/>
    <w:rsid w:val="00850FA2"/>
    <w:rsid w:val="008519DF"/>
    <w:rsid w:val="00884C78"/>
    <w:rsid w:val="008A009F"/>
    <w:rsid w:val="008A1FC3"/>
    <w:rsid w:val="008A7F08"/>
    <w:rsid w:val="008B01C1"/>
    <w:rsid w:val="008C296E"/>
    <w:rsid w:val="008D1622"/>
    <w:rsid w:val="008D2A36"/>
    <w:rsid w:val="008D363E"/>
    <w:rsid w:val="008D3905"/>
    <w:rsid w:val="008E51E5"/>
    <w:rsid w:val="008F67D2"/>
    <w:rsid w:val="009071CA"/>
    <w:rsid w:val="00916B95"/>
    <w:rsid w:val="0093310A"/>
    <w:rsid w:val="00935927"/>
    <w:rsid w:val="009663F9"/>
    <w:rsid w:val="0098296C"/>
    <w:rsid w:val="00987FC0"/>
    <w:rsid w:val="009B3B1E"/>
    <w:rsid w:val="009E2E30"/>
    <w:rsid w:val="009E7BF8"/>
    <w:rsid w:val="00A14C16"/>
    <w:rsid w:val="00A17198"/>
    <w:rsid w:val="00A32FB3"/>
    <w:rsid w:val="00A34FC4"/>
    <w:rsid w:val="00A351F3"/>
    <w:rsid w:val="00A45377"/>
    <w:rsid w:val="00A45508"/>
    <w:rsid w:val="00A60683"/>
    <w:rsid w:val="00A626A9"/>
    <w:rsid w:val="00A73F9F"/>
    <w:rsid w:val="00A765BC"/>
    <w:rsid w:val="00A87490"/>
    <w:rsid w:val="00A9093B"/>
    <w:rsid w:val="00A939D7"/>
    <w:rsid w:val="00A9447E"/>
    <w:rsid w:val="00A95A82"/>
    <w:rsid w:val="00AA7C3B"/>
    <w:rsid w:val="00AB2FE0"/>
    <w:rsid w:val="00AB7B5D"/>
    <w:rsid w:val="00AC2A81"/>
    <w:rsid w:val="00AD3A9A"/>
    <w:rsid w:val="00AE2D63"/>
    <w:rsid w:val="00AE7B18"/>
    <w:rsid w:val="00B2026D"/>
    <w:rsid w:val="00B21587"/>
    <w:rsid w:val="00B35481"/>
    <w:rsid w:val="00B36FEE"/>
    <w:rsid w:val="00B51390"/>
    <w:rsid w:val="00B752E5"/>
    <w:rsid w:val="00B75C1C"/>
    <w:rsid w:val="00B85A4D"/>
    <w:rsid w:val="00B97319"/>
    <w:rsid w:val="00BA7529"/>
    <w:rsid w:val="00BB1F10"/>
    <w:rsid w:val="00BD6991"/>
    <w:rsid w:val="00BE1C7D"/>
    <w:rsid w:val="00BF3088"/>
    <w:rsid w:val="00BF58A4"/>
    <w:rsid w:val="00C06B54"/>
    <w:rsid w:val="00C14914"/>
    <w:rsid w:val="00C22FF4"/>
    <w:rsid w:val="00C434B2"/>
    <w:rsid w:val="00C4593A"/>
    <w:rsid w:val="00C45C6A"/>
    <w:rsid w:val="00C54F1D"/>
    <w:rsid w:val="00C55948"/>
    <w:rsid w:val="00C75570"/>
    <w:rsid w:val="00C75C1C"/>
    <w:rsid w:val="00C82258"/>
    <w:rsid w:val="00CA3EDE"/>
    <w:rsid w:val="00CC22B9"/>
    <w:rsid w:val="00CD2AB0"/>
    <w:rsid w:val="00CD3CA6"/>
    <w:rsid w:val="00CD43C4"/>
    <w:rsid w:val="00CE1141"/>
    <w:rsid w:val="00CE6B55"/>
    <w:rsid w:val="00CE7ED4"/>
    <w:rsid w:val="00CF0BCE"/>
    <w:rsid w:val="00CF0C39"/>
    <w:rsid w:val="00CF5AFA"/>
    <w:rsid w:val="00D04C18"/>
    <w:rsid w:val="00D46251"/>
    <w:rsid w:val="00D50257"/>
    <w:rsid w:val="00D64A9C"/>
    <w:rsid w:val="00D84974"/>
    <w:rsid w:val="00DA5EEA"/>
    <w:rsid w:val="00DC3024"/>
    <w:rsid w:val="00DC5BE9"/>
    <w:rsid w:val="00DD4DCD"/>
    <w:rsid w:val="00E14821"/>
    <w:rsid w:val="00E209EA"/>
    <w:rsid w:val="00E25B37"/>
    <w:rsid w:val="00E346DE"/>
    <w:rsid w:val="00E37FFC"/>
    <w:rsid w:val="00E40A56"/>
    <w:rsid w:val="00E41367"/>
    <w:rsid w:val="00E83AA0"/>
    <w:rsid w:val="00E9172D"/>
    <w:rsid w:val="00EA1133"/>
    <w:rsid w:val="00EC3B96"/>
    <w:rsid w:val="00EC58FA"/>
    <w:rsid w:val="00EC5BD3"/>
    <w:rsid w:val="00ED37F8"/>
    <w:rsid w:val="00ED4DCE"/>
    <w:rsid w:val="00EE5C76"/>
    <w:rsid w:val="00EF0D81"/>
    <w:rsid w:val="00EF3458"/>
    <w:rsid w:val="00F0007D"/>
    <w:rsid w:val="00F1146B"/>
    <w:rsid w:val="00F224A4"/>
    <w:rsid w:val="00F274CA"/>
    <w:rsid w:val="00F424E9"/>
    <w:rsid w:val="00F433BA"/>
    <w:rsid w:val="00F4626F"/>
    <w:rsid w:val="00F4646D"/>
    <w:rsid w:val="00F63C5D"/>
    <w:rsid w:val="00F671CE"/>
    <w:rsid w:val="00F755D3"/>
    <w:rsid w:val="00F8190F"/>
    <w:rsid w:val="00F86990"/>
    <w:rsid w:val="00FA1699"/>
    <w:rsid w:val="00FA2592"/>
    <w:rsid w:val="00FB3B08"/>
    <w:rsid w:val="00FC1B22"/>
    <w:rsid w:val="00FC249A"/>
    <w:rsid w:val="00FC2E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F2FB"/>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4">
    <w:name w:val="heading 4"/>
    <w:basedOn w:val="Norml"/>
    <w:next w:val="Norml"/>
    <w:link w:val="Cmsor4Char"/>
    <w:semiHidden/>
    <w:unhideWhenUsed/>
    <w:qFormat/>
    <w:rsid w:val="006325C2"/>
    <w:pPr>
      <w:keepNext/>
      <w:spacing w:line="360" w:lineRule="auto"/>
      <w:jc w:val="center"/>
      <w:outlineLvl w:val="3"/>
    </w:pPr>
    <w:rPr>
      <w:b/>
      <w:bCs/>
      <w:sz w:val="26"/>
      <w:u w:val="single"/>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4Char">
    <w:name w:val="Címsor 4 Char"/>
    <w:basedOn w:val="Bekezdsalapbettpusa"/>
    <w:link w:val="Cmsor4"/>
    <w:semiHidden/>
    <w:rsid w:val="006325C2"/>
    <w:rPr>
      <w:b/>
      <w:bCs/>
      <w:sz w:val="26"/>
      <w:szCs w:val="24"/>
      <w:u w:val="single"/>
      <w:lang w:val="x-none" w:eastAsia="hu-HU"/>
    </w:rPr>
  </w:style>
  <w:style w:type="paragraph" w:customStyle="1" w:styleId="msonormal0">
    <w:name w:val="msonormal"/>
    <w:basedOn w:val="Norml"/>
    <w:rsid w:val="006325C2"/>
    <w:pPr>
      <w:spacing w:before="100" w:beforeAutospacing="1" w:after="100" w:afterAutospacing="1"/>
    </w:pPr>
    <w:rPr>
      <w:lang w:eastAsia="hu-HU"/>
    </w:rPr>
  </w:style>
  <w:style w:type="paragraph" w:styleId="Lbjegyzetszveg">
    <w:name w:val="footnote text"/>
    <w:basedOn w:val="Norml"/>
    <w:link w:val="LbjegyzetszvegChar"/>
    <w:uiPriority w:val="99"/>
    <w:semiHidden/>
    <w:unhideWhenUsed/>
    <w:rsid w:val="006325C2"/>
    <w:pPr>
      <w:overflowPunct w:val="0"/>
      <w:autoSpaceDE w:val="0"/>
      <w:autoSpaceDN w:val="0"/>
      <w:adjustRightInd w:val="0"/>
    </w:pPr>
    <w:rPr>
      <w:sz w:val="20"/>
      <w:szCs w:val="20"/>
      <w:lang w:val="x-none" w:eastAsia="x-none"/>
    </w:rPr>
  </w:style>
  <w:style w:type="character" w:customStyle="1" w:styleId="LbjegyzetszvegChar">
    <w:name w:val="Lábjegyzetszöveg Char"/>
    <w:basedOn w:val="Bekezdsalapbettpusa"/>
    <w:link w:val="Lbjegyzetszveg"/>
    <w:uiPriority w:val="99"/>
    <w:semiHidden/>
    <w:rsid w:val="006325C2"/>
    <w:rPr>
      <w:lang w:val="x-none" w:eastAsia="x-none"/>
    </w:rPr>
  </w:style>
  <w:style w:type="paragraph" w:styleId="Jegyzetszveg">
    <w:name w:val="annotation text"/>
    <w:basedOn w:val="Norml"/>
    <w:link w:val="JegyzetszvegChar"/>
    <w:uiPriority w:val="99"/>
    <w:semiHidden/>
    <w:unhideWhenUsed/>
    <w:rsid w:val="006325C2"/>
    <w:pPr>
      <w:overflowPunct w:val="0"/>
      <w:autoSpaceDE w:val="0"/>
      <w:autoSpaceDN w:val="0"/>
      <w:adjustRightInd w:val="0"/>
    </w:pPr>
    <w:rPr>
      <w:sz w:val="20"/>
      <w:szCs w:val="20"/>
      <w:lang w:val="x-none" w:eastAsia="x-none"/>
    </w:rPr>
  </w:style>
  <w:style w:type="character" w:customStyle="1" w:styleId="JegyzetszvegChar">
    <w:name w:val="Jegyzetszöveg Char"/>
    <w:basedOn w:val="Bekezdsalapbettpusa"/>
    <w:link w:val="Jegyzetszveg"/>
    <w:uiPriority w:val="99"/>
    <w:semiHidden/>
    <w:rsid w:val="006325C2"/>
    <w:rPr>
      <w:lang w:val="x-none" w:eastAsia="x-none"/>
    </w:rPr>
  </w:style>
  <w:style w:type="paragraph" w:styleId="lfej">
    <w:name w:val="header"/>
    <w:basedOn w:val="Norml"/>
    <w:link w:val="lfejChar"/>
    <w:semiHidden/>
    <w:unhideWhenUsed/>
    <w:rsid w:val="006325C2"/>
    <w:pPr>
      <w:tabs>
        <w:tab w:val="center" w:pos="4536"/>
        <w:tab w:val="right" w:pos="9072"/>
      </w:tabs>
      <w:overflowPunct w:val="0"/>
      <w:autoSpaceDE w:val="0"/>
      <w:autoSpaceDN w:val="0"/>
      <w:adjustRightInd w:val="0"/>
    </w:pPr>
    <w:rPr>
      <w:sz w:val="28"/>
      <w:szCs w:val="20"/>
      <w:lang w:val="x-none" w:eastAsia="hu-HU"/>
    </w:rPr>
  </w:style>
  <w:style w:type="character" w:customStyle="1" w:styleId="lfejChar">
    <w:name w:val="Élőfej Char"/>
    <w:basedOn w:val="Bekezdsalapbettpusa"/>
    <w:link w:val="lfej"/>
    <w:semiHidden/>
    <w:rsid w:val="006325C2"/>
    <w:rPr>
      <w:sz w:val="28"/>
      <w:lang w:val="x-none" w:eastAsia="hu-HU"/>
    </w:rPr>
  </w:style>
  <w:style w:type="paragraph" w:styleId="llb">
    <w:name w:val="footer"/>
    <w:basedOn w:val="Norml"/>
    <w:link w:val="llbChar"/>
    <w:uiPriority w:val="99"/>
    <w:semiHidden/>
    <w:unhideWhenUsed/>
    <w:rsid w:val="006325C2"/>
    <w:pPr>
      <w:tabs>
        <w:tab w:val="center" w:pos="4536"/>
        <w:tab w:val="right" w:pos="9072"/>
      </w:tabs>
      <w:overflowPunct w:val="0"/>
      <w:autoSpaceDE w:val="0"/>
      <w:autoSpaceDN w:val="0"/>
      <w:adjustRightInd w:val="0"/>
    </w:pPr>
    <w:rPr>
      <w:sz w:val="28"/>
      <w:szCs w:val="20"/>
      <w:lang w:val="x-none" w:eastAsia="x-none"/>
    </w:rPr>
  </w:style>
  <w:style w:type="character" w:customStyle="1" w:styleId="llbChar">
    <w:name w:val="Élőláb Char"/>
    <w:basedOn w:val="Bekezdsalapbettpusa"/>
    <w:link w:val="llb"/>
    <w:uiPriority w:val="99"/>
    <w:semiHidden/>
    <w:rsid w:val="006325C2"/>
    <w:rPr>
      <w:sz w:val="28"/>
      <w:lang w:val="x-none" w:eastAsia="x-none"/>
    </w:rPr>
  </w:style>
  <w:style w:type="paragraph" w:styleId="Megjegyzstrgya">
    <w:name w:val="annotation subject"/>
    <w:basedOn w:val="Jegyzetszveg"/>
    <w:next w:val="Jegyzetszveg"/>
    <w:link w:val="MegjegyzstrgyaChar"/>
    <w:uiPriority w:val="99"/>
    <w:semiHidden/>
    <w:unhideWhenUsed/>
    <w:rsid w:val="006325C2"/>
    <w:rPr>
      <w:b/>
      <w:bCs/>
    </w:rPr>
  </w:style>
  <w:style w:type="character" w:customStyle="1" w:styleId="MegjegyzstrgyaChar">
    <w:name w:val="Megjegyzés tárgya Char"/>
    <w:basedOn w:val="JegyzetszvegChar"/>
    <w:link w:val="Megjegyzstrgya"/>
    <w:uiPriority w:val="99"/>
    <w:semiHidden/>
    <w:rsid w:val="006325C2"/>
    <w:rPr>
      <w:b/>
      <w:bCs/>
      <w:lang w:val="x-none" w:eastAsia="x-none"/>
    </w:rPr>
  </w:style>
  <w:style w:type="paragraph" w:styleId="Buborkszveg">
    <w:name w:val="Balloon Text"/>
    <w:basedOn w:val="Norml"/>
    <w:link w:val="BuborkszvegChar"/>
    <w:uiPriority w:val="99"/>
    <w:semiHidden/>
    <w:unhideWhenUsed/>
    <w:rsid w:val="006325C2"/>
    <w:pPr>
      <w:overflowPunct w:val="0"/>
      <w:autoSpaceDE w:val="0"/>
      <w:autoSpaceDN w:val="0"/>
      <w:adjustRightInd w:val="0"/>
    </w:pPr>
    <w:rPr>
      <w:rFonts w:ascii="Segoe UI" w:hAnsi="Segoe UI"/>
      <w:sz w:val="18"/>
      <w:szCs w:val="18"/>
      <w:lang w:val="x-none" w:eastAsia="x-none"/>
    </w:rPr>
  </w:style>
  <w:style w:type="character" w:customStyle="1" w:styleId="BuborkszvegChar">
    <w:name w:val="Buborékszöveg Char"/>
    <w:basedOn w:val="Bekezdsalapbettpusa"/>
    <w:link w:val="Buborkszveg"/>
    <w:uiPriority w:val="99"/>
    <w:semiHidden/>
    <w:rsid w:val="006325C2"/>
    <w:rPr>
      <w:rFonts w:ascii="Segoe UI" w:hAnsi="Segoe UI"/>
      <w:sz w:val="18"/>
      <w:szCs w:val="18"/>
      <w:lang w:val="x-none" w:eastAsia="x-none"/>
    </w:rPr>
  </w:style>
  <w:style w:type="character" w:styleId="Lbjegyzet-hivatkozs">
    <w:name w:val="footnote reference"/>
    <w:uiPriority w:val="99"/>
    <w:semiHidden/>
    <w:unhideWhenUsed/>
    <w:rsid w:val="006325C2"/>
    <w:rPr>
      <w:vertAlign w:val="superscript"/>
    </w:rPr>
  </w:style>
  <w:style w:type="character" w:styleId="Jegyzethivatkozs">
    <w:name w:val="annotation reference"/>
    <w:uiPriority w:val="99"/>
    <w:semiHidden/>
    <w:unhideWhenUsed/>
    <w:rsid w:val="006325C2"/>
    <w:rPr>
      <w:sz w:val="16"/>
      <w:szCs w:val="16"/>
    </w:rPr>
  </w:style>
  <w:style w:type="table" w:styleId="Rcsostblzat">
    <w:name w:val="Table Grid"/>
    <w:basedOn w:val="Normltblzat"/>
    <w:uiPriority w:val="59"/>
    <w:rsid w:val="006325C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32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4413">
      <w:bodyDiv w:val="1"/>
      <w:marLeft w:val="0"/>
      <w:marRight w:val="0"/>
      <w:marTop w:val="0"/>
      <w:marBottom w:val="0"/>
      <w:divBdr>
        <w:top w:val="none" w:sz="0" w:space="0" w:color="auto"/>
        <w:left w:val="none" w:sz="0" w:space="0" w:color="auto"/>
        <w:bottom w:val="none" w:sz="0" w:space="0" w:color="auto"/>
        <w:right w:val="none" w:sz="0" w:space="0" w:color="auto"/>
      </w:divBdr>
    </w:div>
    <w:div w:id="447941146">
      <w:bodyDiv w:val="1"/>
      <w:marLeft w:val="0"/>
      <w:marRight w:val="0"/>
      <w:marTop w:val="0"/>
      <w:marBottom w:val="0"/>
      <w:divBdr>
        <w:top w:val="none" w:sz="0" w:space="0" w:color="auto"/>
        <w:left w:val="none" w:sz="0" w:space="0" w:color="auto"/>
        <w:bottom w:val="none" w:sz="0" w:space="0" w:color="auto"/>
        <w:right w:val="none" w:sz="0" w:space="0" w:color="auto"/>
      </w:divBdr>
    </w:div>
    <w:div w:id="615914260">
      <w:bodyDiv w:val="1"/>
      <w:marLeft w:val="0"/>
      <w:marRight w:val="0"/>
      <w:marTop w:val="0"/>
      <w:marBottom w:val="0"/>
      <w:divBdr>
        <w:top w:val="none" w:sz="0" w:space="0" w:color="auto"/>
        <w:left w:val="none" w:sz="0" w:space="0" w:color="auto"/>
        <w:bottom w:val="none" w:sz="0" w:space="0" w:color="auto"/>
        <w:right w:val="none" w:sz="0" w:space="0" w:color="auto"/>
      </w:divBdr>
    </w:div>
    <w:div w:id="889614212">
      <w:bodyDiv w:val="1"/>
      <w:marLeft w:val="0"/>
      <w:marRight w:val="0"/>
      <w:marTop w:val="0"/>
      <w:marBottom w:val="0"/>
      <w:divBdr>
        <w:top w:val="none" w:sz="0" w:space="0" w:color="auto"/>
        <w:left w:val="none" w:sz="0" w:space="0" w:color="auto"/>
        <w:bottom w:val="none" w:sz="0" w:space="0" w:color="auto"/>
        <w:right w:val="none" w:sz="0" w:space="0" w:color="auto"/>
      </w:divBdr>
    </w:div>
    <w:div w:id="1611939143">
      <w:bodyDiv w:val="1"/>
      <w:marLeft w:val="0"/>
      <w:marRight w:val="0"/>
      <w:marTop w:val="0"/>
      <w:marBottom w:val="0"/>
      <w:divBdr>
        <w:top w:val="none" w:sz="0" w:space="0" w:color="auto"/>
        <w:left w:val="none" w:sz="0" w:space="0" w:color="auto"/>
        <w:bottom w:val="none" w:sz="0" w:space="0" w:color="auto"/>
        <w:right w:val="none" w:sz="0" w:space="0" w:color="auto"/>
      </w:divBdr>
    </w:div>
    <w:div w:id="20627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3DB0-1899-4B71-BAE4-429B4DBA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17</Pages>
  <Words>5564</Words>
  <Characters>38393</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135</cp:revision>
  <dcterms:created xsi:type="dcterms:W3CDTF">2023-02-04T10:09:00Z</dcterms:created>
  <dcterms:modified xsi:type="dcterms:W3CDTF">2023-02-09T08:47:00Z</dcterms:modified>
</cp:coreProperties>
</file>