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4" w:rsidRDefault="0093597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:rsidR="00281974" w:rsidRDefault="0093597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városi piac és helyi termelői piac tartásáról</w:t>
      </w:r>
    </w:p>
    <w:p w:rsidR="00281974" w:rsidRDefault="00935971">
      <w:pPr>
        <w:pStyle w:val="Szvegtrzs"/>
        <w:spacing w:before="220" w:after="0" w:line="240" w:lineRule="auto"/>
        <w:jc w:val="both"/>
      </w:pPr>
      <w:r>
        <w:t xml:space="preserve">Bátaszék Város Önkormányzat Képviselő-testülete az Alaptörvény 32. cikk (2) bekezdésében meghatározott eredeti </w:t>
      </w:r>
      <w:r>
        <w:t>jogalkotói hatáskörében, Magyarország helyi önkormányzatairól szóló 2011. évi CLXXXIX. törvény 13. § (1) bekezdés 14. pontjában meghatározott feladatkörében eljárva, a képviselő-testület és szervei szervezeti és működési szabályzatáról szóló 2/2011. (II. 1</w:t>
      </w:r>
      <w:r>
        <w:t>) önkormányzati rendelet 25. § (4) bekezdésében biztosított véleményezési jogkörében eljáró Pénzügyi és Gazdasági Bizottság véleményének kikérésével a következőket rendeli el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 rendelet tárgyi hatálya kiterjed Bátaszék V</w:t>
      </w:r>
      <w:r>
        <w:t>áros közigazgatási területén az önkormányzat által fenntartott városi piacra és helyi termelői piacra.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A rendelet személyi hatálya kiterjed Bátaszék Város közigazgatási területén piacot és helyi termelői piacot fenntartóra, üzemeltetőre és minden olyan</w:t>
      </w:r>
      <w:r>
        <w:t xml:space="preserve"> magánszemélyre, egyéni vállalkozóra, őstermelőre, jogi személyre és jogi személyiséggel nem rendelkező szervezetre, aki, vagy amely a piacon bármilyen értékesítési vagy szolgáltató tevékenységet folytat, valamint a piac területén tartózkodókra.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81974" w:rsidRDefault="00935971">
      <w:pPr>
        <w:pStyle w:val="Szvegtrzs"/>
        <w:spacing w:after="0" w:line="240" w:lineRule="auto"/>
        <w:jc w:val="both"/>
      </w:pPr>
      <w:r>
        <w:t>(1) E</w:t>
      </w:r>
      <w:r>
        <w:t xml:space="preserve"> rendelet alkalmazása során: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helyhasználó: aki az üzemeltetővel olyan szerződéses jogviszonyt létesít, amely alkalmi (napi) vagy tartós (negyedéves) piachasználatra jogosít;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árusítás: a termék vásárlóknak történő bemutatása és értékesítése;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fennta</w:t>
      </w:r>
      <w:r>
        <w:t>rtó: Bátaszék Város Önkormányzata;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piac: a kereskedelemről szóló 2005. évi CLXIV. törvény (továbbiakban: Kertv.) 2. § 19. pontja szerinti kiskereskedelmi tevékenység folytatására szolgáló hely;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helyi termelői piac: a Kertv. 2. § 5a. pontja szerinti t</w:t>
      </w:r>
      <w:r>
        <w:t>ermékértékesítésre szolgáló hely;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termék: a Kertv. 2. § 21. pontja szerinti ingó dolog;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üzemeltető: a fenntartó vagy a fenntartó által kijelölt, a piac, illetve helyi termelői piac vezetését, illetve annak működtetésével kapcsolatos feladatokat ellát</w:t>
      </w:r>
      <w:r>
        <w:t>ó személy, aki a fenntartó nevében eljárni jogosult.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Bátaszék Város Önkormányzata a piac és helyi termelői piac fenntartásával kapcsolatos feladatait üzemeltető útján látja el. Az üzemeltető a BÁT-KOM 2004. Városüzemeltető és Szolgáltató Korlátolt Fele</w:t>
      </w:r>
      <w:r>
        <w:t>lősségű Társaság.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piacok helye és nyitvatartása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81974" w:rsidRDefault="00935971">
      <w:pPr>
        <w:pStyle w:val="Szvegtrzs"/>
        <w:spacing w:after="0" w:line="240" w:lineRule="auto"/>
        <w:jc w:val="both"/>
      </w:pPr>
      <w:r>
        <w:t>(1) Bátaszék Város Önkormányzata által fenntartott városi piac helyszínei</w:t>
      </w:r>
      <w:r>
        <w:rPr>
          <w:i/>
          <w:iCs/>
        </w:rPr>
        <w:t xml:space="preserve">: 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Bátaszék, Hősök tere 4. (958/1 hrsz.)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Bátaszék, Kossuth utca (951 hrsz.)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Bátaszék, 957/1 hrsz.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 xml:space="preserve">(2) A helyi </w:t>
      </w:r>
      <w:r>
        <w:t>termelői piac helye megegyezik a városi piac helyszíneivel.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81974" w:rsidRDefault="00935971">
      <w:pPr>
        <w:pStyle w:val="Szvegtrzs"/>
        <w:spacing w:after="0" w:line="240" w:lineRule="auto"/>
        <w:jc w:val="both"/>
      </w:pPr>
      <w:r>
        <w:t xml:space="preserve">(1) A piac szerdai és szombati napokon 6.00 órától 12.00 óráig tart nyitva. 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A helyi termelői piac nyitvatartása megegyezik a városi piac nyitvatartásával.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(3) A nyitvatartási rendet a pi</w:t>
      </w:r>
      <w:r>
        <w:t>ac területén jól látható módon kell kifüggeszteni.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 xml:space="preserve">(4) A piac ünnepnapokon, valamint a piaci helyszín területére előre meghirdetett városi ünnepségek, rendezvények napján zárva tart. 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(5) A (4) bekezdésben meghatározott zárvatartás esetén a piaci nap áthel</w:t>
      </w:r>
      <w:r>
        <w:t>yezésre kerülhet, amelyről az üzemeltető hirdetmény útján tájékoztatást nyújt.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281974" w:rsidRDefault="00935971">
      <w:pPr>
        <w:pStyle w:val="Szvegtrzs"/>
        <w:spacing w:after="0" w:line="240" w:lineRule="auto"/>
        <w:jc w:val="both"/>
      </w:pPr>
      <w:r>
        <w:t xml:space="preserve">A piac területén nyilvános illemhely üzemel, amely a piac nyitvatartási idejében ingyenesen igénybevehető. 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üzemeltető feladatai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Az üzemeltető feladata a pia</w:t>
      </w:r>
      <w:r>
        <w:t>c részletes működési rendjének meghatározása, biztosítása, területének tisztántartása, egyéb, a vonatkozó hatályos jogszabályokban, valamint e rendeletben megfogalmazott feladatok ellátása.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Az üzemeltető feladatai: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biztosítja a piacok rendjét, az ár</w:t>
      </w:r>
      <w:r>
        <w:t>usítás zavartalanságát;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kijelöli az árusítóhelyeket; 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beszedi a helypénzeket, díjakat;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üzemelteti a piac területén található nyilvános illemhelyet;</w:t>
      </w:r>
    </w:p>
    <w:p w:rsidR="00281974" w:rsidRDefault="0093597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megteszi a piac rendjére vonatkozó jogszabályokban és a jelen rendeletben foglaltak </w:t>
      </w:r>
      <w:r>
        <w:t>érvényesítése érdekében a szükséges intézkedéseket.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281974" w:rsidRDefault="00935971">
      <w:pPr>
        <w:pStyle w:val="Szvegtrzs"/>
        <w:spacing w:after="0" w:line="240" w:lineRule="auto"/>
        <w:jc w:val="both"/>
      </w:pPr>
      <w:r>
        <w:t>A fenntartó kérésére az üzemeltető évente beszámol a piac működéséről.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helyhasználat díja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 városi és helyi termelői piac alkalmi (napi) helyhasználatára megállapított helypénz mértékét</w:t>
      </w:r>
      <w:r>
        <w:t xml:space="preserve"> az 1. melléklet</w:t>
      </w:r>
      <w:r>
        <w:rPr>
          <w:i/>
          <w:iCs/>
        </w:rPr>
        <w:t xml:space="preserve"> </w:t>
      </w:r>
      <w:r>
        <w:t>tartalmazza.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lastRenderedPageBreak/>
        <w:t>(2) A városi és helyi termelői piac tartós helyhasználatára (negyedéves) megállapított helypénz mértékét a 2. melléklet</w:t>
      </w:r>
      <w:r>
        <w:rPr>
          <w:i/>
          <w:iCs/>
        </w:rPr>
        <w:t xml:space="preserve"> </w:t>
      </w:r>
      <w:r>
        <w:t>tartalmazza.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 használati díjat a használó előre köteles megfizetni az üzemeltető részére.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 xml:space="preserve">(2) A </w:t>
      </w:r>
      <w:r>
        <w:t>tartós helyhasználó az árusítóhely használatát másnak nem engedheti át.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Alkalmi (napi) helyhasználati díj megfizetése ellenében vehető igénybe a piacnak árusításra kijelölt azon része, amely nincsen tartós helyhasználati célra kiadva.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Az alka</w:t>
      </w:r>
      <w:r>
        <w:t xml:space="preserve">lmi (napi) helyhasználatra kijelölt területnek az igénybevételére a helyhasználó az alkalmi helyhasználati díj megfizetésével szerez jogosultságot. Ugyanaz a hely egy napon többször is kiadható, ha azt az előző helyhasználó kiürítette. Ebben az esetben az </w:t>
      </w:r>
      <w:r>
        <w:t>új helyhasználó is a teljes alkalmi díjat köteles megfizetni. A megszerzett jogosultság másra nem ruházható át.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(3) Az alkalmi (napi) helypénz megfizetése a piac nyitvatartásától zárásig tart. A helyhasználó a helyhasználat jogosultságát köteles felszólítá</w:t>
      </w:r>
      <w:r>
        <w:t>sra igazolni, ennek hiányában a helyhasználó az alkalmi díjat köteles újból megfizetni.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piac rendjéhez kapcsolódó fenntartói rendelkezések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 piac területére nem lehet gépjárművel behajtani kivéve a fenntartó vagy üzemeltető előzetes engedély</w:t>
      </w:r>
      <w:r>
        <w:t>ével.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(2) Szállító járművek az áru le- és felrakásának ideje alatt sem hajthatnak be a piac területére.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>(3) A piac területén parkolás kizárólag az elárusítótér mellett kialakított parkolóban, az erre a célra kijelölt helyen megengedett.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281974" w:rsidRDefault="00935971">
      <w:pPr>
        <w:pStyle w:val="Szvegtrzs"/>
        <w:spacing w:after="0" w:line="240" w:lineRule="auto"/>
        <w:jc w:val="both"/>
      </w:pPr>
      <w:r>
        <w:t>A piac terüle</w:t>
      </w:r>
      <w:r>
        <w:t>tén elhelyezett termék, illetve bármilyen vagyontárgy őrzése, kezelése és tárolása a helyhasználó felelőssége és kötelezettsége.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281974" w:rsidRDefault="00935971">
      <w:pPr>
        <w:pStyle w:val="Szvegtrzs"/>
        <w:spacing w:after="0" w:line="240" w:lineRule="auto"/>
        <w:jc w:val="both"/>
      </w:pPr>
      <w:r>
        <w:t xml:space="preserve">A piacokon a helyhasználó által, illetve a tevékenysége által harmadik fél részére okozott kárért, balesetért (anyagi és </w:t>
      </w:r>
      <w:r>
        <w:t xml:space="preserve">személyi) felelősséggel </w:t>
      </w:r>
      <w:bookmarkStart w:id="0" w:name="_GoBack"/>
      <w:bookmarkEnd w:id="0"/>
      <w:r>
        <w:t>tartozik a polgári jog szabályai szerint.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281974" w:rsidRDefault="00935971">
      <w:pPr>
        <w:pStyle w:val="Szvegtrzs"/>
        <w:spacing w:after="0" w:line="240" w:lineRule="auto"/>
        <w:jc w:val="both"/>
      </w:pPr>
      <w:r>
        <w:t>(1) A piaci rend megtartása az ott jelen levő valamennyi személy kötelessége.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t xml:space="preserve">(2) A piac üzemeltetője a piac rendjét folyamatosan ellenőrizni és felügyelni </w:t>
      </w:r>
      <w:r>
        <w:t>tartozik. Az üzemeltető a piac rendjének biztosítása érdekében jogosult ellenőrizni a vállalkozói engedélyeket, őstermelői igazolványokat, közreműködik a szakhatóság(ok) által végzett ellenőrzésekben.</w:t>
      </w:r>
    </w:p>
    <w:p w:rsidR="00281974" w:rsidRDefault="00935971">
      <w:pPr>
        <w:pStyle w:val="Szvegtrzs"/>
        <w:spacing w:before="240" w:after="0" w:line="240" w:lineRule="auto"/>
        <w:jc w:val="both"/>
      </w:pPr>
      <w:r>
        <w:lastRenderedPageBreak/>
        <w:t>(3) Az üzemeltető az általa tapasztalt jogsértés esetén</w:t>
      </w:r>
      <w:r>
        <w:t xml:space="preserve"> értesíti az illetékes hatóságot, szükség esetén szabálysértési, hatósági, vagy büntető eljárást kezdeményez.</w:t>
      </w:r>
    </w:p>
    <w:p w:rsidR="00281974" w:rsidRDefault="0093597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Záró rendelkezések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281974" w:rsidRDefault="00935971">
      <w:pPr>
        <w:pStyle w:val="Szvegtrzs"/>
        <w:spacing w:after="0" w:line="240" w:lineRule="auto"/>
        <w:jc w:val="both"/>
      </w:pPr>
      <w:r>
        <w:t xml:space="preserve">Hatályát veszti A városi piac tartásáról szóló Bátaszék Város Önkormányzat Képviselő-testületének 13/2004 (VI.4.) KTR </w:t>
      </w:r>
      <w:r>
        <w:t>számú rendelete.</w:t>
      </w:r>
    </w:p>
    <w:p w:rsidR="00281974" w:rsidRDefault="0093597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281974" w:rsidRDefault="00935971">
      <w:pPr>
        <w:pStyle w:val="Szvegtrzs"/>
        <w:spacing w:after="0" w:line="240" w:lineRule="auto"/>
        <w:jc w:val="both"/>
      </w:pPr>
      <w:r>
        <w:t>Ez a rendelet 2023. december 1-jén lép hatályba.</w:t>
      </w:r>
      <w:r>
        <w:br w:type="page"/>
      </w:r>
    </w:p>
    <w:p w:rsidR="00281974" w:rsidRDefault="0093597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.../... . (... . ... .) önkormányzati rendelethez</w:t>
      </w:r>
    </w:p>
    <w:p w:rsidR="00281974" w:rsidRDefault="0093597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városi és helyi termelői piac alkalmi (napi) helyhasználatára megállapított helypénz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281974"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Kereskedők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asztalon </w:t>
            </w:r>
            <w:r>
              <w:rPr>
                <w:sz w:val="20"/>
                <w:szCs w:val="20"/>
              </w:rPr>
              <w:t>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534,- Ft/m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/alkalom</w:t>
            </w:r>
          </w:p>
        </w:tc>
      </w:tr>
      <w:tr w:rsidR="00281974"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281974"/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310,- Ft/m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/alkalom</w:t>
            </w:r>
          </w:p>
        </w:tc>
      </w:tr>
      <w:tr w:rsidR="00281974"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Őstermelők/kistermelők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asztalon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155,- Ft/fm/alkalom</w:t>
            </w:r>
          </w:p>
        </w:tc>
      </w:tr>
      <w:tr w:rsidR="00281974"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281974"/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90,- Ft/m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/alkalom</w:t>
            </w:r>
          </w:p>
        </w:tc>
      </w:tr>
    </w:tbl>
    <w:p w:rsidR="00281974" w:rsidRDefault="0093597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2. melléklet az .../... . </w:t>
      </w:r>
      <w:r>
        <w:rPr>
          <w:i/>
          <w:iCs/>
          <w:u w:val="single"/>
        </w:rPr>
        <w:t>(... . ... .) önkormányzati rendelethez</w:t>
      </w:r>
    </w:p>
    <w:p w:rsidR="00281974" w:rsidRDefault="0093597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városi és helyi termelői piac tartós helyhasználatára (negyedéves) megállapított helypénz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281974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kereskedők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burkolaton történő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6220,- Ft/m</w:t>
            </w:r>
            <w:r>
              <w:rPr>
                <w:vertAlign w:val="superscript"/>
              </w:rPr>
              <w:t>2</w:t>
            </w:r>
            <w:r>
              <w:t>/negyedév</w:t>
            </w:r>
          </w:p>
        </w:tc>
      </w:tr>
      <w:tr w:rsidR="00281974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őstermelők/kistermelők esetében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burkolaton történ</w:t>
            </w:r>
            <w:r>
              <w:t>ő árusításkor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74" w:rsidRDefault="00935971">
            <w:pPr>
              <w:pStyle w:val="Szvegtrzs"/>
              <w:spacing w:after="0" w:line="240" w:lineRule="auto"/>
              <w:jc w:val="both"/>
            </w:pPr>
            <w:r>
              <w:t>1806,- Ft/m</w:t>
            </w:r>
            <w:r>
              <w:rPr>
                <w:vertAlign w:val="superscript"/>
              </w:rPr>
              <w:t>2</w:t>
            </w:r>
            <w:r>
              <w:t>/negyedév</w:t>
            </w:r>
          </w:p>
        </w:tc>
      </w:tr>
    </w:tbl>
    <w:p w:rsidR="00281974" w:rsidRDefault="00281974">
      <w:pPr>
        <w:sectPr w:rsidR="0028197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281974" w:rsidRDefault="00281974">
      <w:pPr>
        <w:pStyle w:val="Szvegtrzs"/>
        <w:spacing w:after="0"/>
        <w:jc w:val="center"/>
      </w:pPr>
    </w:p>
    <w:p w:rsidR="00281974" w:rsidRDefault="00935971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281974" w:rsidRDefault="00935971">
      <w:pPr>
        <w:pStyle w:val="Szvegtrzs"/>
        <w:spacing w:after="0" w:line="240" w:lineRule="auto"/>
        <w:jc w:val="both"/>
      </w:pPr>
      <w:r>
        <w:t xml:space="preserve">Az új rendelet megalkotásának szükségességét indokolja: a rendelkezések pontosítása a </w:t>
      </w:r>
      <w:r>
        <w:t>gyakorlati tapasztalatok alapján, a jogszabály megalkotása óta (2004) bekövetkezett jogszabályváltozások.</w:t>
      </w:r>
    </w:p>
    <w:p w:rsidR="00281974" w:rsidRDefault="0093597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 rendelet hatályát határozza meg.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Értelmező rendelkezéseket tartalmaz.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 xml:space="preserve">Meghatározza a piac </w:t>
      </w:r>
      <w:r>
        <w:t>és a helyi termelői piac helyszíneit.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 piac és a helyi termelői piac nyitvatartásával kapcsolatos szabályokat határozza meg.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Az illemhely biztosításáról rendelkezik.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Az üzemeltető feladatait határozza meg.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Beszámolási kötelezettséget ír elő az üzemeltetőnek.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8–10.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 helyhasználati díjakat határozza meg, 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11–14.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 piac működési rendjéhez kapcsolódó fenntartói szabályokat határozza meg.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15.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Korábbi rendeletre vonatkozó hatályon kívül</w:t>
      </w:r>
      <w:r>
        <w:t xml:space="preserve"> helyező rendelkezést tartalmaz.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16. §-hoz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>A városi és helyi termelői piac alkalmi használatára vonatkozó helypénzek mértékéről rendelkezik.</w:t>
      </w:r>
    </w:p>
    <w:p w:rsidR="00281974" w:rsidRDefault="0093597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melléklethez </w:t>
      </w:r>
    </w:p>
    <w:p w:rsidR="00281974" w:rsidRDefault="00935971">
      <w:pPr>
        <w:pStyle w:val="Szvegtrzs"/>
        <w:spacing w:before="159" w:after="159" w:line="240" w:lineRule="auto"/>
        <w:ind w:left="159" w:right="159"/>
        <w:jc w:val="both"/>
      </w:pPr>
      <w:r>
        <w:t xml:space="preserve">A városi és helyi termelői piac </w:t>
      </w:r>
      <w:r>
        <w:t>tartós használatára vonatkozó helypénz mértékéről rendelkezik.</w:t>
      </w:r>
    </w:p>
    <w:sectPr w:rsidR="0028197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5971">
      <w:r>
        <w:separator/>
      </w:r>
    </w:p>
  </w:endnote>
  <w:endnote w:type="continuationSeparator" w:id="0">
    <w:p w:rsidR="00000000" w:rsidRDefault="009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4" w:rsidRDefault="0093597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4" w:rsidRDefault="0093597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5971">
      <w:r>
        <w:separator/>
      </w:r>
    </w:p>
  </w:footnote>
  <w:footnote w:type="continuationSeparator" w:id="0">
    <w:p w:rsidR="00000000" w:rsidRDefault="0093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2755"/>
    <w:multiLevelType w:val="multilevel"/>
    <w:tmpl w:val="552AA88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74"/>
    <w:rsid w:val="00281974"/>
    <w:rsid w:val="009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686F"/>
  <w15:docId w15:val="{B424CA6A-A8A8-4E32-A64D-208A95C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Aljegyző</cp:lastModifiedBy>
  <cp:revision>4</cp:revision>
  <dcterms:created xsi:type="dcterms:W3CDTF">2017-08-15T13:24:00Z</dcterms:created>
  <dcterms:modified xsi:type="dcterms:W3CDTF">2023-10-20T07:27:00Z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