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3B" w:rsidRDefault="008A5F5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Képviselő-testületének .../.... (...) önkormányzati rendelete</w:t>
      </w:r>
    </w:p>
    <w:p w:rsidR="00BA1F3B" w:rsidRDefault="008A5F5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gyermekvédelmi ellátásokról szóló 9/2021. (VII. 2.) önkormányzati rendelet módosításáról</w:t>
      </w:r>
    </w:p>
    <w:p w:rsidR="00BA1F3B" w:rsidRDefault="008A5F52">
      <w:pPr>
        <w:pStyle w:val="Szvegtrzs"/>
        <w:spacing w:before="220" w:after="0" w:line="240" w:lineRule="auto"/>
        <w:jc w:val="both"/>
      </w:pPr>
      <w:r>
        <w:t xml:space="preserve">Bátaszék Város Önkormányzatának Képviselő-testülete a gyermekek </w:t>
      </w:r>
      <w:r>
        <w:t>védelméről és a gyámügyi igazgatásról szóló 1997. évi XXXI. törvény 29. § (1) bekezdésében kapott felhatalmazás alapján, Magyarország Alaptörvénye 32. cikk (1) bekezdés a) pontjában és Magyarország helyi önkormányzatiról szóló 2011. évi CLXXXIX. törvény 13</w:t>
      </w:r>
      <w:r>
        <w:t>. § (1) bekezdés 8. pontjában meghatározott feladatkörében eljárva a következőket rendeli el</w:t>
      </w:r>
    </w:p>
    <w:p w:rsidR="00BA1F3B" w:rsidRDefault="008A5F5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A1F3B" w:rsidRDefault="008A5F52">
      <w:pPr>
        <w:pStyle w:val="Szvegtrzs"/>
        <w:spacing w:after="0" w:line="240" w:lineRule="auto"/>
        <w:jc w:val="both"/>
      </w:pPr>
      <w:r>
        <w:t>A helyi gyermekvédelmi ellátásokról szóló 9/2021. (VII. 2.) önkormányzati rendelet 13. §-a helyébe a következő rendelkezés lép:</w:t>
      </w:r>
    </w:p>
    <w:p w:rsidR="00BA1F3B" w:rsidRDefault="008A5F5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„13. §</w:t>
      </w:r>
    </w:p>
    <w:p w:rsidR="00BA1F3B" w:rsidRDefault="008A5F52">
      <w:pPr>
        <w:pStyle w:val="Szvegtrzs"/>
        <w:spacing w:after="0" w:line="240" w:lineRule="auto"/>
        <w:jc w:val="both"/>
      </w:pPr>
      <w:r>
        <w:t>(1) Az önkormányzat a g</w:t>
      </w:r>
      <w:r>
        <w:t>yermekek napközbeni ellátásaként a bölcsődei ellátást, annak keretében az életkornak megfelelő nappali felügyeletet, gondozást, nevelést, foglalkoztatást és étkeztetést szervezi meg, azon három éven aluli gyermekek számára, akiknek szülei, törvényes képvis</w:t>
      </w:r>
      <w:r>
        <w:t>elői az alább felsorolt okok miatt napközbeni ellátásukról nem tudnak gondoskodni: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munkavégzésük - ideértve a gyermekgondozási díj, a gyermekgondozást segítő ellátás és a gyermeknevelési támogatás folyósítása melletti munkavégzést is,-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munkaerő-piaci</w:t>
      </w:r>
      <w:r>
        <w:t xml:space="preserve"> részvételt elősegítő programban, képzésben való részvételük,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nappali rendszerű iskolai oktatásban, a nappali oktatás munkarendje szerint szervezett felnőttoktatásban,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felsőoktatási intézményben nappali képzésben való részvételük,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betegségük vagy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egyéb ok.</w:t>
      </w:r>
    </w:p>
    <w:p w:rsidR="00BA1F3B" w:rsidRDefault="008A5F52">
      <w:pPr>
        <w:pStyle w:val="Szvegtrzs"/>
        <w:spacing w:before="240" w:after="0" w:line="240" w:lineRule="auto"/>
        <w:jc w:val="both"/>
      </w:pPr>
      <w:r>
        <w:t>(2) Az (1) bekezdés f) pontja szerinti egyéb okokat a Gyvt. 41. § (2) bekezdése tartalmazza.</w:t>
      </w:r>
    </w:p>
    <w:p w:rsidR="00BA1F3B" w:rsidRDefault="008A5F52">
      <w:pPr>
        <w:pStyle w:val="Szvegtrzs"/>
        <w:spacing w:before="240" w:after="0" w:line="240" w:lineRule="auto"/>
        <w:jc w:val="both"/>
      </w:pPr>
      <w:r>
        <w:t>(3) Az önkormányzat a bölcsődei ellátást a Bátaszéki Mikrotérségi Óvoda, Bölcsőde és Konyha (a továbbiakban: MOB) útján biztosítja.</w:t>
      </w:r>
    </w:p>
    <w:p w:rsidR="00BA1F3B" w:rsidRDefault="008A5F52">
      <w:pPr>
        <w:pStyle w:val="Szvegtrzs"/>
        <w:spacing w:before="240" w:after="0" w:line="240" w:lineRule="auto"/>
        <w:jc w:val="both"/>
      </w:pPr>
      <w:r>
        <w:t>(4) A bölcsődei el</w:t>
      </w:r>
      <w:r>
        <w:t>látás önkéntes igénybevételére irányuló írásbeli kérelmet a bölcsőde szakmai vezetőjénél lehet előterjeszteni, az erre a célra rendszeresített formanyomtatványon. A kérelemhez szükséges mellékelni az (1) bekezdés a)-f) pontjában és -amennyiben rendelkezésr</w:t>
      </w:r>
      <w:r>
        <w:t>e áll - a (3a) bekezdésben foglaltakat alátámasztó dokumentumokat, igazolásokat, nyilatkozatokat.</w:t>
      </w:r>
    </w:p>
    <w:p w:rsidR="00BA1F3B" w:rsidRDefault="008A5F52">
      <w:pPr>
        <w:pStyle w:val="Szvegtrzs"/>
        <w:spacing w:before="240" w:after="0" w:line="240" w:lineRule="auto"/>
        <w:jc w:val="both"/>
      </w:pPr>
      <w:r>
        <w:t>(5) A kérelmek érkezési sorrendjétől eltérve, a felvétel során előnyben kell részesíteni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– ha a gyermek szülője, más törvényes képviselője a felvételi kére</w:t>
      </w:r>
      <w:r>
        <w:t>lem benyújtását követő 30 napon belül igazolja, hogy munkaviszonyban vagy munkavégzésre irányuló egyéb jogviszonyban áll –</w:t>
      </w:r>
    </w:p>
    <w:p w:rsidR="00BA1F3B" w:rsidRDefault="008A5F5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a rendszeres gyermekvédelmi kedvezményre jogosult gyermeket,</w:t>
      </w:r>
    </w:p>
    <w:p w:rsidR="00BA1F3B" w:rsidRDefault="008A5F5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a három vagy több gyermeket nevelő családban élő gyermeket,</w:t>
      </w:r>
    </w:p>
    <w:p w:rsidR="00BA1F3B" w:rsidRDefault="008A5F5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</w:r>
      <w:r>
        <w:t>az egyedülálló szülő által nevelt gyermeket;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védelembe vett gyermeket,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  <w:t>a bölcsődei ellátás igénybevételére vonatkozó szakorvosi javaslattal rendelkező gyermeket,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Gondozási Központ vezetőjének bölcsődei ellátás igénybevételére vonatkozó javasla</w:t>
      </w:r>
      <w:r>
        <w:t>tával rendelkező gyermeket.</w:t>
      </w:r>
    </w:p>
    <w:p w:rsidR="00BA1F3B" w:rsidRDefault="008A5F52">
      <w:pPr>
        <w:pStyle w:val="Szvegtrzs"/>
        <w:spacing w:before="240" w:after="0" w:line="240" w:lineRule="auto"/>
        <w:jc w:val="both"/>
      </w:pPr>
      <w:r>
        <w:t>(6) A bölcsődei felvételről a bölcsőde szakmai vezetője 15 munkanapon belül írásban értesíti a szülőt, törvényes képviselőt, amely ellen a kézhezvételtől számított 8 munkanapon belül kifogással lehet élni, amit írásban kell beny</w:t>
      </w:r>
      <w:r>
        <w:t>újtani az intézmény vezetőjének.</w:t>
      </w:r>
    </w:p>
    <w:p w:rsidR="00BA1F3B" w:rsidRDefault="008A5F52">
      <w:pPr>
        <w:pStyle w:val="Szvegtrzs"/>
        <w:spacing w:before="240" w:after="0" w:line="240" w:lineRule="auto"/>
        <w:jc w:val="both"/>
      </w:pPr>
      <w:r>
        <w:t>(7) A bölcsődei ellátás megszűnik,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bölcsődei nevelési év végén, ha a gyermek a harmadik életévét a nevelési év folyamán betöltötte;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kérelmezett időpontban, ha az ellátás megszüntetését a jogosult, illetve törvényes </w:t>
      </w:r>
      <w:r>
        <w:t>képviselője kérelmezi;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óvodai nevelésre nem érett gyermek esetén a 4. életévének betöltését követő nevelési év végén;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sajátos nevelési igényű gyermek esetén annak a nevelési évnek a végéig, amely évben a 6. életévét betölti,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bölcsődei férőh</w:t>
      </w:r>
      <w:r>
        <w:t>elyek folyamatos biztosítása céljából, ha a gyermek betöltötte a 2 és fél éves (30 hónapos) kort a MOB valamely óvodai csoportja biztosítja a továbbiakban a férőhelyet a gyermek számára a törvényes képviselő egyetértésével;</w:t>
      </w:r>
    </w:p>
    <w:p w:rsidR="00BA1F3B" w:rsidRDefault="008A5F5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ha a gyermek orvosi szakvélem</w:t>
      </w:r>
      <w:r>
        <w:t>ény szerint egészségi állapota miatt bölcsődében nem gondozható, vagy magatartászavara veszélyezteti a többi gyermek fejlődését;</w:t>
      </w:r>
    </w:p>
    <w:p w:rsidR="00BA1F3B" w:rsidRDefault="008A5F5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bölcsődei nevelési év végén, ha az intézmény jogutód nélkül megszűnik.”</w:t>
      </w:r>
    </w:p>
    <w:p w:rsidR="00BA1F3B" w:rsidRDefault="008A5F5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A1F3B" w:rsidRDefault="008A5F52">
      <w:pPr>
        <w:pStyle w:val="Szvegtrzs"/>
        <w:spacing w:after="0" w:line="240" w:lineRule="auto"/>
        <w:jc w:val="both"/>
        <w:sectPr w:rsidR="00BA1F3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2024. április 1-jén lép hatályba.</w:t>
      </w:r>
    </w:p>
    <w:p w:rsidR="00BA1F3B" w:rsidRDefault="00BA1F3B">
      <w:pPr>
        <w:pStyle w:val="Szvegtrzs"/>
        <w:spacing w:after="0"/>
        <w:jc w:val="center"/>
      </w:pPr>
    </w:p>
    <w:p w:rsidR="00BA1F3B" w:rsidRDefault="008A5F52">
      <w:pPr>
        <w:pStyle w:val="Szvegtrzs"/>
        <w:spacing w:before="476" w:after="159" w:line="240" w:lineRule="auto"/>
        <w:ind w:left="159" w:right="159"/>
        <w:jc w:val="center"/>
      </w:pPr>
      <w:bookmarkStart w:id="0" w:name="_GoBack"/>
      <w:r>
        <w:t>Részletes indokolás</w:t>
      </w:r>
    </w:p>
    <w:p w:rsidR="00BA1F3B" w:rsidRDefault="008A5F5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BA1F3B" w:rsidRDefault="008A5F52">
      <w:pPr>
        <w:pStyle w:val="Szvegtrzs"/>
        <w:spacing w:after="0" w:line="240" w:lineRule="auto"/>
        <w:jc w:val="both"/>
      </w:pPr>
      <w:r w:rsidRPr="008A5F52">
        <w:rPr>
          <w:iCs/>
        </w:rPr>
        <w:t>A</w:t>
      </w:r>
      <w:r>
        <w:rPr>
          <w:i/>
          <w:iCs/>
        </w:rPr>
        <w:t xml:space="preserve"> </w:t>
      </w:r>
      <w:r>
        <w:t xml:space="preserve">gyermekek védelméről és a gyámügyi igazgatásról szóló 1997. évi </w:t>
      </w:r>
      <w:r>
        <w:t>XXXI. tv. 29. § (1)-(3) bekezdése szerint a fenntartó önkormányzat rendeletben szabályozza az önkormányzat által biztosított ellátás igénybevételére irányuló kérelem benyújtásának módját és a kérelem elbírálásának szempontjait, az ellátás megszűnésének ese</w:t>
      </w:r>
      <w:r>
        <w:t>teit és módjait. Ezen jogszabályi kötelezettségnek eleget téve, a bölcsődei ellátáshoz kapcsolódóan a rendelet 13. §-a újraszabályozásra kerül.</w:t>
      </w:r>
    </w:p>
    <w:p w:rsidR="00BA1F3B" w:rsidRDefault="008A5F52">
      <w:pPr>
        <w:pStyle w:val="Szvegtrzs"/>
        <w:spacing w:after="0" w:line="240" w:lineRule="auto"/>
        <w:jc w:val="both"/>
      </w:pPr>
      <w:r>
        <w:t> </w:t>
      </w:r>
    </w:p>
    <w:p w:rsidR="00BA1F3B" w:rsidRDefault="008A5F5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BA1F3B" w:rsidRDefault="008A5F52" w:rsidP="008A5F52">
      <w:pPr>
        <w:pStyle w:val="Szvegtrzs"/>
        <w:spacing w:before="159" w:after="159" w:line="240" w:lineRule="auto"/>
        <w:ind w:right="159"/>
        <w:jc w:val="both"/>
      </w:pPr>
      <w:r>
        <w:t>Hatályba léptető rendelkezést tartalmaz.</w:t>
      </w:r>
    </w:p>
    <w:bookmarkEnd w:id="0"/>
    <w:p w:rsidR="008A5F52" w:rsidRDefault="008A5F52">
      <w:pPr>
        <w:pStyle w:val="Szvegtrzs"/>
        <w:spacing w:before="159" w:after="159" w:line="240" w:lineRule="auto"/>
        <w:ind w:left="159" w:right="159"/>
        <w:jc w:val="both"/>
      </w:pPr>
    </w:p>
    <w:sectPr w:rsidR="008A5F5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5F52">
      <w:r>
        <w:separator/>
      </w:r>
    </w:p>
  </w:endnote>
  <w:endnote w:type="continuationSeparator" w:id="0">
    <w:p w:rsidR="00000000" w:rsidRDefault="008A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3B" w:rsidRDefault="008A5F5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3B" w:rsidRDefault="008A5F5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5F52">
      <w:r>
        <w:separator/>
      </w:r>
    </w:p>
  </w:footnote>
  <w:footnote w:type="continuationSeparator" w:id="0">
    <w:p w:rsidR="00000000" w:rsidRDefault="008A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4C6"/>
    <w:multiLevelType w:val="multilevel"/>
    <w:tmpl w:val="8F761FF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3B"/>
    <w:rsid w:val="008A5F52"/>
    <w:rsid w:val="00B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FC38"/>
  <w15:docId w15:val="{F5F6F82C-EEA6-4CF7-A83C-F670E7EE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Aljegyző</cp:lastModifiedBy>
  <cp:revision>4</cp:revision>
  <dcterms:created xsi:type="dcterms:W3CDTF">2017-08-15T13:24:00Z</dcterms:created>
  <dcterms:modified xsi:type="dcterms:W3CDTF">2024-03-14T17:15:00Z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