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FC948" w14:textId="77777777" w:rsidR="006325C2" w:rsidRPr="0036003D" w:rsidRDefault="006325C2" w:rsidP="006325C2">
      <w:pPr>
        <w:jc w:val="right"/>
        <w:rPr>
          <w:i/>
          <w:color w:val="3366FF"/>
          <w:sz w:val="22"/>
          <w:szCs w:val="22"/>
          <w:highlight w:val="green"/>
        </w:rPr>
      </w:pPr>
      <w:r w:rsidRPr="0036003D">
        <w:rPr>
          <w:i/>
          <w:color w:val="3366FF"/>
          <w:sz w:val="22"/>
          <w:szCs w:val="22"/>
          <w:highlight w:val="green"/>
        </w:rPr>
        <w:t>A határozati javaslat elfogadásához</w:t>
      </w:r>
    </w:p>
    <w:p w14:paraId="0379CA58" w14:textId="77777777" w:rsidR="006325C2" w:rsidRPr="0036003D" w:rsidRDefault="006325C2" w:rsidP="006325C2">
      <w:pPr>
        <w:jc w:val="right"/>
        <w:rPr>
          <w:i/>
          <w:color w:val="3366FF"/>
          <w:sz w:val="22"/>
          <w:szCs w:val="22"/>
          <w:highlight w:val="green"/>
        </w:rPr>
      </w:pPr>
      <w:r w:rsidRPr="0036003D">
        <w:rPr>
          <w:b/>
          <w:bCs/>
          <w:i/>
          <w:color w:val="3366FF"/>
          <w:sz w:val="22"/>
          <w:szCs w:val="22"/>
          <w:highlight w:val="green"/>
          <w:u w:val="single"/>
        </w:rPr>
        <w:t>egyszerű</w:t>
      </w:r>
      <w:r w:rsidRPr="0036003D">
        <w:rPr>
          <w:i/>
          <w:color w:val="3366FF"/>
          <w:sz w:val="22"/>
          <w:szCs w:val="22"/>
          <w:highlight w:val="green"/>
        </w:rPr>
        <w:t xml:space="preserve"> többség szükséges,</w:t>
      </w:r>
    </w:p>
    <w:p w14:paraId="725436C1" w14:textId="77777777" w:rsidR="006325C2" w:rsidRPr="0036003D" w:rsidRDefault="006325C2" w:rsidP="006325C2">
      <w:pPr>
        <w:jc w:val="right"/>
        <w:rPr>
          <w:i/>
          <w:color w:val="3366FF"/>
          <w:sz w:val="22"/>
          <w:szCs w:val="22"/>
          <w:highlight w:val="green"/>
        </w:rPr>
      </w:pPr>
      <w:r w:rsidRPr="0036003D">
        <w:rPr>
          <w:i/>
          <w:color w:val="3366FF"/>
          <w:sz w:val="22"/>
          <w:szCs w:val="22"/>
          <w:highlight w:val="green"/>
        </w:rPr>
        <w:t>a rendelet tervezet elfogadásához</w:t>
      </w:r>
    </w:p>
    <w:p w14:paraId="23C59170" w14:textId="7237F06C" w:rsidR="006325C2" w:rsidRPr="0036003D" w:rsidRDefault="006325C2" w:rsidP="006325C2">
      <w:pPr>
        <w:jc w:val="right"/>
        <w:rPr>
          <w:i/>
          <w:color w:val="3366FF"/>
          <w:sz w:val="22"/>
          <w:szCs w:val="22"/>
          <w:highlight w:val="green"/>
        </w:rPr>
      </w:pPr>
      <w:r w:rsidRPr="0036003D">
        <w:rPr>
          <w:b/>
          <w:i/>
          <w:color w:val="3366FF"/>
          <w:sz w:val="22"/>
          <w:szCs w:val="22"/>
          <w:highlight w:val="green"/>
          <w:u w:val="single"/>
        </w:rPr>
        <w:t xml:space="preserve">az </w:t>
      </w:r>
      <w:proofErr w:type="spellStart"/>
      <w:r w:rsidRPr="0036003D">
        <w:rPr>
          <w:b/>
          <w:i/>
          <w:color w:val="3366FF"/>
          <w:sz w:val="22"/>
          <w:szCs w:val="22"/>
          <w:highlight w:val="green"/>
          <w:u w:val="single"/>
        </w:rPr>
        <w:t>Mötv</w:t>
      </w:r>
      <w:proofErr w:type="spellEnd"/>
      <w:r w:rsidRPr="0036003D">
        <w:rPr>
          <w:b/>
          <w:i/>
          <w:color w:val="3366FF"/>
          <w:sz w:val="22"/>
          <w:szCs w:val="22"/>
          <w:highlight w:val="green"/>
          <w:u w:val="single"/>
        </w:rPr>
        <w:t xml:space="preserve">. 50. §-a alapján minősített </w:t>
      </w:r>
      <w:r w:rsidRPr="0036003D">
        <w:rPr>
          <w:i/>
          <w:color w:val="3366FF"/>
          <w:sz w:val="22"/>
          <w:szCs w:val="22"/>
          <w:highlight w:val="green"/>
        </w:rPr>
        <w:t>többség sz</w:t>
      </w:r>
      <w:r w:rsidR="000964AC" w:rsidRPr="0036003D">
        <w:rPr>
          <w:i/>
          <w:color w:val="3366FF"/>
          <w:sz w:val="22"/>
          <w:szCs w:val="22"/>
          <w:highlight w:val="green"/>
        </w:rPr>
        <w:t>ü</w:t>
      </w:r>
      <w:r w:rsidRPr="0036003D">
        <w:rPr>
          <w:i/>
          <w:color w:val="3366FF"/>
          <w:sz w:val="22"/>
          <w:szCs w:val="22"/>
          <w:highlight w:val="green"/>
        </w:rPr>
        <w:t>kséges,</w:t>
      </w:r>
    </w:p>
    <w:p w14:paraId="6D692AF6" w14:textId="77777777" w:rsidR="006325C2" w:rsidRDefault="006325C2" w:rsidP="006325C2">
      <w:pPr>
        <w:jc w:val="right"/>
        <w:rPr>
          <w:i/>
          <w:color w:val="3366FF"/>
          <w:sz w:val="22"/>
          <w:szCs w:val="22"/>
        </w:rPr>
      </w:pPr>
      <w:r w:rsidRPr="0036003D">
        <w:rPr>
          <w:i/>
          <w:color w:val="3366FF"/>
          <w:sz w:val="22"/>
          <w:szCs w:val="22"/>
          <w:highlight w:val="green"/>
        </w:rPr>
        <w:t xml:space="preserve">az előterjesztés </w:t>
      </w:r>
      <w:r w:rsidRPr="0036003D">
        <w:rPr>
          <w:b/>
          <w:i/>
          <w:color w:val="3366FF"/>
          <w:sz w:val="22"/>
          <w:szCs w:val="22"/>
          <w:highlight w:val="green"/>
          <w:u w:val="single"/>
        </w:rPr>
        <w:t>nyilvános ülésen tárgyalható</w:t>
      </w:r>
      <w:r w:rsidRPr="0036003D">
        <w:rPr>
          <w:i/>
          <w:color w:val="3366FF"/>
          <w:sz w:val="22"/>
          <w:szCs w:val="22"/>
          <w:highlight w:val="green"/>
        </w:rPr>
        <w:t>!</w:t>
      </w:r>
    </w:p>
    <w:p w14:paraId="76A1FED3" w14:textId="77777777" w:rsidR="006325C2" w:rsidRDefault="006325C2" w:rsidP="006325C2">
      <w:pPr>
        <w:jc w:val="both"/>
        <w:rPr>
          <w:color w:val="3366FF"/>
        </w:rPr>
      </w:pPr>
    </w:p>
    <w:p w14:paraId="562F1E1A" w14:textId="77777777" w:rsidR="006325C2" w:rsidRDefault="006325C2" w:rsidP="006325C2">
      <w:pPr>
        <w:jc w:val="both"/>
        <w:rPr>
          <w:color w:val="3366FF"/>
        </w:rPr>
      </w:pPr>
    </w:p>
    <w:p w14:paraId="68A2B47E" w14:textId="6A26E6A0" w:rsidR="006325C2" w:rsidRDefault="003938D6" w:rsidP="00D909FB">
      <w:pPr>
        <w:jc w:val="center"/>
        <w:rPr>
          <w:rFonts w:ascii="Arial" w:hAnsi="Arial" w:cs="Arial"/>
          <w:bCs/>
          <w:i/>
          <w:color w:val="3366FF"/>
          <w:sz w:val="32"/>
          <w:szCs w:val="32"/>
          <w:u w:val="single"/>
        </w:rPr>
      </w:pPr>
      <w:r>
        <w:rPr>
          <w:rFonts w:ascii="Arial" w:hAnsi="Arial" w:cs="Arial"/>
          <w:bCs/>
          <w:i/>
          <w:color w:val="3366FF"/>
          <w:sz w:val="32"/>
          <w:szCs w:val="32"/>
          <w:u w:val="single"/>
        </w:rPr>
        <w:t>23</w:t>
      </w:r>
      <w:r w:rsidR="006325C2">
        <w:rPr>
          <w:rFonts w:ascii="Arial" w:hAnsi="Arial" w:cs="Arial"/>
          <w:bCs/>
          <w:i/>
          <w:color w:val="3366FF"/>
          <w:sz w:val="32"/>
          <w:szCs w:val="32"/>
          <w:u w:val="single"/>
        </w:rPr>
        <w:t>. számú előterjesztés</w:t>
      </w:r>
    </w:p>
    <w:p w14:paraId="44F338F0" w14:textId="77777777" w:rsidR="006325C2" w:rsidRDefault="006325C2" w:rsidP="006325C2">
      <w:pPr>
        <w:jc w:val="center"/>
        <w:rPr>
          <w:rFonts w:ascii="Arial" w:hAnsi="Arial" w:cs="Arial"/>
          <w:i/>
          <w:iCs/>
          <w:color w:val="3366FF"/>
          <w:u w:val="single"/>
        </w:rPr>
      </w:pPr>
    </w:p>
    <w:p w14:paraId="41DC2FFF" w14:textId="77D6C8DC" w:rsidR="006325C2" w:rsidRDefault="006325C2" w:rsidP="006325C2">
      <w:pPr>
        <w:jc w:val="center"/>
        <w:rPr>
          <w:rFonts w:ascii="Arial" w:hAnsi="Arial" w:cs="Arial"/>
          <w:color w:val="3366FF"/>
          <w:sz w:val="22"/>
          <w:szCs w:val="22"/>
        </w:rPr>
      </w:pPr>
      <w:r>
        <w:rPr>
          <w:rFonts w:ascii="Arial" w:hAnsi="Arial" w:cs="Arial"/>
          <w:color w:val="3366FF"/>
          <w:sz w:val="22"/>
          <w:szCs w:val="22"/>
        </w:rPr>
        <w:t>Bátaszék Város Önkormány</w:t>
      </w:r>
      <w:r w:rsidR="00E11606">
        <w:rPr>
          <w:rFonts w:ascii="Arial" w:hAnsi="Arial" w:cs="Arial"/>
          <w:color w:val="3366FF"/>
          <w:sz w:val="22"/>
          <w:szCs w:val="22"/>
        </w:rPr>
        <w:t>zata</w:t>
      </w:r>
      <w:r w:rsidR="00CC4668">
        <w:rPr>
          <w:rFonts w:ascii="Arial" w:hAnsi="Arial" w:cs="Arial"/>
          <w:color w:val="3366FF"/>
          <w:sz w:val="22"/>
          <w:szCs w:val="22"/>
        </w:rPr>
        <w:t xml:space="preserve"> Képviselő-testületének 2025</w:t>
      </w:r>
      <w:r w:rsidR="00E11606">
        <w:rPr>
          <w:rFonts w:ascii="Arial" w:hAnsi="Arial" w:cs="Arial"/>
          <w:color w:val="3366FF"/>
          <w:sz w:val="22"/>
          <w:szCs w:val="22"/>
        </w:rPr>
        <w:t>. február 1</w:t>
      </w:r>
      <w:r w:rsidR="00CC4668">
        <w:rPr>
          <w:rFonts w:ascii="Arial" w:hAnsi="Arial" w:cs="Arial"/>
          <w:color w:val="3366FF"/>
          <w:sz w:val="22"/>
          <w:szCs w:val="22"/>
        </w:rPr>
        <w:t>2</w:t>
      </w:r>
      <w:r>
        <w:rPr>
          <w:rFonts w:ascii="Arial" w:hAnsi="Arial" w:cs="Arial"/>
          <w:color w:val="3366FF"/>
          <w:sz w:val="22"/>
          <w:szCs w:val="22"/>
        </w:rPr>
        <w:t>-én,</w:t>
      </w:r>
    </w:p>
    <w:p w14:paraId="372A1730" w14:textId="77777777" w:rsidR="006325C2" w:rsidRDefault="006325C2" w:rsidP="006325C2">
      <w:pPr>
        <w:spacing w:before="120"/>
        <w:jc w:val="center"/>
        <w:rPr>
          <w:rFonts w:ascii="Arial" w:hAnsi="Arial" w:cs="Arial"/>
          <w:color w:val="3366FF"/>
          <w:sz w:val="22"/>
          <w:szCs w:val="22"/>
        </w:rPr>
      </w:pPr>
      <w:r>
        <w:rPr>
          <w:rFonts w:ascii="Arial" w:hAnsi="Arial" w:cs="Arial"/>
          <w:color w:val="3366FF"/>
          <w:sz w:val="22"/>
          <w:szCs w:val="22"/>
        </w:rPr>
        <w:t>16 órakor megtartandó</w:t>
      </w:r>
      <w:r>
        <w:rPr>
          <w:rFonts w:ascii="Arial" w:hAnsi="Arial" w:cs="Arial"/>
          <w:caps/>
          <w:color w:val="3366FF"/>
          <w:sz w:val="22"/>
          <w:szCs w:val="22"/>
        </w:rPr>
        <w:t xml:space="preserve"> </w:t>
      </w:r>
      <w:r>
        <w:rPr>
          <w:rFonts w:ascii="Arial" w:hAnsi="Arial" w:cs="Arial"/>
          <w:color w:val="3366FF"/>
          <w:sz w:val="22"/>
          <w:szCs w:val="22"/>
        </w:rPr>
        <w:t>ülésére</w:t>
      </w:r>
    </w:p>
    <w:p w14:paraId="64C86633" w14:textId="77777777" w:rsidR="006325C2" w:rsidRPr="00ED4DCE" w:rsidRDefault="006325C2" w:rsidP="006325C2">
      <w:pPr>
        <w:jc w:val="center"/>
        <w:rPr>
          <w:color w:val="3366FF"/>
        </w:rPr>
      </w:pPr>
    </w:p>
    <w:p w14:paraId="7705A397" w14:textId="03BDBC90" w:rsidR="006325C2" w:rsidRPr="00357171" w:rsidRDefault="006325C2" w:rsidP="006325C2">
      <w:pPr>
        <w:widowControl w:val="0"/>
        <w:tabs>
          <w:tab w:val="left" w:pos="540"/>
        </w:tabs>
        <w:autoSpaceDE w:val="0"/>
        <w:autoSpaceDN w:val="0"/>
        <w:adjustRightInd w:val="0"/>
        <w:jc w:val="center"/>
        <w:rPr>
          <w:rFonts w:ascii="Arial" w:hAnsi="Arial" w:cs="Arial"/>
          <w:bCs/>
          <w:iCs/>
          <w:color w:val="3366FF"/>
          <w:sz w:val="32"/>
          <w:szCs w:val="32"/>
          <w:u w:val="single"/>
        </w:rPr>
      </w:pPr>
      <w:r w:rsidRPr="00357171">
        <w:rPr>
          <w:rFonts w:ascii="Arial" w:hAnsi="Arial" w:cs="Arial"/>
          <w:bCs/>
          <w:iCs/>
          <w:color w:val="3366FF"/>
          <w:sz w:val="32"/>
          <w:szCs w:val="32"/>
          <w:u w:val="single"/>
        </w:rPr>
        <w:t xml:space="preserve">Bátaszék Város </w:t>
      </w:r>
      <w:r w:rsidR="00CC4668">
        <w:rPr>
          <w:rFonts w:ascii="Arial" w:hAnsi="Arial" w:cs="Arial"/>
          <w:bCs/>
          <w:iCs/>
          <w:color w:val="3366FF"/>
          <w:sz w:val="32"/>
          <w:szCs w:val="32"/>
          <w:u w:val="single"/>
        </w:rPr>
        <w:t>Önkormányzata 2025</w:t>
      </w:r>
      <w:r w:rsidRPr="00383FBB">
        <w:rPr>
          <w:rFonts w:ascii="Arial" w:hAnsi="Arial" w:cs="Arial"/>
          <w:bCs/>
          <w:iCs/>
          <w:color w:val="3366FF"/>
          <w:sz w:val="32"/>
          <w:szCs w:val="32"/>
          <w:u w:val="single"/>
        </w:rPr>
        <w:t xml:space="preserve">. évi </w:t>
      </w:r>
      <w:r w:rsidR="00383FBB">
        <w:rPr>
          <w:rFonts w:ascii="Arial" w:hAnsi="Arial" w:cs="Arial"/>
          <w:bCs/>
          <w:iCs/>
          <w:color w:val="3366FF"/>
          <w:sz w:val="32"/>
          <w:szCs w:val="32"/>
          <w:u w:val="single"/>
        </w:rPr>
        <w:t>költségvetésének tárgyalása</w:t>
      </w:r>
    </w:p>
    <w:p w14:paraId="2E61DBBB" w14:textId="77777777" w:rsidR="006325C2" w:rsidRPr="00357171" w:rsidRDefault="006325C2" w:rsidP="006325C2">
      <w:pPr>
        <w:tabs>
          <w:tab w:val="left" w:pos="567"/>
          <w:tab w:val="left" w:pos="6237"/>
        </w:tabs>
        <w:ind w:left="3119"/>
        <w:jc w:val="both"/>
        <w:rPr>
          <w:rFonts w:ascii="Arial" w:hAnsi="Arial" w:cs="Arial"/>
          <w:bCs/>
          <w:i/>
          <w:iCs/>
          <w:color w:val="3366FF"/>
          <w:sz w:val="22"/>
          <w:szCs w:val="22"/>
          <w:u w:val="single"/>
        </w:rPr>
      </w:pPr>
    </w:p>
    <w:tbl>
      <w:tblPr>
        <w:tblW w:w="0" w:type="auto"/>
        <w:jc w:val="center"/>
        <w:tblLook w:val="0000" w:firstRow="0" w:lastRow="0" w:firstColumn="0" w:lastColumn="0" w:noHBand="0" w:noVBand="0"/>
      </w:tblPr>
      <w:tblGrid>
        <w:gridCol w:w="7236"/>
      </w:tblGrid>
      <w:tr w:rsidR="006325C2" w:rsidRPr="00ED4DCE" w14:paraId="2253C587" w14:textId="77777777" w:rsidTr="00294D69">
        <w:trPr>
          <w:trHeight w:val="2026"/>
          <w:jc w:val="center"/>
        </w:trPr>
        <w:tc>
          <w:tcPr>
            <w:tcW w:w="7236" w:type="dxa"/>
            <w:tcBorders>
              <w:top w:val="single" w:sz="18" w:space="0" w:color="auto"/>
              <w:left w:val="single" w:sz="18" w:space="0" w:color="auto"/>
              <w:bottom w:val="single" w:sz="18" w:space="0" w:color="auto"/>
              <w:right w:val="single" w:sz="18" w:space="0" w:color="auto"/>
            </w:tcBorders>
          </w:tcPr>
          <w:p w14:paraId="7B3762C8" w14:textId="77777777" w:rsidR="006325C2" w:rsidRPr="00ED4DCE" w:rsidRDefault="006325C2" w:rsidP="00294D69">
            <w:pPr>
              <w:tabs>
                <w:tab w:val="left" w:pos="1843"/>
              </w:tabs>
              <w:snapToGrid w:val="0"/>
              <w:jc w:val="both"/>
              <w:rPr>
                <w:rFonts w:ascii="Arial" w:hAnsi="Arial" w:cs="Arial"/>
                <w:b/>
                <w:bCs/>
                <w:color w:val="3366FF"/>
                <w:sz w:val="22"/>
                <w:szCs w:val="22"/>
                <w:u w:val="single"/>
              </w:rPr>
            </w:pPr>
          </w:p>
          <w:p w14:paraId="16D5884C" w14:textId="354E2D65" w:rsidR="006325C2" w:rsidRPr="00ED4DCE" w:rsidRDefault="006325C2" w:rsidP="00294D69">
            <w:pPr>
              <w:tabs>
                <w:tab w:val="left" w:pos="1843"/>
              </w:tabs>
              <w:rPr>
                <w:rFonts w:ascii="Arial" w:hAnsi="Arial" w:cs="Arial"/>
                <w:color w:val="3366FF"/>
                <w:sz w:val="22"/>
                <w:szCs w:val="22"/>
              </w:rPr>
            </w:pPr>
            <w:r w:rsidRPr="00ED4DCE">
              <w:rPr>
                <w:rFonts w:ascii="Arial" w:hAnsi="Arial" w:cs="Arial"/>
                <w:b/>
                <w:bCs/>
                <w:color w:val="3366FF"/>
                <w:sz w:val="22"/>
                <w:szCs w:val="22"/>
                <w:u w:val="single"/>
              </w:rPr>
              <w:t>Előterjesztő:</w:t>
            </w:r>
            <w:r w:rsidR="005B1B87">
              <w:rPr>
                <w:rFonts w:ascii="Arial" w:hAnsi="Arial" w:cs="Arial"/>
                <w:color w:val="3366FF"/>
                <w:sz w:val="22"/>
                <w:szCs w:val="22"/>
              </w:rPr>
              <w:t xml:space="preserve"> d</w:t>
            </w:r>
            <w:r>
              <w:rPr>
                <w:rFonts w:ascii="Arial" w:hAnsi="Arial" w:cs="Arial"/>
                <w:color w:val="3366FF"/>
                <w:sz w:val="22"/>
                <w:szCs w:val="22"/>
              </w:rPr>
              <w:t>r. Bozsolik Róbert polgármester</w:t>
            </w:r>
          </w:p>
          <w:p w14:paraId="18DA85FB" w14:textId="77777777" w:rsidR="006325C2" w:rsidRPr="00ED4DCE" w:rsidRDefault="006325C2" w:rsidP="00294D69">
            <w:pPr>
              <w:rPr>
                <w:rFonts w:ascii="Arial" w:hAnsi="Arial" w:cs="Arial"/>
                <w:b/>
                <w:bCs/>
                <w:color w:val="3366FF"/>
                <w:sz w:val="22"/>
                <w:szCs w:val="22"/>
                <w:u w:val="single"/>
              </w:rPr>
            </w:pPr>
          </w:p>
          <w:p w14:paraId="09EDA118" w14:textId="3B23C565" w:rsidR="006325C2" w:rsidRDefault="006325C2" w:rsidP="00860B38">
            <w:pPr>
              <w:rPr>
                <w:rFonts w:ascii="Arial" w:hAnsi="Arial" w:cs="Arial"/>
                <w:color w:val="3366FF"/>
                <w:sz w:val="22"/>
                <w:szCs w:val="22"/>
              </w:rPr>
            </w:pPr>
            <w:r w:rsidRPr="00ED4DCE">
              <w:rPr>
                <w:rFonts w:ascii="Arial" w:hAnsi="Arial" w:cs="Arial"/>
                <w:b/>
                <w:bCs/>
                <w:color w:val="3366FF"/>
                <w:sz w:val="22"/>
                <w:szCs w:val="22"/>
                <w:u w:val="single"/>
              </w:rPr>
              <w:t>Készítette</w:t>
            </w:r>
            <w:r w:rsidR="00E11606">
              <w:rPr>
                <w:rFonts w:ascii="Arial" w:hAnsi="Arial" w:cs="Arial"/>
                <w:color w:val="3366FF"/>
                <w:sz w:val="22"/>
                <w:szCs w:val="22"/>
              </w:rPr>
              <w:t xml:space="preserve">: </w:t>
            </w:r>
            <w:r>
              <w:rPr>
                <w:rFonts w:ascii="Arial" w:hAnsi="Arial" w:cs="Arial"/>
                <w:color w:val="3366FF"/>
                <w:sz w:val="22"/>
                <w:szCs w:val="22"/>
              </w:rPr>
              <w:t xml:space="preserve">Adorján Viktória pénzügyi </w:t>
            </w:r>
            <w:r w:rsidR="006C513A">
              <w:rPr>
                <w:rFonts w:ascii="Arial" w:hAnsi="Arial" w:cs="Arial"/>
                <w:color w:val="3366FF"/>
                <w:sz w:val="22"/>
                <w:szCs w:val="22"/>
              </w:rPr>
              <w:t>ügyintéző</w:t>
            </w:r>
          </w:p>
          <w:p w14:paraId="6658837D" w14:textId="6D759196" w:rsidR="00860B38" w:rsidRDefault="00860B38" w:rsidP="00860B38">
            <w:pPr>
              <w:rPr>
                <w:rFonts w:ascii="Arial" w:hAnsi="Arial" w:cs="Arial"/>
                <w:color w:val="3366FF"/>
                <w:sz w:val="22"/>
                <w:szCs w:val="22"/>
              </w:rPr>
            </w:pPr>
            <w:r>
              <w:rPr>
                <w:rFonts w:ascii="Arial" w:hAnsi="Arial" w:cs="Arial"/>
                <w:color w:val="3366FF"/>
                <w:sz w:val="22"/>
                <w:szCs w:val="22"/>
              </w:rPr>
              <w:t xml:space="preserve">                   Tóthné Lelkes Erika pénzügyi tanácsadó</w:t>
            </w:r>
          </w:p>
          <w:p w14:paraId="7C49B9AE" w14:textId="77777777" w:rsidR="006325C2" w:rsidRPr="00ED4DCE" w:rsidRDefault="006325C2" w:rsidP="00294D69">
            <w:pPr>
              <w:rPr>
                <w:rFonts w:ascii="Arial" w:hAnsi="Arial" w:cs="Arial"/>
                <w:color w:val="3366FF"/>
                <w:sz w:val="22"/>
                <w:szCs w:val="22"/>
              </w:rPr>
            </w:pPr>
            <w:r w:rsidRPr="00ED4DCE">
              <w:rPr>
                <w:rFonts w:ascii="Arial" w:hAnsi="Arial" w:cs="Arial"/>
                <w:color w:val="3366FF"/>
                <w:sz w:val="22"/>
                <w:szCs w:val="22"/>
              </w:rPr>
              <w:t xml:space="preserve">                                       </w:t>
            </w:r>
          </w:p>
          <w:p w14:paraId="50ABCFD7" w14:textId="2CC5B2D4" w:rsidR="006325C2" w:rsidRDefault="006325C2" w:rsidP="00294D69">
            <w:pPr>
              <w:rPr>
                <w:rFonts w:ascii="Arial" w:hAnsi="Arial" w:cs="Arial"/>
                <w:color w:val="3366FF"/>
                <w:sz w:val="22"/>
                <w:szCs w:val="22"/>
              </w:rPr>
            </w:pPr>
            <w:r w:rsidRPr="00ED4DCE">
              <w:rPr>
                <w:rFonts w:ascii="Arial" w:hAnsi="Arial" w:cs="Arial"/>
                <w:b/>
                <w:bCs/>
                <w:color w:val="3366FF"/>
                <w:sz w:val="22"/>
                <w:szCs w:val="22"/>
                <w:u w:val="single"/>
              </w:rPr>
              <w:t>Törvényességi ellenőrzést végezte:</w:t>
            </w:r>
            <w:r>
              <w:rPr>
                <w:rFonts w:ascii="Arial" w:hAnsi="Arial" w:cs="Arial"/>
                <w:color w:val="3366FF"/>
                <w:sz w:val="22"/>
                <w:szCs w:val="22"/>
              </w:rPr>
              <w:t xml:space="preserve"> </w:t>
            </w:r>
            <w:r w:rsidR="00383FBB">
              <w:rPr>
                <w:rFonts w:ascii="Arial" w:hAnsi="Arial" w:cs="Arial"/>
                <w:color w:val="3366FF"/>
                <w:sz w:val="22"/>
                <w:szCs w:val="22"/>
              </w:rPr>
              <w:t xml:space="preserve">dr. </w:t>
            </w:r>
            <w:r>
              <w:rPr>
                <w:rFonts w:ascii="Arial" w:hAnsi="Arial" w:cs="Arial"/>
                <w:color w:val="3366FF"/>
                <w:sz w:val="22"/>
                <w:szCs w:val="22"/>
              </w:rPr>
              <w:t>Firle-Paksi Anna aljegyző</w:t>
            </w:r>
          </w:p>
          <w:p w14:paraId="376A4449" w14:textId="77777777" w:rsidR="00383FBB" w:rsidRDefault="00383FBB" w:rsidP="00294D69">
            <w:pPr>
              <w:rPr>
                <w:rFonts w:ascii="Arial" w:hAnsi="Arial" w:cs="Arial"/>
                <w:color w:val="3366FF"/>
                <w:sz w:val="22"/>
                <w:szCs w:val="22"/>
              </w:rPr>
            </w:pPr>
          </w:p>
          <w:p w14:paraId="6A513F79" w14:textId="77777777" w:rsidR="006325C2" w:rsidRDefault="006325C2" w:rsidP="00294D69">
            <w:pPr>
              <w:rPr>
                <w:rFonts w:ascii="Arial" w:hAnsi="Arial" w:cs="Arial"/>
                <w:b/>
                <w:color w:val="3366FF"/>
                <w:sz w:val="22"/>
                <w:szCs w:val="22"/>
                <w:u w:val="single"/>
              </w:rPr>
            </w:pPr>
            <w:r w:rsidRPr="00DD2AC2">
              <w:rPr>
                <w:rFonts w:ascii="Arial" w:hAnsi="Arial" w:cs="Arial"/>
                <w:b/>
                <w:color w:val="3366FF"/>
                <w:sz w:val="22"/>
                <w:szCs w:val="22"/>
                <w:u w:val="single"/>
              </w:rPr>
              <w:t>Tárgyalja:</w:t>
            </w:r>
          </w:p>
          <w:p w14:paraId="229B7BC9" w14:textId="77777777" w:rsidR="00FD2BE1" w:rsidRPr="00DD2AC2" w:rsidRDefault="00FD2BE1" w:rsidP="00294D69">
            <w:pPr>
              <w:rPr>
                <w:rFonts w:ascii="Arial" w:hAnsi="Arial" w:cs="Arial"/>
                <w:b/>
                <w:color w:val="3366FF"/>
                <w:sz w:val="22"/>
                <w:szCs w:val="22"/>
                <w:u w:val="single"/>
              </w:rPr>
            </w:pPr>
          </w:p>
          <w:p w14:paraId="49FCF307" w14:textId="77777777" w:rsidR="006325C2" w:rsidRPr="00183685" w:rsidRDefault="006325C2" w:rsidP="00294D69">
            <w:pPr>
              <w:rPr>
                <w:rFonts w:ascii="Arial" w:hAnsi="Arial" w:cs="Arial"/>
                <w:color w:val="3366FF"/>
                <w:sz w:val="22"/>
                <w:szCs w:val="22"/>
              </w:rPr>
            </w:pPr>
            <w:r>
              <w:rPr>
                <w:rFonts w:ascii="Arial" w:hAnsi="Arial" w:cs="Arial"/>
                <w:color w:val="3366FF"/>
                <w:sz w:val="22"/>
                <w:szCs w:val="22"/>
              </w:rPr>
              <w:t>valamennyi bizottság</w:t>
            </w:r>
          </w:p>
          <w:p w14:paraId="080426DE" w14:textId="77777777" w:rsidR="006325C2" w:rsidRPr="00ED4DCE" w:rsidRDefault="006325C2" w:rsidP="00294D69">
            <w:pPr>
              <w:jc w:val="both"/>
              <w:rPr>
                <w:rFonts w:ascii="Arial" w:hAnsi="Arial" w:cs="Arial"/>
                <w:color w:val="3366FF"/>
                <w:sz w:val="22"/>
                <w:szCs w:val="22"/>
                <w:shd w:val="clear" w:color="auto" w:fill="FF0000"/>
              </w:rPr>
            </w:pPr>
          </w:p>
        </w:tc>
      </w:tr>
    </w:tbl>
    <w:p w14:paraId="02CD8C56" w14:textId="77777777" w:rsidR="00DA5EEA" w:rsidRPr="008D3905" w:rsidRDefault="00DA5EEA" w:rsidP="00DA5EEA">
      <w:pPr>
        <w:rPr>
          <w:rFonts w:ascii="Arial" w:hAnsi="Arial" w:cs="Arial"/>
          <w:sz w:val="20"/>
          <w:szCs w:val="20"/>
        </w:rPr>
      </w:pPr>
    </w:p>
    <w:p w14:paraId="228D6CE0" w14:textId="77777777" w:rsidR="006325C2" w:rsidRDefault="006325C2" w:rsidP="006325C2">
      <w:pPr>
        <w:pStyle w:val="Cmsor2"/>
        <w:rPr>
          <w:rFonts w:ascii="Arial" w:hAnsi="Arial" w:cs="Arial"/>
          <w:bCs w:val="0"/>
          <w:sz w:val="22"/>
          <w:szCs w:val="22"/>
        </w:rPr>
      </w:pPr>
      <w:r>
        <w:rPr>
          <w:rFonts w:ascii="Arial" w:hAnsi="Arial" w:cs="Arial"/>
          <w:bCs w:val="0"/>
          <w:sz w:val="22"/>
          <w:szCs w:val="22"/>
        </w:rPr>
        <w:t>Tisztelt Képviselő-testület!</w:t>
      </w:r>
    </w:p>
    <w:p w14:paraId="2696989B" w14:textId="77777777" w:rsidR="006325C2" w:rsidRDefault="006325C2" w:rsidP="006325C2">
      <w:pPr>
        <w:spacing w:line="276" w:lineRule="auto"/>
        <w:jc w:val="center"/>
        <w:rPr>
          <w:rFonts w:ascii="Arial" w:hAnsi="Arial" w:cs="Arial"/>
          <w:sz w:val="22"/>
          <w:szCs w:val="22"/>
        </w:rPr>
      </w:pPr>
    </w:p>
    <w:p w14:paraId="040A3927" w14:textId="77777777" w:rsidR="00D57DBC" w:rsidRDefault="00D57DBC" w:rsidP="00D57DBC">
      <w:pPr>
        <w:spacing w:line="276" w:lineRule="auto"/>
        <w:jc w:val="both"/>
        <w:rPr>
          <w:rFonts w:ascii="Arial" w:hAnsi="Arial" w:cs="Arial"/>
          <w:sz w:val="22"/>
          <w:szCs w:val="22"/>
        </w:rPr>
      </w:pPr>
      <w:r w:rsidRPr="00F224A4">
        <w:rPr>
          <w:rFonts w:ascii="Arial" w:hAnsi="Arial" w:cs="Arial"/>
          <w:sz w:val="22"/>
          <w:szCs w:val="22"/>
        </w:rPr>
        <w:t>Az Országgyűlés a Magyarország</w:t>
      </w:r>
      <w:r>
        <w:rPr>
          <w:rFonts w:ascii="Arial" w:hAnsi="Arial" w:cs="Arial"/>
          <w:sz w:val="22"/>
          <w:szCs w:val="22"/>
        </w:rPr>
        <w:t xml:space="preserve"> 2025</w:t>
      </w:r>
      <w:r w:rsidRPr="00F224A4">
        <w:rPr>
          <w:rFonts w:ascii="Arial" w:hAnsi="Arial" w:cs="Arial"/>
          <w:sz w:val="22"/>
          <w:szCs w:val="22"/>
        </w:rPr>
        <w:t>. évi központi költségvetéséről</w:t>
      </w:r>
      <w:r>
        <w:rPr>
          <w:rFonts w:ascii="Arial" w:hAnsi="Arial" w:cs="Arial"/>
          <w:sz w:val="22"/>
          <w:szCs w:val="22"/>
        </w:rPr>
        <w:t xml:space="preserve"> szóló 2024. évi XC. </w:t>
      </w:r>
      <w:r w:rsidRPr="00471F07">
        <w:rPr>
          <w:rFonts w:ascii="Arial" w:hAnsi="Arial" w:cs="Arial"/>
          <w:sz w:val="22"/>
          <w:szCs w:val="22"/>
        </w:rPr>
        <w:t>törvén</w:t>
      </w:r>
      <w:r>
        <w:rPr>
          <w:rFonts w:ascii="Arial" w:hAnsi="Arial" w:cs="Arial"/>
          <w:sz w:val="22"/>
          <w:szCs w:val="22"/>
        </w:rPr>
        <w:t xml:space="preserve">nyel </w:t>
      </w:r>
      <w:r w:rsidRPr="00F224A4">
        <w:rPr>
          <w:rFonts w:ascii="Arial" w:hAnsi="Arial" w:cs="Arial"/>
          <w:sz w:val="22"/>
          <w:szCs w:val="22"/>
        </w:rPr>
        <w:t>döntött a helyi önkormányzatok</w:t>
      </w:r>
      <w:r>
        <w:rPr>
          <w:rFonts w:ascii="Arial" w:hAnsi="Arial" w:cs="Arial"/>
          <w:sz w:val="22"/>
          <w:szCs w:val="22"/>
        </w:rPr>
        <w:t xml:space="preserve">at megillető támogatásokról is. </w:t>
      </w:r>
    </w:p>
    <w:p w14:paraId="173F48F7" w14:textId="77777777" w:rsidR="00D57DBC" w:rsidRDefault="00D57DBC" w:rsidP="00D57DBC">
      <w:pPr>
        <w:spacing w:line="276" w:lineRule="auto"/>
        <w:jc w:val="both"/>
        <w:rPr>
          <w:rFonts w:ascii="Arial" w:hAnsi="Arial" w:cs="Arial"/>
          <w:sz w:val="22"/>
          <w:szCs w:val="22"/>
        </w:rPr>
      </w:pPr>
    </w:p>
    <w:p w14:paraId="71DEDD41" w14:textId="33C6DDA3" w:rsidR="00D57DBC" w:rsidRPr="00D57DBC" w:rsidRDefault="00D57DBC" w:rsidP="00D57DBC">
      <w:pPr>
        <w:spacing w:line="276" w:lineRule="auto"/>
        <w:jc w:val="both"/>
        <w:rPr>
          <w:rFonts w:ascii="Arial" w:hAnsi="Arial" w:cs="Arial"/>
          <w:b/>
          <w:bCs/>
          <w:sz w:val="22"/>
          <w:szCs w:val="22"/>
        </w:rPr>
      </w:pPr>
      <w:r>
        <w:rPr>
          <w:rFonts w:ascii="Arial" w:hAnsi="Arial" w:cs="Arial"/>
          <w:sz w:val="22"/>
          <w:szCs w:val="22"/>
        </w:rPr>
        <w:t>A minimálbér és a garantált bérminimum megállapításáról szóló 394/2024. (XII.12.) kormányrendelet alapján, valamint a pedagógusok illetményével kapcsolatos jogszabályok megjelenése miatt a költségvetési törvény 2. mellékle</w:t>
      </w:r>
      <w:r w:rsidR="007259F5">
        <w:rPr>
          <w:rFonts w:ascii="Arial" w:hAnsi="Arial" w:cs="Arial"/>
          <w:sz w:val="22"/>
          <w:szCs w:val="22"/>
        </w:rPr>
        <w:t>te</w:t>
      </w:r>
      <w:r>
        <w:rPr>
          <w:rFonts w:ascii="Arial" w:hAnsi="Arial" w:cs="Arial"/>
          <w:sz w:val="22"/>
          <w:szCs w:val="22"/>
        </w:rPr>
        <w:t xml:space="preserve"> szerinti egyes támogatások fajlagos összegei megemelésre kerültek, alapvetően így került meghatározásra az önkormányzatunkat a 2025. évben megillető állami támogatás eredeti előirányzata. Ettől eltérő a szabályozás a </w:t>
      </w:r>
      <w:r w:rsidRPr="00D57DBC">
        <w:rPr>
          <w:rFonts w:ascii="Arial" w:hAnsi="Arial" w:cs="Arial"/>
          <w:b/>
          <w:bCs/>
          <w:sz w:val="22"/>
          <w:szCs w:val="22"/>
        </w:rPr>
        <w:t>Közös Önkormányzati Hivatalok fenntartása esetén, mely esetben a 2024. évi támogatás szintjén és az előző évi struktúra alapján biztosított az eredeti előirányzat.</w:t>
      </w:r>
    </w:p>
    <w:p w14:paraId="0DDB094B" w14:textId="77777777" w:rsidR="00D57DBC" w:rsidRDefault="00D57DBC" w:rsidP="00D57DBC">
      <w:pPr>
        <w:spacing w:line="276" w:lineRule="auto"/>
        <w:jc w:val="both"/>
        <w:rPr>
          <w:rFonts w:ascii="Arial" w:hAnsi="Arial" w:cs="Arial"/>
          <w:sz w:val="22"/>
          <w:szCs w:val="22"/>
        </w:rPr>
      </w:pPr>
    </w:p>
    <w:p w14:paraId="27002D55" w14:textId="403F6C1B" w:rsidR="00D57DBC" w:rsidRPr="00F224A4" w:rsidRDefault="00D57DBC" w:rsidP="00D57DBC">
      <w:pPr>
        <w:spacing w:line="276" w:lineRule="auto"/>
        <w:jc w:val="both"/>
        <w:rPr>
          <w:rFonts w:ascii="Arial" w:hAnsi="Arial" w:cs="Arial"/>
          <w:sz w:val="22"/>
          <w:szCs w:val="22"/>
        </w:rPr>
      </w:pPr>
      <w:r w:rsidRPr="00F224A4">
        <w:rPr>
          <w:rFonts w:ascii="Arial" w:hAnsi="Arial" w:cs="Arial"/>
          <w:sz w:val="22"/>
          <w:szCs w:val="22"/>
        </w:rPr>
        <w:t>A hatályos jogi szabályozásnak me</w:t>
      </w:r>
      <w:r>
        <w:rPr>
          <w:rFonts w:ascii="Arial" w:hAnsi="Arial" w:cs="Arial"/>
          <w:sz w:val="22"/>
          <w:szCs w:val="22"/>
        </w:rPr>
        <w:t>gfelelően a helyi önkormányzat képviselő-testülete elé a polgármesternek 2025.</w:t>
      </w:r>
      <w:r w:rsidRPr="00F224A4">
        <w:rPr>
          <w:rFonts w:ascii="Arial" w:hAnsi="Arial" w:cs="Arial"/>
          <w:sz w:val="22"/>
          <w:szCs w:val="22"/>
        </w:rPr>
        <w:t xml:space="preserve"> február 15-éig kell benyújtania a</w:t>
      </w:r>
      <w:r>
        <w:rPr>
          <w:rFonts w:ascii="Arial" w:hAnsi="Arial" w:cs="Arial"/>
          <w:sz w:val="22"/>
          <w:szCs w:val="22"/>
        </w:rPr>
        <w:t>z önkormányzat</w:t>
      </w:r>
      <w:r w:rsidRPr="00F224A4">
        <w:rPr>
          <w:rFonts w:ascii="Arial" w:hAnsi="Arial" w:cs="Arial"/>
          <w:sz w:val="22"/>
          <w:szCs w:val="22"/>
        </w:rPr>
        <w:t xml:space="preserve"> költségvetés</w:t>
      </w:r>
      <w:r w:rsidR="00583F36">
        <w:rPr>
          <w:rFonts w:ascii="Arial" w:hAnsi="Arial" w:cs="Arial"/>
          <w:sz w:val="22"/>
          <w:szCs w:val="22"/>
        </w:rPr>
        <w:t>ének</w:t>
      </w:r>
      <w:r w:rsidRPr="00F224A4">
        <w:rPr>
          <w:rFonts w:ascii="Arial" w:hAnsi="Arial" w:cs="Arial"/>
          <w:sz w:val="22"/>
          <w:szCs w:val="22"/>
        </w:rPr>
        <w:t xml:space="preserve"> tervezetét.</w:t>
      </w:r>
    </w:p>
    <w:p w14:paraId="4CD7DA5D" w14:textId="77777777" w:rsidR="00D57DBC" w:rsidRPr="00F224A4" w:rsidRDefault="00D57DBC" w:rsidP="00D57DBC">
      <w:pPr>
        <w:spacing w:line="276" w:lineRule="auto"/>
        <w:jc w:val="both"/>
        <w:rPr>
          <w:rFonts w:ascii="Arial" w:hAnsi="Arial" w:cs="Arial"/>
          <w:sz w:val="22"/>
          <w:szCs w:val="22"/>
        </w:rPr>
      </w:pPr>
    </w:p>
    <w:p w14:paraId="0FE0FC60" w14:textId="77777777" w:rsidR="00D57DBC" w:rsidRPr="00F224A4" w:rsidRDefault="00D57DBC" w:rsidP="00D57DBC">
      <w:pPr>
        <w:spacing w:line="276" w:lineRule="auto"/>
        <w:jc w:val="both"/>
        <w:rPr>
          <w:rFonts w:ascii="Arial" w:hAnsi="Arial" w:cs="Arial"/>
          <w:sz w:val="22"/>
          <w:szCs w:val="22"/>
        </w:rPr>
      </w:pPr>
      <w:r w:rsidRPr="00F224A4">
        <w:rPr>
          <w:rFonts w:ascii="Arial" w:hAnsi="Arial" w:cs="Arial"/>
          <w:sz w:val="22"/>
          <w:szCs w:val="22"/>
        </w:rPr>
        <w:t>A rendelettervezet előkészítésekor figyelemmel voltunk a működésünket befolyásoló jogszabályokra, illetve azok változásaira, így többek között:</w:t>
      </w:r>
    </w:p>
    <w:p w14:paraId="453EB981" w14:textId="77777777" w:rsidR="00D57DBC" w:rsidRPr="00F224A4" w:rsidRDefault="00D57DBC" w:rsidP="00D57DBC">
      <w:pPr>
        <w:spacing w:line="276" w:lineRule="auto"/>
        <w:jc w:val="both"/>
        <w:rPr>
          <w:rFonts w:ascii="Arial" w:hAnsi="Arial" w:cs="Arial"/>
          <w:sz w:val="22"/>
          <w:szCs w:val="22"/>
        </w:rPr>
      </w:pPr>
      <w:r w:rsidRPr="00F224A4">
        <w:rPr>
          <w:rFonts w:ascii="Arial" w:hAnsi="Arial" w:cs="Arial"/>
          <w:sz w:val="22"/>
          <w:szCs w:val="22"/>
        </w:rPr>
        <w:t>-</w:t>
      </w:r>
      <w:r w:rsidRPr="00F224A4">
        <w:rPr>
          <w:rFonts w:ascii="Arial" w:hAnsi="Arial" w:cs="Arial"/>
          <w:sz w:val="22"/>
          <w:szCs w:val="22"/>
        </w:rPr>
        <w:tab/>
        <w:t>az államháztartásról szóló 2011. évi CXCV. törvény (a továbbiakban: Áht.);</w:t>
      </w:r>
    </w:p>
    <w:p w14:paraId="125F6069" w14:textId="77777777" w:rsidR="00D57DBC" w:rsidRDefault="00D57DBC" w:rsidP="00D57DBC">
      <w:pPr>
        <w:spacing w:line="276" w:lineRule="auto"/>
        <w:jc w:val="both"/>
        <w:rPr>
          <w:rFonts w:ascii="Arial" w:hAnsi="Arial" w:cs="Arial"/>
          <w:sz w:val="22"/>
          <w:szCs w:val="22"/>
        </w:rPr>
      </w:pPr>
      <w:r w:rsidRPr="00F224A4">
        <w:rPr>
          <w:rFonts w:ascii="Arial" w:hAnsi="Arial" w:cs="Arial"/>
          <w:sz w:val="22"/>
          <w:szCs w:val="22"/>
        </w:rPr>
        <w:t>-</w:t>
      </w:r>
      <w:r w:rsidRPr="00F224A4">
        <w:rPr>
          <w:rFonts w:ascii="Arial" w:hAnsi="Arial" w:cs="Arial"/>
          <w:sz w:val="22"/>
          <w:szCs w:val="22"/>
        </w:rPr>
        <w:tab/>
        <w:t xml:space="preserve">a közszolgálati tisztviselőkről szóló 2011. évi CXCIX. törvény;(a továbbiakban: </w:t>
      </w:r>
      <w:proofErr w:type="spellStart"/>
      <w:r w:rsidRPr="00F224A4">
        <w:rPr>
          <w:rFonts w:ascii="Arial" w:hAnsi="Arial" w:cs="Arial"/>
          <w:sz w:val="22"/>
          <w:szCs w:val="22"/>
        </w:rPr>
        <w:t>Kttv</w:t>
      </w:r>
      <w:proofErr w:type="spellEnd"/>
      <w:r w:rsidRPr="00F224A4">
        <w:rPr>
          <w:rFonts w:ascii="Arial" w:hAnsi="Arial" w:cs="Arial"/>
          <w:sz w:val="22"/>
          <w:szCs w:val="22"/>
        </w:rPr>
        <w:t>.)</w:t>
      </w:r>
    </w:p>
    <w:p w14:paraId="700247C0" w14:textId="77777777" w:rsidR="00D57DBC" w:rsidRPr="00F224A4" w:rsidRDefault="00D57DBC" w:rsidP="00D57DBC">
      <w:pPr>
        <w:spacing w:line="276" w:lineRule="auto"/>
        <w:jc w:val="both"/>
        <w:rPr>
          <w:rFonts w:ascii="Arial" w:hAnsi="Arial" w:cs="Arial"/>
          <w:sz w:val="22"/>
          <w:szCs w:val="22"/>
        </w:rPr>
      </w:pPr>
      <w:r>
        <w:rPr>
          <w:rFonts w:ascii="Arial" w:hAnsi="Arial" w:cs="Arial"/>
          <w:sz w:val="22"/>
          <w:szCs w:val="22"/>
        </w:rPr>
        <w:lastRenderedPageBreak/>
        <w:t xml:space="preserve">-          a pedagógusok életpályájáról szóló </w:t>
      </w:r>
      <w:r w:rsidRPr="00587C00">
        <w:rPr>
          <w:rFonts w:ascii="Arial" w:hAnsi="Arial" w:cs="Arial"/>
          <w:sz w:val="22"/>
          <w:szCs w:val="22"/>
        </w:rPr>
        <w:t>2023. évi LII. törvény</w:t>
      </w:r>
      <w:r>
        <w:rPr>
          <w:rFonts w:ascii="Arial" w:hAnsi="Arial" w:cs="Arial"/>
          <w:sz w:val="22"/>
          <w:szCs w:val="22"/>
        </w:rPr>
        <w:t>;</w:t>
      </w:r>
    </w:p>
    <w:p w14:paraId="22878604" w14:textId="77777777" w:rsidR="00D57DBC" w:rsidRPr="00F224A4" w:rsidRDefault="00D57DBC" w:rsidP="00D57DBC">
      <w:pPr>
        <w:spacing w:line="276" w:lineRule="auto"/>
        <w:jc w:val="both"/>
        <w:rPr>
          <w:rFonts w:ascii="Arial" w:hAnsi="Arial" w:cs="Arial"/>
          <w:sz w:val="22"/>
          <w:szCs w:val="22"/>
        </w:rPr>
      </w:pPr>
      <w:r w:rsidRPr="00F224A4">
        <w:rPr>
          <w:rFonts w:ascii="Arial" w:hAnsi="Arial" w:cs="Arial"/>
          <w:sz w:val="22"/>
          <w:szCs w:val="22"/>
        </w:rPr>
        <w:t>-</w:t>
      </w:r>
      <w:r w:rsidRPr="00F224A4">
        <w:rPr>
          <w:rFonts w:ascii="Arial" w:hAnsi="Arial" w:cs="Arial"/>
          <w:sz w:val="22"/>
          <w:szCs w:val="22"/>
        </w:rPr>
        <w:tab/>
        <w:t xml:space="preserve">a nemzetiségek jogairól szóló 2011. évi CLXXIX. törvény; (a továbbiakban: </w:t>
      </w:r>
      <w:proofErr w:type="spellStart"/>
      <w:r w:rsidRPr="00F224A4">
        <w:rPr>
          <w:rFonts w:ascii="Arial" w:hAnsi="Arial" w:cs="Arial"/>
          <w:sz w:val="22"/>
          <w:szCs w:val="22"/>
        </w:rPr>
        <w:t>Njt</w:t>
      </w:r>
      <w:proofErr w:type="spellEnd"/>
      <w:r w:rsidRPr="00F224A4">
        <w:rPr>
          <w:rFonts w:ascii="Arial" w:hAnsi="Arial" w:cs="Arial"/>
          <w:sz w:val="22"/>
          <w:szCs w:val="22"/>
        </w:rPr>
        <w:t>.)</w:t>
      </w:r>
    </w:p>
    <w:p w14:paraId="0E2FFC4A" w14:textId="2CF0F264" w:rsidR="00D57DBC" w:rsidRPr="00F224A4" w:rsidRDefault="00D57DBC" w:rsidP="00D57DBC">
      <w:pPr>
        <w:spacing w:line="276" w:lineRule="auto"/>
        <w:jc w:val="both"/>
        <w:rPr>
          <w:rFonts w:ascii="Arial" w:hAnsi="Arial" w:cs="Arial"/>
          <w:sz w:val="22"/>
          <w:szCs w:val="22"/>
        </w:rPr>
      </w:pPr>
      <w:r w:rsidRPr="00F224A4">
        <w:rPr>
          <w:rFonts w:ascii="Arial" w:hAnsi="Arial" w:cs="Arial"/>
          <w:sz w:val="22"/>
          <w:szCs w:val="22"/>
        </w:rPr>
        <w:t>-</w:t>
      </w:r>
      <w:r w:rsidRPr="00F224A4">
        <w:rPr>
          <w:rFonts w:ascii="Arial" w:hAnsi="Arial" w:cs="Arial"/>
          <w:sz w:val="22"/>
          <w:szCs w:val="22"/>
        </w:rPr>
        <w:tab/>
        <w:t xml:space="preserve">Magyarország gazdasági </w:t>
      </w:r>
      <w:proofErr w:type="gramStart"/>
      <w:r w:rsidRPr="00F224A4">
        <w:rPr>
          <w:rFonts w:ascii="Arial" w:hAnsi="Arial" w:cs="Arial"/>
          <w:sz w:val="22"/>
          <w:szCs w:val="22"/>
        </w:rPr>
        <w:t>stabilitásáról</w:t>
      </w:r>
      <w:proofErr w:type="gramEnd"/>
      <w:r w:rsidRPr="00F224A4">
        <w:rPr>
          <w:rFonts w:ascii="Arial" w:hAnsi="Arial" w:cs="Arial"/>
          <w:sz w:val="22"/>
          <w:szCs w:val="22"/>
        </w:rPr>
        <w:t xml:space="preserve"> szóló 2011. évi CXCIV. törvény (a továbbiakban: </w:t>
      </w:r>
      <w:proofErr w:type="spellStart"/>
      <w:r w:rsidRPr="00F224A4">
        <w:rPr>
          <w:rFonts w:ascii="Arial" w:hAnsi="Arial" w:cs="Arial"/>
          <w:sz w:val="22"/>
          <w:szCs w:val="22"/>
        </w:rPr>
        <w:t>Gst</w:t>
      </w:r>
      <w:proofErr w:type="spellEnd"/>
      <w:r w:rsidRPr="00F224A4">
        <w:rPr>
          <w:rFonts w:ascii="Arial" w:hAnsi="Arial" w:cs="Arial"/>
          <w:sz w:val="22"/>
          <w:szCs w:val="22"/>
        </w:rPr>
        <w:t>.)</w:t>
      </w:r>
      <w:r w:rsidR="00583F36">
        <w:rPr>
          <w:rFonts w:ascii="Arial" w:hAnsi="Arial" w:cs="Arial"/>
          <w:sz w:val="22"/>
          <w:szCs w:val="22"/>
        </w:rPr>
        <w:t xml:space="preserve"> </w:t>
      </w:r>
      <w:r w:rsidRPr="00F224A4">
        <w:rPr>
          <w:rFonts w:ascii="Arial" w:hAnsi="Arial" w:cs="Arial"/>
          <w:sz w:val="22"/>
          <w:szCs w:val="22"/>
        </w:rPr>
        <w:t>előírásaira.</w:t>
      </w:r>
    </w:p>
    <w:p w14:paraId="61EE5CA7" w14:textId="77777777" w:rsidR="00D57DBC" w:rsidRPr="00F224A4" w:rsidRDefault="00D57DBC" w:rsidP="00D57DBC">
      <w:pPr>
        <w:spacing w:line="276" w:lineRule="auto"/>
        <w:jc w:val="both"/>
        <w:rPr>
          <w:rFonts w:ascii="Arial" w:hAnsi="Arial" w:cs="Arial"/>
          <w:sz w:val="22"/>
          <w:szCs w:val="22"/>
        </w:rPr>
      </w:pPr>
    </w:p>
    <w:p w14:paraId="10654E3C" w14:textId="77777777" w:rsidR="00D57DBC" w:rsidRPr="004D013C" w:rsidRDefault="00D57DBC" w:rsidP="00D57DBC">
      <w:pPr>
        <w:spacing w:line="276" w:lineRule="auto"/>
        <w:jc w:val="both"/>
        <w:rPr>
          <w:rFonts w:ascii="Arial" w:hAnsi="Arial" w:cs="Arial"/>
          <w:sz w:val="22"/>
          <w:szCs w:val="22"/>
        </w:rPr>
      </w:pPr>
      <w:r w:rsidRPr="00F224A4">
        <w:rPr>
          <w:rFonts w:ascii="Arial" w:hAnsi="Arial" w:cs="Arial"/>
          <w:sz w:val="22"/>
          <w:szCs w:val="22"/>
        </w:rPr>
        <w:t>A rendelettervezet előkész</w:t>
      </w:r>
      <w:r>
        <w:rPr>
          <w:rFonts w:ascii="Arial" w:hAnsi="Arial" w:cs="Arial"/>
          <w:sz w:val="22"/>
          <w:szCs w:val="22"/>
        </w:rPr>
        <w:t xml:space="preserve">ítéséről a jegyző gondoskodott </w:t>
      </w:r>
      <w:r w:rsidRPr="00F224A4">
        <w:rPr>
          <w:rFonts w:ascii="Arial" w:hAnsi="Arial" w:cs="Arial"/>
          <w:sz w:val="22"/>
          <w:szCs w:val="22"/>
        </w:rPr>
        <w:t>az Áht. 29/A. §-a szerinti t</w:t>
      </w:r>
      <w:r>
        <w:rPr>
          <w:rFonts w:ascii="Arial" w:hAnsi="Arial" w:cs="Arial"/>
          <w:sz w:val="22"/>
          <w:szCs w:val="22"/>
        </w:rPr>
        <w:t>ervszámoknak megfelelően. A</w:t>
      </w:r>
      <w:r w:rsidRPr="00F224A4">
        <w:rPr>
          <w:rFonts w:ascii="Arial" w:hAnsi="Arial" w:cs="Arial"/>
          <w:sz w:val="22"/>
          <w:szCs w:val="22"/>
        </w:rPr>
        <w:t xml:space="preserve"> tervszámok meghatározásakor hitel felvételével nem számoltunk, a költségvetés tervezete ezzel összhangban került összeállításra. </w:t>
      </w:r>
      <w:r>
        <w:rPr>
          <w:rFonts w:ascii="Arial" w:hAnsi="Arial" w:cs="Arial"/>
          <w:sz w:val="22"/>
          <w:szCs w:val="22"/>
        </w:rPr>
        <w:t>A tervezéskor a vonatkozó központi jogszabályok mellett a helyi önkormányzati rendeletekben meghatározott előírások is meghatározóak.</w:t>
      </w:r>
    </w:p>
    <w:p w14:paraId="197705ED" w14:textId="77777777" w:rsidR="00D57DBC" w:rsidRDefault="00D57DBC" w:rsidP="00D57DBC">
      <w:pPr>
        <w:spacing w:line="240" w:lineRule="atLeast"/>
        <w:jc w:val="both"/>
        <w:rPr>
          <w:rFonts w:ascii="Arial" w:hAnsi="Arial" w:cs="Arial"/>
          <w:sz w:val="22"/>
          <w:szCs w:val="22"/>
        </w:rPr>
      </w:pPr>
    </w:p>
    <w:p w14:paraId="062B1C6F" w14:textId="77777777" w:rsidR="00D57DBC" w:rsidRPr="004A4AC4" w:rsidRDefault="00D57DBC" w:rsidP="00D57DBC">
      <w:pPr>
        <w:spacing w:line="240" w:lineRule="atLeast"/>
        <w:jc w:val="both"/>
        <w:rPr>
          <w:rFonts w:ascii="Arial" w:hAnsi="Arial" w:cs="Arial"/>
          <w:b/>
          <w:sz w:val="22"/>
          <w:szCs w:val="22"/>
          <w:u w:val="single"/>
        </w:rPr>
      </w:pPr>
      <w:r>
        <w:rPr>
          <w:rFonts w:ascii="Arial" w:hAnsi="Arial" w:cs="Arial"/>
          <w:b/>
          <w:sz w:val="22"/>
          <w:szCs w:val="22"/>
          <w:u w:val="single"/>
        </w:rPr>
        <w:t>A 2025</w:t>
      </w:r>
      <w:r w:rsidRPr="004A4AC4">
        <w:rPr>
          <w:rFonts w:ascii="Arial" w:hAnsi="Arial" w:cs="Arial"/>
          <w:b/>
          <w:sz w:val="22"/>
          <w:szCs w:val="22"/>
          <w:u w:val="single"/>
        </w:rPr>
        <w:t xml:space="preserve">. évi Költségvetési törvényben meghatározott </w:t>
      </w:r>
      <w:r>
        <w:rPr>
          <w:rFonts w:ascii="Arial" w:hAnsi="Arial" w:cs="Arial"/>
          <w:b/>
          <w:sz w:val="22"/>
          <w:szCs w:val="22"/>
          <w:u w:val="single"/>
        </w:rPr>
        <w:t xml:space="preserve">önkormányzati </w:t>
      </w:r>
      <w:r w:rsidRPr="004A4AC4">
        <w:rPr>
          <w:rFonts w:ascii="Arial" w:hAnsi="Arial" w:cs="Arial"/>
          <w:b/>
          <w:sz w:val="22"/>
          <w:szCs w:val="22"/>
          <w:u w:val="single"/>
        </w:rPr>
        <w:t xml:space="preserve">források köre, </w:t>
      </w:r>
      <w:r>
        <w:rPr>
          <w:rFonts w:ascii="Arial" w:hAnsi="Arial" w:cs="Arial"/>
          <w:b/>
          <w:sz w:val="22"/>
          <w:szCs w:val="22"/>
          <w:u w:val="single"/>
        </w:rPr>
        <w:t>a tervezést meghatározó jogszabályi keretek</w:t>
      </w:r>
    </w:p>
    <w:p w14:paraId="3EEE7ECE" w14:textId="77777777" w:rsidR="00D57DBC" w:rsidRPr="004A4AC4" w:rsidRDefault="00D57DBC" w:rsidP="00D57DBC">
      <w:pPr>
        <w:spacing w:line="240" w:lineRule="atLeast"/>
        <w:jc w:val="both"/>
        <w:rPr>
          <w:rFonts w:ascii="Arial" w:hAnsi="Arial" w:cs="Arial"/>
          <w:sz w:val="22"/>
          <w:szCs w:val="22"/>
        </w:rPr>
      </w:pPr>
    </w:p>
    <w:p w14:paraId="5E836C51" w14:textId="6CEF1FC1" w:rsidR="00D57DBC" w:rsidRPr="004D1BB5" w:rsidRDefault="00D57DBC" w:rsidP="00D57DBC">
      <w:pPr>
        <w:spacing w:line="240" w:lineRule="atLeast"/>
        <w:jc w:val="both"/>
        <w:rPr>
          <w:rFonts w:ascii="Arial" w:hAnsi="Arial" w:cs="Arial"/>
          <w:sz w:val="22"/>
          <w:szCs w:val="22"/>
        </w:rPr>
      </w:pPr>
      <w:r>
        <w:rPr>
          <w:rFonts w:ascii="Arial" w:hAnsi="Arial" w:cs="Arial"/>
          <w:sz w:val="22"/>
          <w:szCs w:val="22"/>
        </w:rPr>
        <w:t>A 2025</w:t>
      </w:r>
      <w:r w:rsidRPr="004D1BB5">
        <w:rPr>
          <w:rFonts w:ascii="Arial" w:hAnsi="Arial" w:cs="Arial"/>
          <w:sz w:val="22"/>
          <w:szCs w:val="22"/>
        </w:rPr>
        <w:t>. évi közp</w:t>
      </w:r>
      <w:r>
        <w:rPr>
          <w:rFonts w:ascii="Arial" w:hAnsi="Arial" w:cs="Arial"/>
          <w:sz w:val="22"/>
          <w:szCs w:val="22"/>
        </w:rPr>
        <w:t>onti költségvetéséről szóló 2024. évi XC</w:t>
      </w:r>
      <w:r w:rsidRPr="004D1BB5">
        <w:rPr>
          <w:rFonts w:ascii="Arial" w:hAnsi="Arial" w:cs="Arial"/>
          <w:sz w:val="22"/>
          <w:szCs w:val="22"/>
        </w:rPr>
        <w:t>. törvény 2</w:t>
      </w:r>
      <w:r>
        <w:rPr>
          <w:rFonts w:ascii="Arial" w:hAnsi="Arial" w:cs="Arial"/>
          <w:sz w:val="22"/>
          <w:szCs w:val="22"/>
        </w:rPr>
        <w:t>.</w:t>
      </w:r>
      <w:r w:rsidRPr="004D1BB5">
        <w:rPr>
          <w:rFonts w:ascii="Arial" w:hAnsi="Arial" w:cs="Arial"/>
          <w:sz w:val="22"/>
          <w:szCs w:val="22"/>
        </w:rPr>
        <w:t xml:space="preserve"> mellékletének megfelelően Önkormányzatunk </w:t>
      </w:r>
      <w:r>
        <w:rPr>
          <w:rFonts w:ascii="Arial" w:hAnsi="Arial" w:cs="Arial"/>
          <w:sz w:val="22"/>
          <w:szCs w:val="22"/>
        </w:rPr>
        <w:t xml:space="preserve">eredeti előirányzatként </w:t>
      </w:r>
      <w:r w:rsidRPr="004D1BB5">
        <w:rPr>
          <w:rFonts w:ascii="Arial" w:hAnsi="Arial" w:cs="Arial"/>
          <w:sz w:val="22"/>
          <w:szCs w:val="22"/>
        </w:rPr>
        <w:t>az alábbi központi költségvetési forrásokkal számolhat:</w:t>
      </w:r>
    </w:p>
    <w:p w14:paraId="72DF4434" w14:textId="77777777" w:rsidR="00D57DBC" w:rsidRPr="004A4AC4" w:rsidRDefault="00D57DBC" w:rsidP="00D57DBC">
      <w:pPr>
        <w:spacing w:line="240" w:lineRule="atLeast"/>
        <w:jc w:val="both"/>
        <w:rPr>
          <w:rFonts w:ascii="Arial" w:hAnsi="Arial" w:cs="Arial"/>
          <w:sz w:val="22"/>
          <w:szCs w:val="22"/>
          <w:highlight w:val="yellow"/>
        </w:rPr>
      </w:pPr>
    </w:p>
    <w:p w14:paraId="7A48647D" w14:textId="77777777" w:rsidR="00D57DBC" w:rsidRDefault="00D57DBC" w:rsidP="00D57DBC">
      <w:pPr>
        <w:spacing w:line="240" w:lineRule="atLeast"/>
        <w:jc w:val="both"/>
        <w:rPr>
          <w:rFonts w:ascii="Arial" w:hAnsi="Arial" w:cs="Arial"/>
          <w:sz w:val="22"/>
          <w:szCs w:val="22"/>
        </w:rPr>
      </w:pPr>
      <w:r w:rsidRPr="004202D5">
        <w:rPr>
          <w:rFonts w:ascii="Arial" w:hAnsi="Arial" w:cs="Arial"/>
          <w:sz w:val="22"/>
          <w:szCs w:val="22"/>
        </w:rPr>
        <w:t>-</w:t>
      </w:r>
      <w:r w:rsidRPr="004202D5">
        <w:rPr>
          <w:rFonts w:ascii="Arial" w:hAnsi="Arial" w:cs="Arial"/>
          <w:sz w:val="22"/>
          <w:szCs w:val="22"/>
        </w:rPr>
        <w:tab/>
      </w:r>
      <w:r w:rsidRPr="004202D5">
        <w:rPr>
          <w:rFonts w:ascii="Arial" w:hAnsi="Arial" w:cs="Arial"/>
          <w:b/>
          <w:sz w:val="22"/>
          <w:szCs w:val="22"/>
          <w:u w:val="single"/>
        </w:rPr>
        <w:t>Helyi önkormányzatok működésének általános támogatása</w:t>
      </w:r>
      <w:r w:rsidRPr="004202D5">
        <w:rPr>
          <w:rFonts w:ascii="Arial" w:hAnsi="Arial" w:cs="Arial"/>
          <w:sz w:val="22"/>
          <w:szCs w:val="22"/>
        </w:rPr>
        <w:t>, mely magába foglalja a közös önkormányzati hivatal működésének támogatását, a településüzemeltetéssel kapcsolatos támogatásokat</w:t>
      </w:r>
      <w:r>
        <w:rPr>
          <w:rFonts w:ascii="Arial" w:hAnsi="Arial" w:cs="Arial"/>
          <w:sz w:val="22"/>
          <w:szCs w:val="22"/>
        </w:rPr>
        <w:t xml:space="preserve"> (</w:t>
      </w:r>
      <w:r w:rsidRPr="004202D5">
        <w:rPr>
          <w:rFonts w:ascii="Arial" w:hAnsi="Arial" w:cs="Arial"/>
          <w:sz w:val="22"/>
          <w:szCs w:val="22"/>
        </w:rPr>
        <w:t>zöldterület gazdálkodás tám</w:t>
      </w:r>
      <w:r>
        <w:rPr>
          <w:rFonts w:ascii="Arial" w:hAnsi="Arial" w:cs="Arial"/>
          <w:sz w:val="22"/>
          <w:szCs w:val="22"/>
        </w:rPr>
        <w:t>ogatása, közvilágítás támogatását, köztemető támogatását</w:t>
      </w:r>
      <w:r w:rsidRPr="004202D5">
        <w:rPr>
          <w:rFonts w:ascii="Arial" w:hAnsi="Arial" w:cs="Arial"/>
          <w:sz w:val="22"/>
          <w:szCs w:val="22"/>
        </w:rPr>
        <w:t>, közutakkal kapc</w:t>
      </w:r>
      <w:r>
        <w:rPr>
          <w:rFonts w:ascii="Arial" w:hAnsi="Arial" w:cs="Arial"/>
          <w:sz w:val="22"/>
          <w:szCs w:val="22"/>
        </w:rPr>
        <w:t>solatos feladatok támogatása)</w:t>
      </w:r>
      <w:r w:rsidRPr="004202D5">
        <w:rPr>
          <w:rFonts w:ascii="Arial" w:hAnsi="Arial" w:cs="Arial"/>
          <w:sz w:val="22"/>
          <w:szCs w:val="22"/>
        </w:rPr>
        <w:t>, egyéb önkormányzati</w:t>
      </w:r>
      <w:r>
        <w:rPr>
          <w:rFonts w:ascii="Arial" w:hAnsi="Arial" w:cs="Arial"/>
          <w:sz w:val="22"/>
          <w:szCs w:val="22"/>
        </w:rPr>
        <w:t xml:space="preserve"> feladatok támogatását</w:t>
      </w:r>
      <w:r w:rsidRPr="004202D5">
        <w:rPr>
          <w:rFonts w:ascii="Arial" w:hAnsi="Arial" w:cs="Arial"/>
          <w:sz w:val="22"/>
          <w:szCs w:val="22"/>
        </w:rPr>
        <w:t>, a lakott külterülettel kapcsolatos feladatok</w:t>
      </w:r>
      <w:r>
        <w:rPr>
          <w:rFonts w:ascii="Arial" w:hAnsi="Arial" w:cs="Arial"/>
          <w:sz w:val="22"/>
          <w:szCs w:val="22"/>
        </w:rPr>
        <w:t xml:space="preserve"> támogatását</w:t>
      </w:r>
      <w:r w:rsidRPr="004202D5">
        <w:rPr>
          <w:rFonts w:ascii="Arial" w:hAnsi="Arial" w:cs="Arial"/>
          <w:sz w:val="22"/>
          <w:szCs w:val="22"/>
        </w:rPr>
        <w:t>, valamint a közvilágítás kiegészítő támogatás</w:t>
      </w:r>
      <w:r>
        <w:rPr>
          <w:rFonts w:ascii="Arial" w:hAnsi="Arial" w:cs="Arial"/>
          <w:sz w:val="22"/>
          <w:szCs w:val="22"/>
        </w:rPr>
        <w:t>át</w:t>
      </w:r>
      <w:r w:rsidRPr="00D64A9C">
        <w:rPr>
          <w:rFonts w:ascii="Arial" w:hAnsi="Arial" w:cs="Arial"/>
          <w:sz w:val="22"/>
          <w:szCs w:val="22"/>
        </w:rPr>
        <w:t xml:space="preserve">. </w:t>
      </w:r>
    </w:p>
    <w:p w14:paraId="46441B4D" w14:textId="77777777" w:rsidR="00D57DBC" w:rsidRPr="004A4AC4" w:rsidRDefault="00D57DBC" w:rsidP="00D57DBC">
      <w:pPr>
        <w:spacing w:line="240" w:lineRule="atLeast"/>
        <w:jc w:val="both"/>
        <w:rPr>
          <w:rFonts w:ascii="Arial" w:hAnsi="Arial" w:cs="Arial"/>
          <w:sz w:val="22"/>
          <w:szCs w:val="22"/>
          <w:highlight w:val="yellow"/>
        </w:rPr>
      </w:pPr>
    </w:p>
    <w:p w14:paraId="6DC7E654" w14:textId="2EFAC825" w:rsidR="003D6F37" w:rsidRPr="003D6F37" w:rsidRDefault="00D57DBC" w:rsidP="003D6F37">
      <w:pPr>
        <w:spacing w:line="240" w:lineRule="atLeast"/>
        <w:jc w:val="both"/>
        <w:rPr>
          <w:rFonts w:ascii="Arial" w:hAnsi="Arial" w:cs="Arial"/>
          <w:sz w:val="22"/>
          <w:szCs w:val="22"/>
        </w:rPr>
      </w:pPr>
      <w:r w:rsidRPr="00D64A9C">
        <w:rPr>
          <w:rFonts w:ascii="Arial" w:hAnsi="Arial" w:cs="Arial"/>
          <w:sz w:val="22"/>
          <w:szCs w:val="22"/>
        </w:rPr>
        <w:t>-</w:t>
      </w:r>
      <w:r w:rsidRPr="00D64A9C">
        <w:rPr>
          <w:rFonts w:ascii="Arial" w:hAnsi="Arial" w:cs="Arial"/>
          <w:sz w:val="22"/>
          <w:szCs w:val="22"/>
        </w:rPr>
        <w:tab/>
      </w:r>
      <w:r w:rsidRPr="00D64A9C">
        <w:rPr>
          <w:rFonts w:ascii="Arial" w:hAnsi="Arial" w:cs="Arial"/>
          <w:b/>
          <w:sz w:val="22"/>
          <w:szCs w:val="22"/>
          <w:u w:val="single"/>
        </w:rPr>
        <w:t>Önkormányzatok egyes köznevelési feladatainak támogatása</w:t>
      </w:r>
      <w:r w:rsidRPr="00D64A9C">
        <w:rPr>
          <w:rFonts w:ascii="Arial" w:hAnsi="Arial" w:cs="Arial"/>
          <w:sz w:val="22"/>
          <w:szCs w:val="22"/>
        </w:rPr>
        <w:t>, mely az óvodaműködtetési, az óvodában foglalkoztatott pedagógusok átlagbér alapú bértámogatását, a pedagógusok és pedagógus szakképzettséggel rendelkező segítők minősítéséből adódó többletkiadásokra biztosított kiegészítő támogatást, a nemzetiségi pótlékkal összefüggő támogatás, valamint az óvodában foglalkoztatott pedagógusok munkáját közvetlenül segítők átlagbéralapú támogatása jelenti.</w:t>
      </w:r>
      <w:r w:rsidR="003D6F37">
        <w:rPr>
          <w:rFonts w:ascii="Arial" w:hAnsi="Arial" w:cs="Arial"/>
          <w:sz w:val="22"/>
          <w:szCs w:val="22"/>
        </w:rPr>
        <w:t xml:space="preserve"> Új elemként van jelen a d</w:t>
      </w:r>
      <w:r w:rsidR="003D6F37" w:rsidRPr="003D6F37">
        <w:rPr>
          <w:rFonts w:ascii="Arial" w:hAnsi="Arial" w:cs="Arial"/>
          <w:sz w:val="22"/>
          <w:szCs w:val="22"/>
        </w:rPr>
        <w:t>iabétesz ellátási pótlék</w:t>
      </w:r>
      <w:r w:rsidR="003D6F37">
        <w:rPr>
          <w:rFonts w:ascii="Arial" w:hAnsi="Arial" w:cs="Arial"/>
          <w:sz w:val="22"/>
          <w:szCs w:val="22"/>
        </w:rPr>
        <w:t>.</w:t>
      </w:r>
      <w:r w:rsidR="003D6F37" w:rsidRPr="003D6F37">
        <w:rPr>
          <w:rFonts w:ascii="Arial" w:hAnsi="Arial" w:cs="Arial"/>
          <w:sz w:val="22"/>
          <w:szCs w:val="22"/>
        </w:rPr>
        <w:tab/>
      </w:r>
    </w:p>
    <w:p w14:paraId="2ADA1EF6" w14:textId="2CA14FDD" w:rsidR="00D57DBC" w:rsidRPr="00D64A9C" w:rsidRDefault="003D6F37" w:rsidP="00D57DBC">
      <w:pPr>
        <w:spacing w:line="240" w:lineRule="atLeast"/>
        <w:jc w:val="both"/>
        <w:rPr>
          <w:rFonts w:ascii="Arial" w:hAnsi="Arial" w:cs="Arial"/>
          <w:sz w:val="22"/>
          <w:szCs w:val="22"/>
        </w:rPr>
      </w:pPr>
      <w:r w:rsidRPr="003D6F37">
        <w:rPr>
          <w:rFonts w:ascii="Arial" w:hAnsi="Arial" w:cs="Arial"/>
          <w:sz w:val="22"/>
          <w:szCs w:val="22"/>
        </w:rPr>
        <w:tab/>
      </w:r>
    </w:p>
    <w:p w14:paraId="0CE27B31" w14:textId="77777777" w:rsidR="00D57DBC" w:rsidRDefault="00D57DBC" w:rsidP="00D57DBC">
      <w:pPr>
        <w:spacing w:line="240" w:lineRule="atLeast"/>
        <w:jc w:val="both"/>
        <w:rPr>
          <w:rFonts w:ascii="Arial" w:hAnsi="Arial" w:cs="Arial"/>
          <w:sz w:val="22"/>
          <w:szCs w:val="22"/>
        </w:rPr>
      </w:pPr>
      <w:r w:rsidRPr="0098296C">
        <w:rPr>
          <w:rFonts w:ascii="Arial" w:hAnsi="Arial" w:cs="Arial"/>
          <w:sz w:val="22"/>
          <w:szCs w:val="22"/>
        </w:rPr>
        <w:t>-</w:t>
      </w:r>
      <w:r w:rsidRPr="0098296C">
        <w:rPr>
          <w:rFonts w:ascii="Arial" w:hAnsi="Arial" w:cs="Arial"/>
          <w:sz w:val="22"/>
          <w:szCs w:val="22"/>
        </w:rPr>
        <w:tab/>
      </w:r>
      <w:r w:rsidRPr="0098296C">
        <w:rPr>
          <w:rFonts w:ascii="Arial" w:hAnsi="Arial" w:cs="Arial"/>
          <w:b/>
          <w:sz w:val="22"/>
          <w:szCs w:val="22"/>
          <w:u w:val="single"/>
        </w:rPr>
        <w:t>Önkormányzatok szociális, gyermekjóléti feladatainak támogatása</w:t>
      </w:r>
      <w:r w:rsidRPr="0098296C">
        <w:rPr>
          <w:rFonts w:ascii="Arial" w:hAnsi="Arial" w:cs="Arial"/>
          <w:sz w:val="22"/>
          <w:szCs w:val="22"/>
        </w:rPr>
        <w:t xml:space="preserve"> jogcímen kerül finanszírozásra a települési önkormányzatok </w:t>
      </w:r>
      <w:r>
        <w:rPr>
          <w:rFonts w:ascii="Arial" w:hAnsi="Arial" w:cs="Arial"/>
          <w:sz w:val="22"/>
          <w:szCs w:val="22"/>
        </w:rPr>
        <w:t>c</w:t>
      </w:r>
      <w:r w:rsidRPr="0098296C">
        <w:rPr>
          <w:rFonts w:ascii="Arial" w:hAnsi="Arial" w:cs="Arial"/>
          <w:sz w:val="22"/>
          <w:szCs w:val="22"/>
        </w:rPr>
        <w:t>salád- és gyermekjóléti szolgálat</w:t>
      </w:r>
      <w:r>
        <w:rPr>
          <w:rFonts w:ascii="Arial" w:hAnsi="Arial" w:cs="Arial"/>
          <w:sz w:val="22"/>
          <w:szCs w:val="22"/>
        </w:rPr>
        <w:t xml:space="preserve">ára, a </w:t>
      </w:r>
      <w:r w:rsidRPr="0098296C">
        <w:rPr>
          <w:rFonts w:ascii="Arial" w:hAnsi="Arial" w:cs="Arial"/>
          <w:sz w:val="22"/>
          <w:szCs w:val="22"/>
        </w:rPr>
        <w:t>szociális étkeztetés</w:t>
      </w:r>
      <w:r>
        <w:rPr>
          <w:rFonts w:ascii="Arial" w:hAnsi="Arial" w:cs="Arial"/>
          <w:sz w:val="22"/>
          <w:szCs w:val="22"/>
        </w:rPr>
        <w:t xml:space="preserve">re, a </w:t>
      </w:r>
      <w:r w:rsidRPr="0098296C">
        <w:rPr>
          <w:rFonts w:ascii="Arial" w:hAnsi="Arial" w:cs="Arial"/>
          <w:sz w:val="22"/>
          <w:szCs w:val="22"/>
        </w:rPr>
        <w:t>házi segítségnyújtás</w:t>
      </w:r>
      <w:r>
        <w:rPr>
          <w:rFonts w:ascii="Arial" w:hAnsi="Arial" w:cs="Arial"/>
          <w:sz w:val="22"/>
          <w:szCs w:val="22"/>
        </w:rPr>
        <w:t>ra, az i</w:t>
      </w:r>
      <w:r w:rsidRPr="0098296C">
        <w:rPr>
          <w:rFonts w:ascii="Arial" w:hAnsi="Arial" w:cs="Arial"/>
          <w:sz w:val="22"/>
          <w:szCs w:val="22"/>
        </w:rPr>
        <w:t>dőskorúak nappali in</w:t>
      </w:r>
      <w:r>
        <w:rPr>
          <w:rFonts w:ascii="Arial" w:hAnsi="Arial" w:cs="Arial"/>
          <w:sz w:val="22"/>
          <w:szCs w:val="22"/>
        </w:rPr>
        <w:t>tézményi ellátására, a b</w:t>
      </w:r>
      <w:r w:rsidRPr="0098296C">
        <w:rPr>
          <w:rFonts w:ascii="Arial" w:hAnsi="Arial" w:cs="Arial"/>
          <w:sz w:val="22"/>
          <w:szCs w:val="22"/>
        </w:rPr>
        <w:t>ölcsődei dajkák, középfokú végzettségű kisgyermeknevel</w:t>
      </w:r>
      <w:r>
        <w:rPr>
          <w:rFonts w:ascii="Arial" w:hAnsi="Arial" w:cs="Arial"/>
          <w:sz w:val="22"/>
          <w:szCs w:val="22"/>
        </w:rPr>
        <w:t>ők, szaktanácsadók bértámogatására, a bölcsődei üzemeltetésre a központi költségvetésben rendelkezésre álló forrás.</w:t>
      </w:r>
      <w:r w:rsidRPr="0098296C">
        <w:rPr>
          <w:rFonts w:ascii="Arial" w:hAnsi="Arial" w:cs="Arial"/>
          <w:sz w:val="22"/>
          <w:szCs w:val="22"/>
        </w:rPr>
        <w:t xml:space="preserve"> </w:t>
      </w:r>
    </w:p>
    <w:p w14:paraId="679CC6A3" w14:textId="77777777" w:rsidR="00D57DBC" w:rsidRDefault="00D57DBC" w:rsidP="00D57DBC">
      <w:pPr>
        <w:spacing w:line="240" w:lineRule="atLeast"/>
        <w:jc w:val="both"/>
        <w:rPr>
          <w:rFonts w:ascii="Arial" w:hAnsi="Arial" w:cs="Arial"/>
          <w:sz w:val="22"/>
          <w:szCs w:val="22"/>
        </w:rPr>
      </w:pPr>
    </w:p>
    <w:p w14:paraId="047D5221" w14:textId="77777777" w:rsidR="00D57DBC" w:rsidRDefault="00D57DBC" w:rsidP="00D57DBC">
      <w:pPr>
        <w:spacing w:line="240" w:lineRule="atLeast"/>
        <w:jc w:val="both"/>
        <w:rPr>
          <w:rFonts w:ascii="Arial" w:hAnsi="Arial" w:cs="Arial"/>
          <w:sz w:val="22"/>
          <w:szCs w:val="22"/>
        </w:rPr>
      </w:pPr>
      <w:r w:rsidRPr="0098296C">
        <w:rPr>
          <w:rFonts w:ascii="Arial" w:hAnsi="Arial" w:cs="Arial"/>
          <w:sz w:val="22"/>
          <w:szCs w:val="22"/>
        </w:rPr>
        <w:t xml:space="preserve"> </w:t>
      </w:r>
      <w:r w:rsidRPr="00DD4DCD">
        <w:rPr>
          <w:rFonts w:ascii="Arial" w:hAnsi="Arial" w:cs="Arial"/>
          <w:sz w:val="22"/>
          <w:szCs w:val="22"/>
        </w:rPr>
        <w:t>-</w:t>
      </w:r>
      <w:r w:rsidRPr="00DD4DCD">
        <w:rPr>
          <w:rFonts w:ascii="Arial" w:hAnsi="Arial" w:cs="Arial"/>
          <w:sz w:val="22"/>
          <w:szCs w:val="22"/>
        </w:rPr>
        <w:tab/>
      </w:r>
      <w:r w:rsidRPr="00DD4DCD">
        <w:rPr>
          <w:rFonts w:ascii="Arial" w:hAnsi="Arial" w:cs="Arial"/>
          <w:b/>
          <w:sz w:val="22"/>
          <w:szCs w:val="22"/>
          <w:u w:val="single"/>
        </w:rPr>
        <w:t>Önkormányzatok gyermekétkeztetési feladatainak támogatása</w:t>
      </w:r>
      <w:r w:rsidRPr="00DD4DCD">
        <w:rPr>
          <w:rFonts w:ascii="Arial" w:hAnsi="Arial" w:cs="Arial"/>
          <w:sz w:val="22"/>
          <w:szCs w:val="22"/>
        </w:rPr>
        <w:t xml:space="preserve"> jogcímen kerül finanszírozásra az intézményi gyermekétkeztetés, az intézményi gyermekétkeztetés bértámogatása,</w:t>
      </w:r>
      <w:r w:rsidRPr="00DD4DCD">
        <w:t xml:space="preserve"> </w:t>
      </w:r>
      <w:r w:rsidRPr="00DD4DCD">
        <w:rPr>
          <w:rFonts w:ascii="Arial" w:hAnsi="Arial" w:cs="Arial"/>
          <w:sz w:val="22"/>
          <w:szCs w:val="22"/>
        </w:rPr>
        <w:t xml:space="preserve">az intézményi gyermekétkeztetés üzemeltetési támogatása, valamint a diákok részére nyújtott </w:t>
      </w:r>
      <w:proofErr w:type="spellStart"/>
      <w:r w:rsidRPr="00DD4DCD">
        <w:rPr>
          <w:rFonts w:ascii="Arial" w:hAnsi="Arial" w:cs="Arial"/>
          <w:sz w:val="22"/>
          <w:szCs w:val="22"/>
        </w:rPr>
        <w:t>szünidei</w:t>
      </w:r>
      <w:proofErr w:type="spellEnd"/>
      <w:r w:rsidRPr="00DD4DCD">
        <w:rPr>
          <w:rFonts w:ascii="Arial" w:hAnsi="Arial" w:cs="Arial"/>
          <w:sz w:val="22"/>
          <w:szCs w:val="22"/>
        </w:rPr>
        <w:t xml:space="preserve"> étkezés támogatása.</w:t>
      </w:r>
    </w:p>
    <w:p w14:paraId="56C47994" w14:textId="77777777" w:rsidR="00D57DBC" w:rsidRPr="00DD4DCD" w:rsidRDefault="00D57DBC" w:rsidP="00D57DBC">
      <w:pPr>
        <w:spacing w:line="240" w:lineRule="atLeast"/>
        <w:jc w:val="both"/>
        <w:rPr>
          <w:rFonts w:ascii="Arial" w:hAnsi="Arial" w:cs="Arial"/>
          <w:sz w:val="22"/>
          <w:szCs w:val="22"/>
        </w:rPr>
      </w:pPr>
    </w:p>
    <w:p w14:paraId="4A790871" w14:textId="77777777" w:rsidR="00D57DBC" w:rsidRDefault="00D57DBC" w:rsidP="00D57DBC">
      <w:pPr>
        <w:spacing w:line="240" w:lineRule="atLeast"/>
        <w:jc w:val="both"/>
        <w:rPr>
          <w:rFonts w:ascii="Arial" w:hAnsi="Arial" w:cs="Arial"/>
          <w:sz w:val="22"/>
          <w:szCs w:val="22"/>
        </w:rPr>
      </w:pPr>
      <w:r w:rsidRPr="003D67D8">
        <w:rPr>
          <w:rFonts w:ascii="Arial" w:hAnsi="Arial" w:cs="Arial"/>
          <w:sz w:val="22"/>
          <w:szCs w:val="22"/>
        </w:rPr>
        <w:t>-</w:t>
      </w:r>
      <w:r w:rsidRPr="003D67D8">
        <w:rPr>
          <w:rFonts w:ascii="Arial" w:hAnsi="Arial" w:cs="Arial"/>
          <w:sz w:val="22"/>
          <w:szCs w:val="22"/>
        </w:rPr>
        <w:tab/>
      </w:r>
      <w:r w:rsidRPr="003D67D8">
        <w:rPr>
          <w:rFonts w:ascii="Arial" w:hAnsi="Arial" w:cs="Arial"/>
          <w:b/>
          <w:sz w:val="22"/>
          <w:szCs w:val="22"/>
          <w:u w:val="single"/>
        </w:rPr>
        <w:t>Önkormányzatok kulturális feladatainak támogatása</w:t>
      </w:r>
      <w:r w:rsidRPr="003D67D8">
        <w:rPr>
          <w:rFonts w:ascii="Arial" w:hAnsi="Arial" w:cs="Arial"/>
          <w:sz w:val="22"/>
          <w:szCs w:val="22"/>
        </w:rPr>
        <w:t xml:space="preserve"> a települési önkormányzat lakosságszámának alapján illeti meg az önkormányzatot.</w:t>
      </w:r>
      <w:r>
        <w:rPr>
          <w:rFonts w:ascii="Arial" w:hAnsi="Arial" w:cs="Arial"/>
          <w:sz w:val="22"/>
          <w:szCs w:val="22"/>
        </w:rPr>
        <w:t xml:space="preserve"> Ezen kívül e jogcímhez bérjellegű támogatás is kapcsolódik.  </w:t>
      </w:r>
    </w:p>
    <w:p w14:paraId="2045C38D" w14:textId="77777777" w:rsidR="00D57DBC" w:rsidRDefault="00D57DBC" w:rsidP="00D57DBC">
      <w:pPr>
        <w:spacing w:line="240" w:lineRule="atLeast"/>
        <w:jc w:val="both"/>
        <w:rPr>
          <w:rFonts w:ascii="Arial" w:hAnsi="Arial" w:cs="Arial"/>
          <w:sz w:val="22"/>
          <w:szCs w:val="22"/>
        </w:rPr>
      </w:pPr>
    </w:p>
    <w:p w14:paraId="2F6BAC4D" w14:textId="77777777" w:rsidR="00D57DBC" w:rsidRDefault="00D57DBC" w:rsidP="00D57DBC">
      <w:pPr>
        <w:spacing w:line="240" w:lineRule="atLeast"/>
        <w:jc w:val="both"/>
        <w:rPr>
          <w:rFonts w:ascii="Arial" w:hAnsi="Arial" w:cs="Arial"/>
          <w:sz w:val="22"/>
          <w:szCs w:val="22"/>
        </w:rPr>
      </w:pPr>
    </w:p>
    <w:p w14:paraId="50BDC2AA" w14:textId="77777777" w:rsidR="00D57DBC" w:rsidRPr="003D67D8" w:rsidRDefault="00D57DBC" w:rsidP="00D57DBC">
      <w:pPr>
        <w:spacing w:line="240" w:lineRule="atLeast"/>
        <w:jc w:val="both"/>
        <w:rPr>
          <w:rFonts w:ascii="Arial" w:hAnsi="Arial" w:cs="Arial"/>
          <w:sz w:val="22"/>
          <w:szCs w:val="22"/>
        </w:rPr>
      </w:pPr>
    </w:p>
    <w:p w14:paraId="1AE1D28B" w14:textId="77777777" w:rsidR="00D57DBC" w:rsidRPr="004A4AC4" w:rsidRDefault="00D57DBC" w:rsidP="00D57DBC">
      <w:pPr>
        <w:spacing w:line="240" w:lineRule="atLeast"/>
        <w:jc w:val="both"/>
        <w:rPr>
          <w:rFonts w:ascii="Arial" w:hAnsi="Arial" w:cs="Arial"/>
          <w:sz w:val="22"/>
          <w:szCs w:val="22"/>
        </w:rPr>
      </w:pPr>
    </w:p>
    <w:p w14:paraId="0DE52783" w14:textId="2B2985E9" w:rsidR="003D1C02" w:rsidRDefault="003D1C02" w:rsidP="004A4AC4">
      <w:pPr>
        <w:spacing w:line="240" w:lineRule="atLeast"/>
        <w:jc w:val="both"/>
        <w:rPr>
          <w:rFonts w:ascii="Arial" w:hAnsi="Arial" w:cs="Arial"/>
          <w:sz w:val="22"/>
          <w:szCs w:val="22"/>
        </w:rPr>
      </w:pPr>
    </w:p>
    <w:p w14:paraId="730313C2" w14:textId="77777777" w:rsidR="003D1C02" w:rsidRPr="003D67D8" w:rsidRDefault="003D1C02" w:rsidP="004A4AC4">
      <w:pPr>
        <w:spacing w:line="240" w:lineRule="atLeast"/>
        <w:jc w:val="both"/>
        <w:rPr>
          <w:rFonts w:ascii="Arial" w:hAnsi="Arial" w:cs="Arial"/>
          <w:sz w:val="22"/>
          <w:szCs w:val="22"/>
        </w:rPr>
      </w:pPr>
    </w:p>
    <w:p w14:paraId="7A075DE3" w14:textId="77777777" w:rsidR="004A4AC4" w:rsidRPr="004A4AC4" w:rsidRDefault="004A4AC4" w:rsidP="004A4AC4">
      <w:pPr>
        <w:spacing w:line="240" w:lineRule="atLeast"/>
        <w:jc w:val="both"/>
        <w:rPr>
          <w:rFonts w:ascii="Arial" w:hAnsi="Arial" w:cs="Arial"/>
          <w:sz w:val="22"/>
          <w:szCs w:val="22"/>
        </w:rPr>
      </w:pPr>
    </w:p>
    <w:p w14:paraId="07A9C3A2" w14:textId="520EAF29" w:rsidR="004A4AC4" w:rsidRPr="004A4AC4" w:rsidRDefault="004A4AC4" w:rsidP="004A4AC4">
      <w:pPr>
        <w:spacing w:line="240" w:lineRule="atLeast"/>
        <w:jc w:val="both"/>
        <w:rPr>
          <w:rFonts w:ascii="Arial" w:hAnsi="Arial" w:cs="Arial"/>
          <w:b/>
          <w:sz w:val="22"/>
          <w:szCs w:val="22"/>
          <w:u w:val="single"/>
        </w:rPr>
      </w:pPr>
      <w:r w:rsidRPr="004A4AC4">
        <w:rPr>
          <w:rFonts w:ascii="Arial" w:hAnsi="Arial" w:cs="Arial"/>
          <w:b/>
          <w:sz w:val="22"/>
          <w:szCs w:val="22"/>
          <w:u w:val="single"/>
        </w:rPr>
        <w:t>A jogszabályi háttér</w:t>
      </w:r>
      <w:r w:rsidR="0046197C">
        <w:rPr>
          <w:rFonts w:ascii="Arial" w:hAnsi="Arial" w:cs="Arial"/>
          <w:b/>
          <w:sz w:val="22"/>
          <w:szCs w:val="22"/>
          <w:u w:val="single"/>
        </w:rPr>
        <w:t xml:space="preserve"> változásai</w:t>
      </w:r>
    </w:p>
    <w:p w14:paraId="16C2C7BD" w14:textId="77777777" w:rsidR="004A4AC4" w:rsidRPr="004A4AC4" w:rsidRDefault="004A4AC4" w:rsidP="004A4AC4">
      <w:pPr>
        <w:spacing w:line="240" w:lineRule="atLeast"/>
        <w:jc w:val="both"/>
        <w:rPr>
          <w:rFonts w:ascii="Arial" w:hAnsi="Arial" w:cs="Arial"/>
          <w:sz w:val="22"/>
          <w:szCs w:val="22"/>
        </w:rPr>
      </w:pPr>
    </w:p>
    <w:p w14:paraId="497565BE" w14:textId="742F447C" w:rsidR="004A4AC4" w:rsidRPr="004A4AC4" w:rsidRDefault="004A4AC4" w:rsidP="00A56DD3">
      <w:pPr>
        <w:spacing w:line="240" w:lineRule="atLeast"/>
        <w:jc w:val="both"/>
        <w:rPr>
          <w:rFonts w:ascii="Arial" w:hAnsi="Arial" w:cs="Arial"/>
          <w:sz w:val="22"/>
          <w:szCs w:val="22"/>
        </w:rPr>
      </w:pPr>
      <w:r w:rsidRPr="004A4AC4">
        <w:rPr>
          <w:rFonts w:ascii="Arial" w:hAnsi="Arial" w:cs="Arial"/>
          <w:sz w:val="22"/>
          <w:szCs w:val="22"/>
        </w:rPr>
        <w:t>a.)</w:t>
      </w:r>
      <w:r w:rsidRPr="004A4AC4">
        <w:rPr>
          <w:rFonts w:ascii="Arial" w:hAnsi="Arial" w:cs="Arial"/>
          <w:sz w:val="22"/>
          <w:szCs w:val="22"/>
        </w:rPr>
        <w:tab/>
      </w:r>
      <w:r w:rsidRPr="00B35481">
        <w:rPr>
          <w:rFonts w:ascii="Arial" w:hAnsi="Arial" w:cs="Arial"/>
          <w:b/>
          <w:sz w:val="22"/>
          <w:szCs w:val="22"/>
        </w:rPr>
        <w:t>Az</w:t>
      </w:r>
      <w:r w:rsidR="00B745D6">
        <w:rPr>
          <w:rFonts w:ascii="Arial" w:hAnsi="Arial" w:cs="Arial"/>
          <w:b/>
          <w:sz w:val="22"/>
          <w:szCs w:val="22"/>
        </w:rPr>
        <w:t xml:space="preserve"> iparűzési adó </w:t>
      </w:r>
      <w:r w:rsidR="00C77B1E">
        <w:rPr>
          <w:rFonts w:ascii="Arial" w:hAnsi="Arial" w:cs="Arial"/>
          <w:b/>
          <w:sz w:val="22"/>
          <w:szCs w:val="22"/>
        </w:rPr>
        <w:t xml:space="preserve">mértéke </w:t>
      </w:r>
      <w:r w:rsidR="00692A17">
        <w:rPr>
          <w:rFonts w:ascii="Arial" w:hAnsi="Arial" w:cs="Arial"/>
          <w:b/>
          <w:sz w:val="22"/>
          <w:szCs w:val="22"/>
        </w:rPr>
        <w:t>az idei év</w:t>
      </w:r>
      <w:r w:rsidR="00C77B1E">
        <w:rPr>
          <w:rFonts w:ascii="Arial" w:hAnsi="Arial" w:cs="Arial"/>
          <w:b/>
          <w:sz w:val="22"/>
          <w:szCs w:val="22"/>
        </w:rPr>
        <w:t>ben</w:t>
      </w:r>
      <w:r w:rsidR="00692A17">
        <w:rPr>
          <w:rFonts w:ascii="Arial" w:hAnsi="Arial" w:cs="Arial"/>
          <w:b/>
          <w:sz w:val="22"/>
          <w:szCs w:val="22"/>
        </w:rPr>
        <w:t xml:space="preserve"> </w:t>
      </w:r>
      <w:r w:rsidR="00C77B1E">
        <w:rPr>
          <w:rFonts w:ascii="Arial" w:hAnsi="Arial" w:cs="Arial"/>
          <w:b/>
          <w:sz w:val="22"/>
          <w:szCs w:val="22"/>
        </w:rPr>
        <w:t>s</w:t>
      </w:r>
      <w:r w:rsidR="00692A17">
        <w:rPr>
          <w:rFonts w:ascii="Arial" w:hAnsi="Arial" w:cs="Arial"/>
          <w:b/>
          <w:sz w:val="22"/>
          <w:szCs w:val="22"/>
        </w:rPr>
        <w:t>em változ</w:t>
      </w:r>
      <w:r w:rsidR="00C77B1E">
        <w:rPr>
          <w:rFonts w:ascii="Arial" w:hAnsi="Arial" w:cs="Arial"/>
          <w:b/>
          <w:sz w:val="22"/>
          <w:szCs w:val="22"/>
        </w:rPr>
        <w:t>ik</w:t>
      </w:r>
      <w:r w:rsidR="00485B52">
        <w:rPr>
          <w:rFonts w:ascii="Arial" w:hAnsi="Arial" w:cs="Arial"/>
          <w:b/>
          <w:sz w:val="22"/>
          <w:szCs w:val="22"/>
        </w:rPr>
        <w:t xml:space="preserve">, </w:t>
      </w:r>
      <w:r w:rsidR="00C77B1E">
        <w:rPr>
          <w:rFonts w:ascii="Arial" w:hAnsi="Arial" w:cs="Arial"/>
          <w:b/>
          <w:sz w:val="22"/>
          <w:szCs w:val="22"/>
        </w:rPr>
        <w:t xml:space="preserve">a helyi szabályozás szerint </w:t>
      </w:r>
      <w:r w:rsidR="00485B52">
        <w:rPr>
          <w:rFonts w:ascii="Arial" w:hAnsi="Arial" w:cs="Arial"/>
          <w:bCs/>
          <w:sz w:val="22"/>
          <w:szCs w:val="22"/>
        </w:rPr>
        <w:t xml:space="preserve">továbbra is 2 % adómérték kerül alkalmazásra, emellett működik </w:t>
      </w:r>
      <w:r w:rsidR="00485B52" w:rsidRPr="0088580B">
        <w:rPr>
          <w:rFonts w:ascii="Arial" w:hAnsi="Arial" w:cs="Arial"/>
          <w:sz w:val="22"/>
          <w:szCs w:val="22"/>
        </w:rPr>
        <w:t xml:space="preserve">a </w:t>
      </w:r>
      <w:r w:rsidR="003D1C02">
        <w:rPr>
          <w:rFonts w:ascii="Arial" w:hAnsi="Arial" w:cs="Arial"/>
          <w:sz w:val="22"/>
          <w:szCs w:val="22"/>
        </w:rPr>
        <w:t>kisvállal</w:t>
      </w:r>
      <w:r w:rsidR="003974D5">
        <w:rPr>
          <w:rFonts w:ascii="Arial" w:hAnsi="Arial" w:cs="Arial"/>
          <w:sz w:val="22"/>
          <w:szCs w:val="22"/>
        </w:rPr>
        <w:t xml:space="preserve">kozásokat érintő </w:t>
      </w:r>
      <w:r w:rsidR="00485B52">
        <w:rPr>
          <w:rFonts w:ascii="Arial" w:hAnsi="Arial" w:cs="Arial"/>
          <w:sz w:val="22"/>
          <w:szCs w:val="22"/>
        </w:rPr>
        <w:t xml:space="preserve">sávos </w:t>
      </w:r>
      <w:r w:rsidR="009070E6" w:rsidRPr="009070E6">
        <w:rPr>
          <w:rFonts w:ascii="Arial" w:hAnsi="Arial" w:cs="Arial"/>
          <w:sz w:val="22"/>
          <w:szCs w:val="22"/>
        </w:rPr>
        <w:t>módszer</w:t>
      </w:r>
      <w:r w:rsidR="00485B52">
        <w:rPr>
          <w:rFonts w:ascii="Arial" w:hAnsi="Arial" w:cs="Arial"/>
          <w:sz w:val="22"/>
          <w:szCs w:val="22"/>
        </w:rPr>
        <w:t xml:space="preserve">, mely szerint amennyiben </w:t>
      </w:r>
      <w:r w:rsidR="009070E6" w:rsidRPr="009070E6">
        <w:rPr>
          <w:rFonts w:ascii="Arial" w:hAnsi="Arial" w:cs="Arial"/>
          <w:sz w:val="22"/>
          <w:szCs w:val="22"/>
        </w:rPr>
        <w:t>az adózó bevétele a</w:t>
      </w:r>
      <w:r w:rsidR="00485B52">
        <w:rPr>
          <w:rFonts w:ascii="Arial" w:hAnsi="Arial" w:cs="Arial"/>
          <w:sz w:val="22"/>
          <w:szCs w:val="22"/>
        </w:rPr>
        <w:t>z adott</w:t>
      </w:r>
      <w:r w:rsidR="009070E6" w:rsidRPr="009070E6">
        <w:rPr>
          <w:rFonts w:ascii="Arial" w:hAnsi="Arial" w:cs="Arial"/>
          <w:sz w:val="22"/>
          <w:szCs w:val="22"/>
        </w:rPr>
        <w:t xml:space="preserve"> bevételi sávot nem lép</w:t>
      </w:r>
      <w:r w:rsidR="0088580B">
        <w:rPr>
          <w:rFonts w:ascii="Arial" w:hAnsi="Arial" w:cs="Arial"/>
          <w:sz w:val="22"/>
          <w:szCs w:val="22"/>
        </w:rPr>
        <w:t>i</w:t>
      </w:r>
      <w:r w:rsidR="009070E6" w:rsidRPr="009070E6">
        <w:rPr>
          <w:rFonts w:ascii="Arial" w:hAnsi="Arial" w:cs="Arial"/>
          <w:sz w:val="22"/>
          <w:szCs w:val="22"/>
        </w:rPr>
        <w:t xml:space="preserve"> át</w:t>
      </w:r>
      <w:r w:rsidR="00C661A5">
        <w:rPr>
          <w:rFonts w:ascii="Arial" w:hAnsi="Arial" w:cs="Arial"/>
          <w:sz w:val="22"/>
          <w:szCs w:val="22"/>
        </w:rPr>
        <w:t xml:space="preserve">, </w:t>
      </w:r>
      <w:r w:rsidR="009070E6" w:rsidRPr="009070E6">
        <w:rPr>
          <w:rFonts w:ascii="Arial" w:hAnsi="Arial" w:cs="Arial"/>
          <w:sz w:val="22"/>
          <w:szCs w:val="22"/>
        </w:rPr>
        <w:t>május 31-ig kell előleget fizetni a 202</w:t>
      </w:r>
      <w:r w:rsidR="00485B52">
        <w:rPr>
          <w:rFonts w:ascii="Arial" w:hAnsi="Arial" w:cs="Arial"/>
          <w:sz w:val="22"/>
          <w:szCs w:val="22"/>
        </w:rPr>
        <w:t>5</w:t>
      </w:r>
      <w:r w:rsidR="009070E6" w:rsidRPr="009070E6">
        <w:rPr>
          <w:rFonts w:ascii="Arial" w:hAnsi="Arial" w:cs="Arial"/>
          <w:sz w:val="22"/>
          <w:szCs w:val="22"/>
        </w:rPr>
        <w:t>. évre.</w:t>
      </w:r>
      <w:r w:rsidR="00C77B1E">
        <w:rPr>
          <w:rFonts w:ascii="Arial" w:hAnsi="Arial" w:cs="Arial"/>
          <w:sz w:val="22"/>
          <w:szCs w:val="22"/>
        </w:rPr>
        <w:t xml:space="preserve"> Ugyanakkor központi szabályozás alapján </w:t>
      </w:r>
      <w:r w:rsidR="00A56DD3" w:rsidRPr="00A56DD3">
        <w:rPr>
          <w:rFonts w:ascii="Arial" w:hAnsi="Arial" w:cs="Arial"/>
          <w:sz w:val="22"/>
          <w:szCs w:val="22"/>
        </w:rPr>
        <w:t>az iparűzési adó átalak</w:t>
      </w:r>
      <w:r w:rsidR="00A56DD3">
        <w:rPr>
          <w:rFonts w:ascii="Arial" w:hAnsi="Arial" w:cs="Arial"/>
          <w:sz w:val="22"/>
          <w:szCs w:val="22"/>
        </w:rPr>
        <w:t>ul</w:t>
      </w:r>
      <w:r w:rsidR="00A56DD3" w:rsidRPr="00A56DD3">
        <w:rPr>
          <w:rFonts w:ascii="Arial" w:hAnsi="Arial" w:cs="Arial"/>
          <w:sz w:val="22"/>
          <w:szCs w:val="22"/>
        </w:rPr>
        <w:t xml:space="preserve">, egy </w:t>
      </w:r>
      <w:r w:rsidR="00A56DD3">
        <w:rPr>
          <w:rFonts w:ascii="Arial" w:hAnsi="Arial" w:cs="Arial"/>
          <w:sz w:val="22"/>
          <w:szCs w:val="22"/>
        </w:rPr>
        <w:t>központi területfejlesztési alapba kerül a 2024. évhez viszonyított adótöbblet. A</w:t>
      </w:r>
      <w:r w:rsidR="00A56DD3" w:rsidRPr="00A56DD3">
        <w:rPr>
          <w:rFonts w:ascii="Arial" w:hAnsi="Arial" w:cs="Arial"/>
          <w:sz w:val="22"/>
          <w:szCs w:val="22"/>
        </w:rPr>
        <w:t xml:space="preserve"> Versenyképes Járások program</w:t>
      </w:r>
      <w:r w:rsidR="00A56DD3">
        <w:rPr>
          <w:rFonts w:ascii="Arial" w:hAnsi="Arial" w:cs="Arial"/>
          <w:sz w:val="22"/>
          <w:szCs w:val="22"/>
        </w:rPr>
        <w:t xml:space="preserve"> keretében lehet pályázni ebből a forrásból.</w:t>
      </w:r>
    </w:p>
    <w:p w14:paraId="37CCF9D3" w14:textId="77777777" w:rsidR="004A4AC4" w:rsidRPr="004A4AC4" w:rsidRDefault="004A4AC4" w:rsidP="004A4AC4">
      <w:pPr>
        <w:spacing w:line="240" w:lineRule="atLeast"/>
        <w:jc w:val="both"/>
        <w:rPr>
          <w:rFonts w:ascii="Arial" w:hAnsi="Arial" w:cs="Arial"/>
          <w:sz w:val="22"/>
          <w:szCs w:val="22"/>
        </w:rPr>
      </w:pPr>
    </w:p>
    <w:p w14:paraId="06D5A826" w14:textId="29F607ED" w:rsidR="000B7514" w:rsidRDefault="00CC4668" w:rsidP="004A4AC4">
      <w:pPr>
        <w:spacing w:line="240" w:lineRule="atLeast"/>
        <w:jc w:val="both"/>
        <w:rPr>
          <w:rFonts w:ascii="Arial" w:hAnsi="Arial" w:cs="Arial"/>
          <w:sz w:val="22"/>
          <w:szCs w:val="22"/>
        </w:rPr>
      </w:pPr>
      <w:r>
        <w:rPr>
          <w:rFonts w:ascii="Arial" w:hAnsi="Arial" w:cs="Arial"/>
          <w:sz w:val="22"/>
          <w:szCs w:val="22"/>
        </w:rPr>
        <w:t>b.) 2025. január</w:t>
      </w:r>
      <w:r w:rsidR="001B1172">
        <w:rPr>
          <w:rFonts w:ascii="Arial" w:hAnsi="Arial" w:cs="Arial"/>
          <w:sz w:val="22"/>
          <w:szCs w:val="22"/>
        </w:rPr>
        <w:t xml:space="preserve"> 1-től</w:t>
      </w:r>
      <w:r w:rsidR="00B55FF9">
        <w:rPr>
          <w:rFonts w:ascii="Arial" w:hAnsi="Arial" w:cs="Arial"/>
          <w:sz w:val="22"/>
          <w:szCs w:val="22"/>
        </w:rPr>
        <w:t xml:space="preserve"> </w:t>
      </w:r>
      <w:r w:rsidR="000B7514">
        <w:rPr>
          <w:rFonts w:ascii="Arial" w:hAnsi="Arial" w:cs="Arial"/>
          <w:sz w:val="22"/>
          <w:szCs w:val="22"/>
        </w:rPr>
        <w:t>változott</w:t>
      </w:r>
      <w:r w:rsidR="004A4AC4" w:rsidRPr="004A4AC4">
        <w:rPr>
          <w:rFonts w:ascii="Arial" w:hAnsi="Arial" w:cs="Arial"/>
          <w:sz w:val="22"/>
          <w:szCs w:val="22"/>
        </w:rPr>
        <w:t xml:space="preserve"> a </w:t>
      </w:r>
      <w:r w:rsidR="004A4AC4" w:rsidRPr="00B35481">
        <w:rPr>
          <w:rFonts w:ascii="Arial" w:hAnsi="Arial" w:cs="Arial"/>
          <w:b/>
          <w:sz w:val="22"/>
          <w:szCs w:val="22"/>
        </w:rPr>
        <w:t>minimálbér és a garantált bérminimum</w:t>
      </w:r>
      <w:r w:rsidR="004A4AC4" w:rsidRPr="004A4AC4">
        <w:rPr>
          <w:rFonts w:ascii="Arial" w:hAnsi="Arial" w:cs="Arial"/>
          <w:sz w:val="22"/>
          <w:szCs w:val="22"/>
        </w:rPr>
        <w:t>. A m</w:t>
      </w:r>
      <w:r w:rsidR="000B7514">
        <w:rPr>
          <w:rFonts w:ascii="Arial" w:hAnsi="Arial" w:cs="Arial"/>
          <w:sz w:val="22"/>
          <w:szCs w:val="22"/>
        </w:rPr>
        <w:t>inimálbér</w:t>
      </w:r>
      <w:r>
        <w:rPr>
          <w:rFonts w:ascii="Arial" w:hAnsi="Arial" w:cs="Arial"/>
          <w:sz w:val="22"/>
          <w:szCs w:val="22"/>
        </w:rPr>
        <w:t xml:space="preserve"> a korábbi bruttó 266 800 Ft-ról</w:t>
      </w:r>
      <w:r w:rsidR="000B7514">
        <w:rPr>
          <w:rFonts w:ascii="Arial" w:hAnsi="Arial" w:cs="Arial"/>
          <w:sz w:val="22"/>
          <w:szCs w:val="22"/>
        </w:rPr>
        <w:t xml:space="preserve"> </w:t>
      </w:r>
      <w:r>
        <w:rPr>
          <w:rFonts w:ascii="Arial" w:hAnsi="Arial" w:cs="Arial"/>
          <w:sz w:val="22"/>
          <w:szCs w:val="22"/>
        </w:rPr>
        <w:t xml:space="preserve">290 800 Ft-ra </w:t>
      </w:r>
      <w:r w:rsidR="000B7514">
        <w:rPr>
          <w:rFonts w:ascii="Arial" w:hAnsi="Arial" w:cs="Arial"/>
          <w:sz w:val="22"/>
          <w:szCs w:val="22"/>
        </w:rPr>
        <w:t>nőtt</w:t>
      </w:r>
      <w:r w:rsidR="004A4AC4" w:rsidRPr="004A4AC4">
        <w:rPr>
          <w:rFonts w:ascii="Arial" w:hAnsi="Arial" w:cs="Arial"/>
          <w:sz w:val="22"/>
          <w:szCs w:val="22"/>
        </w:rPr>
        <w:t>, a garantált bérminimum</w:t>
      </w:r>
      <w:r>
        <w:rPr>
          <w:rFonts w:ascii="Arial" w:hAnsi="Arial" w:cs="Arial"/>
          <w:sz w:val="22"/>
          <w:szCs w:val="22"/>
        </w:rPr>
        <w:t xml:space="preserve"> pedig 326 000 Ft-ról 348 800 Ft-ra</w:t>
      </w:r>
      <w:r w:rsidR="004A4AC4" w:rsidRPr="004A4AC4">
        <w:rPr>
          <w:rFonts w:ascii="Arial" w:hAnsi="Arial" w:cs="Arial"/>
          <w:sz w:val="22"/>
          <w:szCs w:val="22"/>
        </w:rPr>
        <w:t xml:space="preserve"> változ</w:t>
      </w:r>
      <w:r w:rsidR="00B55FF9">
        <w:rPr>
          <w:rFonts w:ascii="Arial" w:hAnsi="Arial" w:cs="Arial"/>
          <w:sz w:val="22"/>
          <w:szCs w:val="22"/>
        </w:rPr>
        <w:t>ott</w:t>
      </w:r>
      <w:r w:rsidR="004A4AC4" w:rsidRPr="004A4AC4">
        <w:rPr>
          <w:rFonts w:ascii="Arial" w:hAnsi="Arial" w:cs="Arial"/>
          <w:sz w:val="22"/>
          <w:szCs w:val="22"/>
        </w:rPr>
        <w:t xml:space="preserve">. </w:t>
      </w:r>
    </w:p>
    <w:p w14:paraId="444D5B8F" w14:textId="77777777" w:rsidR="00B55FF9" w:rsidRDefault="00B55FF9" w:rsidP="004A4AC4">
      <w:pPr>
        <w:spacing w:line="240" w:lineRule="atLeast"/>
        <w:jc w:val="both"/>
        <w:rPr>
          <w:rFonts w:ascii="Arial" w:hAnsi="Arial" w:cs="Arial"/>
          <w:sz w:val="22"/>
          <w:szCs w:val="22"/>
        </w:rPr>
      </w:pPr>
    </w:p>
    <w:p w14:paraId="4D98D849" w14:textId="4C8F4EFF" w:rsidR="004A4AC4" w:rsidRPr="005A4833" w:rsidRDefault="004A4AC4" w:rsidP="004A4AC4">
      <w:pPr>
        <w:spacing w:line="240" w:lineRule="atLeast"/>
        <w:jc w:val="both"/>
        <w:rPr>
          <w:rFonts w:ascii="Arial" w:hAnsi="Arial" w:cs="Arial"/>
          <w:b/>
          <w:bCs/>
          <w:sz w:val="22"/>
          <w:szCs w:val="22"/>
        </w:rPr>
      </w:pPr>
      <w:r w:rsidRPr="005A4833">
        <w:rPr>
          <w:rFonts w:ascii="Arial" w:hAnsi="Arial" w:cs="Arial"/>
          <w:b/>
          <w:bCs/>
          <w:sz w:val="22"/>
          <w:szCs w:val="22"/>
        </w:rPr>
        <w:t>A szociális hozzájár</w:t>
      </w:r>
      <w:r w:rsidR="00027786">
        <w:rPr>
          <w:rFonts w:ascii="Arial" w:hAnsi="Arial" w:cs="Arial"/>
          <w:b/>
          <w:bCs/>
          <w:sz w:val="22"/>
          <w:szCs w:val="22"/>
        </w:rPr>
        <w:t xml:space="preserve">ulási adó mértéke nem változott, ez évben is </w:t>
      </w:r>
      <w:r w:rsidRPr="005A4833">
        <w:rPr>
          <w:rFonts w:ascii="Arial" w:hAnsi="Arial" w:cs="Arial"/>
          <w:b/>
          <w:bCs/>
          <w:sz w:val="22"/>
          <w:szCs w:val="22"/>
        </w:rPr>
        <w:t>13%.</w:t>
      </w:r>
    </w:p>
    <w:p w14:paraId="7BAE510B" w14:textId="77777777" w:rsidR="004A4AC4" w:rsidRPr="004A4AC4" w:rsidRDefault="004A4AC4" w:rsidP="004A4AC4">
      <w:pPr>
        <w:spacing w:line="240" w:lineRule="atLeast"/>
        <w:jc w:val="both"/>
        <w:rPr>
          <w:rFonts w:ascii="Arial" w:hAnsi="Arial" w:cs="Arial"/>
          <w:sz w:val="22"/>
          <w:szCs w:val="22"/>
        </w:rPr>
      </w:pPr>
    </w:p>
    <w:p w14:paraId="6967FBBE" w14:textId="1A4415AB" w:rsidR="004A4AC4" w:rsidRPr="004A4AC4" w:rsidRDefault="00CB13B0" w:rsidP="004A4AC4">
      <w:pPr>
        <w:spacing w:line="240" w:lineRule="atLeast"/>
        <w:jc w:val="both"/>
        <w:rPr>
          <w:rFonts w:ascii="Arial" w:hAnsi="Arial" w:cs="Arial"/>
          <w:sz w:val="22"/>
          <w:szCs w:val="22"/>
        </w:rPr>
      </w:pPr>
      <w:r>
        <w:rPr>
          <w:rFonts w:ascii="Arial" w:hAnsi="Arial" w:cs="Arial"/>
          <w:sz w:val="22"/>
          <w:szCs w:val="22"/>
        </w:rPr>
        <w:t>c.)</w:t>
      </w:r>
      <w:r>
        <w:rPr>
          <w:rFonts w:ascii="Arial" w:hAnsi="Arial" w:cs="Arial"/>
          <w:sz w:val="22"/>
          <w:szCs w:val="22"/>
        </w:rPr>
        <w:tab/>
        <w:t>2025</w:t>
      </w:r>
      <w:r w:rsidR="004A4AC4" w:rsidRPr="004A4AC4">
        <w:rPr>
          <w:rFonts w:ascii="Arial" w:hAnsi="Arial" w:cs="Arial"/>
          <w:sz w:val="22"/>
          <w:szCs w:val="22"/>
        </w:rPr>
        <w:t xml:space="preserve">-ben változatlan </w:t>
      </w:r>
      <w:r w:rsidR="00485B52">
        <w:rPr>
          <w:rFonts w:ascii="Arial" w:hAnsi="Arial" w:cs="Arial"/>
          <w:sz w:val="22"/>
          <w:szCs w:val="22"/>
        </w:rPr>
        <w:t xml:space="preserve">mértékű </w:t>
      </w:r>
      <w:r w:rsidR="004A4AC4" w:rsidRPr="004A4AC4">
        <w:rPr>
          <w:rFonts w:ascii="Arial" w:hAnsi="Arial" w:cs="Arial"/>
          <w:sz w:val="22"/>
          <w:szCs w:val="22"/>
        </w:rPr>
        <w:t xml:space="preserve">a közalkalmazotti illetményalap, </w:t>
      </w:r>
      <w:r w:rsidR="00485B52">
        <w:rPr>
          <w:rFonts w:ascii="Arial" w:hAnsi="Arial" w:cs="Arial"/>
          <w:sz w:val="22"/>
          <w:szCs w:val="22"/>
        </w:rPr>
        <w:t xml:space="preserve">továbbá </w:t>
      </w:r>
      <w:r w:rsidR="004A4AC4" w:rsidRPr="004A4AC4">
        <w:rPr>
          <w:rFonts w:ascii="Arial" w:hAnsi="Arial" w:cs="Arial"/>
          <w:sz w:val="22"/>
          <w:szCs w:val="22"/>
        </w:rPr>
        <w:t xml:space="preserve">a </w:t>
      </w:r>
      <w:r w:rsidR="004A4AC4" w:rsidRPr="0088580B">
        <w:rPr>
          <w:rFonts w:ascii="Arial" w:hAnsi="Arial" w:cs="Arial"/>
          <w:bCs/>
          <w:sz w:val="22"/>
          <w:szCs w:val="22"/>
        </w:rPr>
        <w:t>köztisztviselői illetményalap</w:t>
      </w:r>
      <w:r w:rsidR="004A4AC4" w:rsidRPr="0088580B">
        <w:rPr>
          <w:rFonts w:ascii="Arial" w:hAnsi="Arial" w:cs="Arial"/>
          <w:sz w:val="22"/>
          <w:szCs w:val="22"/>
        </w:rPr>
        <w:t xml:space="preserve"> is</w:t>
      </w:r>
      <w:r w:rsidR="00485B52">
        <w:rPr>
          <w:rFonts w:ascii="Arial" w:hAnsi="Arial" w:cs="Arial"/>
          <w:sz w:val="22"/>
          <w:szCs w:val="22"/>
        </w:rPr>
        <w:t xml:space="preserve">: </w:t>
      </w:r>
      <w:r w:rsidR="004A4AC4" w:rsidRPr="004A4AC4">
        <w:rPr>
          <w:rFonts w:ascii="Arial" w:hAnsi="Arial" w:cs="Arial"/>
          <w:sz w:val="22"/>
          <w:szCs w:val="22"/>
        </w:rPr>
        <w:t>38.650 Ft maradt a törvény szerint. A jogalkotó ez évben is lehetőséget biztosít</w:t>
      </w:r>
      <w:r w:rsidR="002E4D7B">
        <w:rPr>
          <w:rFonts w:ascii="Arial" w:hAnsi="Arial" w:cs="Arial"/>
          <w:sz w:val="22"/>
          <w:szCs w:val="22"/>
        </w:rPr>
        <w:t xml:space="preserve"> a </w:t>
      </w:r>
      <w:r w:rsidR="0088580B">
        <w:rPr>
          <w:rFonts w:ascii="Arial" w:hAnsi="Arial" w:cs="Arial"/>
          <w:sz w:val="22"/>
          <w:szCs w:val="22"/>
        </w:rPr>
        <w:t>központi költségvetésről szóló t</w:t>
      </w:r>
      <w:r w:rsidR="002E4D7B">
        <w:rPr>
          <w:rFonts w:ascii="Arial" w:hAnsi="Arial" w:cs="Arial"/>
          <w:sz w:val="22"/>
          <w:szCs w:val="22"/>
        </w:rPr>
        <w:t>örvényben</w:t>
      </w:r>
      <w:r w:rsidR="004A4AC4" w:rsidRPr="004A4AC4">
        <w:rPr>
          <w:rFonts w:ascii="Arial" w:hAnsi="Arial" w:cs="Arial"/>
          <w:sz w:val="22"/>
          <w:szCs w:val="22"/>
        </w:rPr>
        <w:t>, hogy a Képviselő-testület magasabb összeget állapíthasson meg a polgármesteri hivatal, közös önkormányzati hivatal közszolgálati tisztviselői</w:t>
      </w:r>
      <w:r w:rsidR="002E4D7B">
        <w:rPr>
          <w:rFonts w:ascii="Arial" w:hAnsi="Arial" w:cs="Arial"/>
          <w:sz w:val="22"/>
          <w:szCs w:val="22"/>
        </w:rPr>
        <w:t xml:space="preserve"> részére</w:t>
      </w:r>
      <w:r w:rsidR="004A4AC4" w:rsidRPr="004A4AC4">
        <w:rPr>
          <w:rFonts w:ascii="Arial" w:hAnsi="Arial" w:cs="Arial"/>
          <w:sz w:val="22"/>
          <w:szCs w:val="22"/>
        </w:rPr>
        <w:t xml:space="preserve">. </w:t>
      </w:r>
      <w:r w:rsidR="004A4AC4" w:rsidRPr="00B35481">
        <w:rPr>
          <w:rFonts w:ascii="Arial" w:hAnsi="Arial" w:cs="Arial"/>
          <w:b/>
          <w:sz w:val="22"/>
          <w:szCs w:val="22"/>
        </w:rPr>
        <w:t>Bátaszé</w:t>
      </w:r>
      <w:r w:rsidR="00C51010">
        <w:rPr>
          <w:rFonts w:ascii="Arial" w:hAnsi="Arial" w:cs="Arial"/>
          <w:b/>
          <w:sz w:val="22"/>
          <w:szCs w:val="22"/>
        </w:rPr>
        <w:t xml:space="preserve">k Város Képviselő-testülete az illetményalapot </w:t>
      </w:r>
      <w:r w:rsidR="004A4AC4" w:rsidRPr="00B35481">
        <w:rPr>
          <w:rFonts w:ascii="Arial" w:hAnsi="Arial" w:cs="Arial"/>
          <w:b/>
          <w:sz w:val="22"/>
          <w:szCs w:val="22"/>
        </w:rPr>
        <w:t>a</w:t>
      </w:r>
      <w:r w:rsidR="002E4D7B">
        <w:rPr>
          <w:rFonts w:ascii="Arial" w:hAnsi="Arial" w:cs="Arial"/>
          <w:b/>
          <w:sz w:val="22"/>
          <w:szCs w:val="22"/>
        </w:rPr>
        <w:t xml:space="preserve">z </w:t>
      </w:r>
      <w:r w:rsidR="002E4D7B" w:rsidRPr="002E4D7B">
        <w:rPr>
          <w:rFonts w:ascii="Arial" w:hAnsi="Arial" w:cs="Arial"/>
          <w:b/>
          <w:sz w:val="22"/>
          <w:szCs w:val="22"/>
        </w:rPr>
        <w:t xml:space="preserve">1/2025. (I.30.) </w:t>
      </w:r>
      <w:r w:rsidR="004A4AC4" w:rsidRPr="00692A17">
        <w:rPr>
          <w:rFonts w:ascii="Arial" w:hAnsi="Arial" w:cs="Arial"/>
          <w:b/>
          <w:sz w:val="22"/>
          <w:szCs w:val="22"/>
        </w:rPr>
        <w:t>ö</w:t>
      </w:r>
      <w:r w:rsidR="00CC04CD" w:rsidRPr="00692A17">
        <w:rPr>
          <w:rFonts w:ascii="Arial" w:hAnsi="Arial" w:cs="Arial"/>
          <w:b/>
          <w:sz w:val="22"/>
          <w:szCs w:val="22"/>
        </w:rPr>
        <w:t>nkormányzati</w:t>
      </w:r>
      <w:r>
        <w:rPr>
          <w:rFonts w:ascii="Arial" w:hAnsi="Arial" w:cs="Arial"/>
          <w:b/>
          <w:sz w:val="22"/>
          <w:szCs w:val="22"/>
        </w:rPr>
        <w:t xml:space="preserve"> rendeletében a 2025</w:t>
      </w:r>
      <w:r w:rsidR="004A4AC4" w:rsidRPr="00B35481">
        <w:rPr>
          <w:rFonts w:ascii="Arial" w:hAnsi="Arial" w:cs="Arial"/>
          <w:b/>
          <w:sz w:val="22"/>
          <w:szCs w:val="22"/>
        </w:rPr>
        <w:t>. évre vonatkozóan - az előző évi mértékkel azonos összegben - 50.000 Ft-ban határozta meg</w:t>
      </w:r>
      <w:r w:rsidR="004A4AC4" w:rsidRPr="004A4AC4">
        <w:rPr>
          <w:rFonts w:ascii="Arial" w:hAnsi="Arial" w:cs="Arial"/>
          <w:sz w:val="22"/>
          <w:szCs w:val="22"/>
        </w:rPr>
        <w:t xml:space="preserve">. </w:t>
      </w:r>
    </w:p>
    <w:p w14:paraId="5531A5D4" w14:textId="77777777" w:rsidR="004A4AC4" w:rsidRPr="004A4AC4" w:rsidRDefault="004A4AC4" w:rsidP="004A4AC4">
      <w:pPr>
        <w:spacing w:line="240" w:lineRule="atLeast"/>
        <w:jc w:val="both"/>
        <w:rPr>
          <w:rFonts w:ascii="Arial" w:hAnsi="Arial" w:cs="Arial"/>
          <w:sz w:val="22"/>
          <w:szCs w:val="22"/>
        </w:rPr>
      </w:pPr>
    </w:p>
    <w:p w14:paraId="6CB38EE1" w14:textId="1EBE39BE" w:rsidR="004A4AC4" w:rsidRPr="004A4AC4" w:rsidRDefault="004A4AC4" w:rsidP="008671F3">
      <w:pPr>
        <w:spacing w:line="240" w:lineRule="atLeast"/>
        <w:jc w:val="both"/>
        <w:rPr>
          <w:rFonts w:ascii="Arial" w:hAnsi="Arial" w:cs="Arial"/>
          <w:sz w:val="22"/>
          <w:szCs w:val="22"/>
        </w:rPr>
      </w:pPr>
      <w:r w:rsidRPr="004A4AC4">
        <w:rPr>
          <w:rFonts w:ascii="Arial" w:hAnsi="Arial" w:cs="Arial"/>
          <w:sz w:val="22"/>
          <w:szCs w:val="22"/>
        </w:rPr>
        <w:t>d.)</w:t>
      </w:r>
      <w:r w:rsidRPr="004A4AC4">
        <w:rPr>
          <w:rFonts w:ascii="Arial" w:hAnsi="Arial" w:cs="Arial"/>
          <w:sz w:val="22"/>
          <w:szCs w:val="22"/>
        </w:rPr>
        <w:tab/>
      </w:r>
      <w:r w:rsidRPr="009574C9">
        <w:rPr>
          <w:rFonts w:ascii="Arial" w:hAnsi="Arial" w:cs="Arial"/>
          <w:sz w:val="22"/>
          <w:szCs w:val="22"/>
        </w:rPr>
        <w:t xml:space="preserve">A Magyarország helyi önkormányzatairól szóló 2011. évi CLXXXIX. törvény </w:t>
      </w:r>
      <w:r w:rsidR="00CB13B0">
        <w:rPr>
          <w:rFonts w:ascii="Arial" w:hAnsi="Arial" w:cs="Arial"/>
          <w:sz w:val="22"/>
          <w:szCs w:val="22"/>
        </w:rPr>
        <w:t xml:space="preserve">módosítása következtében </w:t>
      </w:r>
      <w:r w:rsidR="00CB13B0" w:rsidRPr="00CB13B0">
        <w:rPr>
          <w:rFonts w:ascii="Arial" w:hAnsi="Arial" w:cs="Arial"/>
          <w:sz w:val="22"/>
          <w:szCs w:val="22"/>
        </w:rPr>
        <w:t xml:space="preserve">a </w:t>
      </w:r>
      <w:r w:rsidR="00CB13B0" w:rsidRPr="008671F3">
        <w:rPr>
          <w:rFonts w:ascii="Arial" w:hAnsi="Arial" w:cs="Arial"/>
          <w:b/>
          <w:bCs/>
          <w:sz w:val="22"/>
          <w:szCs w:val="22"/>
        </w:rPr>
        <w:t>polgármesteri díjazás</w:t>
      </w:r>
      <w:r w:rsidR="00CB13B0">
        <w:rPr>
          <w:rFonts w:ascii="Arial" w:hAnsi="Arial" w:cs="Arial"/>
          <w:sz w:val="22"/>
          <w:szCs w:val="22"/>
        </w:rPr>
        <w:t xml:space="preserve"> mértéke</w:t>
      </w:r>
      <w:r w:rsidR="00CB13B0" w:rsidRPr="00CB13B0">
        <w:rPr>
          <w:rFonts w:ascii="Arial" w:hAnsi="Arial" w:cs="Arial"/>
          <w:sz w:val="22"/>
          <w:szCs w:val="22"/>
        </w:rPr>
        <w:t xml:space="preserve"> változott,</w:t>
      </w:r>
      <w:r w:rsidR="00CB13B0">
        <w:rPr>
          <w:rFonts w:ascii="Arial" w:hAnsi="Arial" w:cs="Arial"/>
          <w:sz w:val="22"/>
          <w:szCs w:val="22"/>
        </w:rPr>
        <w:t xml:space="preserve"> a </w:t>
      </w:r>
      <w:r w:rsidR="00CB13B0" w:rsidRPr="00CB13B0">
        <w:rPr>
          <w:rFonts w:ascii="Arial" w:hAnsi="Arial" w:cs="Arial"/>
          <w:sz w:val="22"/>
          <w:szCs w:val="22"/>
        </w:rPr>
        <w:t xml:space="preserve">Központi Statisztikai Hivatal által hivatalosan közzétett, a tárgyévet megelőző évre vonatkozó nemzetgazdasági havi átlagos bruttó kereset </w:t>
      </w:r>
      <w:r w:rsidR="00CB13B0">
        <w:rPr>
          <w:rFonts w:ascii="Arial" w:hAnsi="Arial" w:cs="Arial"/>
          <w:sz w:val="22"/>
          <w:szCs w:val="22"/>
        </w:rPr>
        <w:t xml:space="preserve">alapján jár a juttatás, melynek finanszírozásához a 30 000 fő alatti </w:t>
      </w:r>
      <w:r w:rsidRPr="009574C9">
        <w:rPr>
          <w:rFonts w:ascii="Arial" w:hAnsi="Arial" w:cs="Arial"/>
          <w:sz w:val="22"/>
          <w:szCs w:val="22"/>
        </w:rPr>
        <w:t>népességszámú települések esetén bizt</w:t>
      </w:r>
      <w:r w:rsidR="00CB13B0">
        <w:rPr>
          <w:rFonts w:ascii="Arial" w:hAnsi="Arial" w:cs="Arial"/>
          <w:sz w:val="22"/>
          <w:szCs w:val="22"/>
        </w:rPr>
        <w:t xml:space="preserve">osít a központi költségvetés fedezet, így </w:t>
      </w:r>
      <w:r w:rsidR="00CB13B0" w:rsidRPr="008671F3">
        <w:rPr>
          <w:rFonts w:ascii="Arial" w:hAnsi="Arial" w:cs="Arial"/>
          <w:b/>
          <w:bCs/>
          <w:sz w:val="22"/>
          <w:szCs w:val="22"/>
        </w:rPr>
        <w:t>önkormányzatunk is kedvezményezett.</w:t>
      </w:r>
      <w:r w:rsidR="008671F3">
        <w:rPr>
          <w:rFonts w:ascii="Arial" w:hAnsi="Arial" w:cs="Arial"/>
          <w:sz w:val="22"/>
          <w:szCs w:val="22"/>
        </w:rPr>
        <w:t xml:space="preserve"> A forrás </w:t>
      </w:r>
      <w:r w:rsidR="008671F3" w:rsidRPr="008671F3">
        <w:rPr>
          <w:rFonts w:ascii="Arial" w:hAnsi="Arial" w:cs="Arial"/>
          <w:sz w:val="22"/>
          <w:szCs w:val="22"/>
        </w:rPr>
        <w:t>polgármesteri illetmény és költségtérítés, valamint az ezekhez kapcsolódó szociális hozzájárulási adó kifizetésére használható fel.</w:t>
      </w:r>
    </w:p>
    <w:p w14:paraId="3F7D37E9" w14:textId="77777777" w:rsidR="004A4AC4" w:rsidRPr="004A4AC4" w:rsidRDefault="004A4AC4" w:rsidP="004A4AC4">
      <w:pPr>
        <w:spacing w:line="240" w:lineRule="atLeast"/>
        <w:jc w:val="both"/>
        <w:rPr>
          <w:rFonts w:ascii="Arial" w:hAnsi="Arial" w:cs="Arial"/>
          <w:sz w:val="22"/>
          <w:szCs w:val="22"/>
        </w:rPr>
      </w:pPr>
    </w:p>
    <w:p w14:paraId="41D6CE52" w14:textId="7602525B" w:rsidR="004A4AC4" w:rsidRPr="008671F3" w:rsidRDefault="004A4AC4" w:rsidP="004A4AC4">
      <w:pPr>
        <w:spacing w:line="240" w:lineRule="atLeast"/>
        <w:jc w:val="both"/>
        <w:rPr>
          <w:rFonts w:ascii="Arial" w:hAnsi="Arial" w:cs="Arial"/>
          <w:sz w:val="22"/>
          <w:szCs w:val="22"/>
        </w:rPr>
      </w:pPr>
      <w:r w:rsidRPr="008671F3">
        <w:rPr>
          <w:rFonts w:ascii="Arial" w:hAnsi="Arial" w:cs="Arial"/>
          <w:sz w:val="22"/>
          <w:szCs w:val="22"/>
        </w:rPr>
        <w:t>e.)</w:t>
      </w:r>
      <w:r w:rsidRPr="008671F3">
        <w:rPr>
          <w:rFonts w:ascii="Arial" w:hAnsi="Arial" w:cs="Arial"/>
          <w:sz w:val="22"/>
          <w:szCs w:val="22"/>
        </w:rPr>
        <w:tab/>
        <w:t xml:space="preserve">A </w:t>
      </w:r>
      <w:proofErr w:type="spellStart"/>
      <w:r w:rsidRPr="008671F3">
        <w:rPr>
          <w:rFonts w:ascii="Arial" w:hAnsi="Arial" w:cs="Arial"/>
          <w:b/>
          <w:sz w:val="22"/>
          <w:szCs w:val="22"/>
        </w:rPr>
        <w:t>cafetéria</w:t>
      </w:r>
      <w:proofErr w:type="spellEnd"/>
      <w:r w:rsidR="009F016A" w:rsidRPr="008671F3">
        <w:rPr>
          <w:rFonts w:ascii="Arial" w:hAnsi="Arial" w:cs="Arial"/>
          <w:sz w:val="22"/>
          <w:szCs w:val="22"/>
        </w:rPr>
        <w:t xml:space="preserve"> juttatás tekintetében a 2025</w:t>
      </w:r>
      <w:r w:rsidRPr="008671F3">
        <w:rPr>
          <w:rFonts w:ascii="Arial" w:hAnsi="Arial" w:cs="Arial"/>
          <w:sz w:val="22"/>
          <w:szCs w:val="22"/>
        </w:rPr>
        <w:t>. évre a hatályos jogszabály szerint</w:t>
      </w:r>
      <w:r w:rsidR="00F83457" w:rsidRPr="008671F3">
        <w:rPr>
          <w:rFonts w:ascii="Arial" w:hAnsi="Arial" w:cs="Arial"/>
          <w:sz w:val="22"/>
          <w:szCs w:val="22"/>
        </w:rPr>
        <w:t xml:space="preserve"> béren kívüli juttatásként adható maximális </w:t>
      </w:r>
      <w:r w:rsidR="00B46764" w:rsidRPr="008671F3">
        <w:rPr>
          <w:rFonts w:ascii="Arial" w:hAnsi="Arial" w:cs="Arial"/>
          <w:sz w:val="22"/>
          <w:szCs w:val="22"/>
        </w:rPr>
        <w:t xml:space="preserve">összeg </w:t>
      </w:r>
      <w:r w:rsidR="009F016A" w:rsidRPr="008671F3">
        <w:rPr>
          <w:rFonts w:ascii="Arial" w:hAnsi="Arial" w:cs="Arial"/>
          <w:sz w:val="22"/>
          <w:szCs w:val="22"/>
        </w:rPr>
        <w:t xml:space="preserve">kibővült </w:t>
      </w:r>
      <w:r w:rsidR="008671F3" w:rsidRPr="008671F3">
        <w:rPr>
          <w:rFonts w:ascii="Arial" w:hAnsi="Arial" w:cs="Arial"/>
          <w:sz w:val="22"/>
          <w:szCs w:val="22"/>
        </w:rPr>
        <w:t>az aktív élet jogcímmel. E juttatás</w:t>
      </w:r>
      <w:r w:rsidR="008671F3">
        <w:rPr>
          <w:rFonts w:ascii="Arial" w:hAnsi="Arial" w:cs="Arial"/>
          <w:sz w:val="22"/>
          <w:szCs w:val="22"/>
        </w:rPr>
        <w:t xml:space="preserve">t nem lehet </w:t>
      </w:r>
      <w:r w:rsidRPr="008671F3">
        <w:rPr>
          <w:rFonts w:ascii="Arial" w:hAnsi="Arial" w:cs="Arial"/>
          <w:sz w:val="22"/>
          <w:szCs w:val="22"/>
        </w:rPr>
        <w:t xml:space="preserve">alacsonyabb </w:t>
      </w:r>
      <w:r w:rsidR="008671F3">
        <w:rPr>
          <w:rFonts w:ascii="Arial" w:hAnsi="Arial" w:cs="Arial"/>
          <w:sz w:val="22"/>
          <w:szCs w:val="22"/>
        </w:rPr>
        <w:t xml:space="preserve">mértékben megállapítani </w:t>
      </w:r>
      <w:r w:rsidRPr="008671F3">
        <w:rPr>
          <w:rFonts w:ascii="Arial" w:hAnsi="Arial" w:cs="Arial"/>
          <w:sz w:val="22"/>
          <w:szCs w:val="22"/>
        </w:rPr>
        <w:t xml:space="preserve">az évre </w:t>
      </w:r>
      <w:r w:rsidR="008671F3">
        <w:rPr>
          <w:rFonts w:ascii="Arial" w:hAnsi="Arial" w:cs="Arial"/>
          <w:sz w:val="22"/>
          <w:szCs w:val="22"/>
        </w:rPr>
        <w:t>irányadó</w:t>
      </w:r>
      <w:r w:rsidRPr="008671F3">
        <w:rPr>
          <w:rFonts w:ascii="Arial" w:hAnsi="Arial" w:cs="Arial"/>
          <w:sz w:val="22"/>
          <w:szCs w:val="22"/>
        </w:rPr>
        <w:t xml:space="preserve"> illetmény alap ötszörösénél, </w:t>
      </w:r>
      <w:r w:rsidR="008671F3">
        <w:rPr>
          <w:rFonts w:ascii="Arial" w:hAnsi="Arial" w:cs="Arial"/>
          <w:sz w:val="22"/>
          <w:szCs w:val="22"/>
        </w:rPr>
        <w:t>ez</w:t>
      </w:r>
      <w:r w:rsidRPr="008671F3">
        <w:rPr>
          <w:rFonts w:ascii="Arial" w:hAnsi="Arial" w:cs="Arial"/>
          <w:sz w:val="22"/>
          <w:szCs w:val="22"/>
        </w:rPr>
        <w:t xml:space="preserve"> </w:t>
      </w:r>
      <w:r w:rsidRPr="008671F3">
        <w:rPr>
          <w:rFonts w:ascii="Arial" w:hAnsi="Arial" w:cs="Arial"/>
          <w:b/>
          <w:sz w:val="22"/>
          <w:szCs w:val="22"/>
        </w:rPr>
        <w:t>bruttó 250.000 Ft-ot</w:t>
      </w:r>
      <w:r w:rsidRPr="008671F3">
        <w:rPr>
          <w:rFonts w:ascii="Arial" w:hAnsi="Arial" w:cs="Arial"/>
          <w:sz w:val="22"/>
          <w:szCs w:val="22"/>
        </w:rPr>
        <w:t xml:space="preserve"> jel</w:t>
      </w:r>
      <w:r w:rsidR="007673D5" w:rsidRPr="008671F3">
        <w:rPr>
          <w:rFonts w:ascii="Arial" w:hAnsi="Arial" w:cs="Arial"/>
          <w:sz w:val="22"/>
          <w:szCs w:val="22"/>
        </w:rPr>
        <w:t>ent</w:t>
      </w:r>
      <w:r w:rsidR="008671F3" w:rsidRPr="008671F3">
        <w:rPr>
          <w:rFonts w:ascii="Arial" w:hAnsi="Arial" w:cs="Arial"/>
          <w:sz w:val="22"/>
          <w:szCs w:val="22"/>
        </w:rPr>
        <w:t>.</w:t>
      </w:r>
      <w:r w:rsidR="008671F3">
        <w:rPr>
          <w:rFonts w:ascii="Arial" w:hAnsi="Arial" w:cs="Arial"/>
          <w:sz w:val="22"/>
          <w:szCs w:val="22"/>
        </w:rPr>
        <w:t xml:space="preserve"> A költségvetési javaslat bruttó 50 000 Ft/év/fő emelést tartalmaz, mely </w:t>
      </w:r>
      <w:r w:rsidR="008671F3" w:rsidRPr="008671F3">
        <w:rPr>
          <w:rFonts w:ascii="Arial" w:hAnsi="Arial" w:cs="Arial"/>
          <w:b/>
          <w:bCs/>
          <w:sz w:val="22"/>
          <w:szCs w:val="22"/>
        </w:rPr>
        <w:t xml:space="preserve">az előző évben biztosított bruttó 250 000 Ft/fő/év juttatással szemben bruttó 300 000 Ft/fő/év </w:t>
      </w:r>
      <w:r w:rsidR="008671F3" w:rsidRPr="008671F3">
        <w:rPr>
          <w:rFonts w:ascii="Arial" w:hAnsi="Arial" w:cs="Arial"/>
          <w:sz w:val="22"/>
          <w:szCs w:val="22"/>
        </w:rPr>
        <w:t>kiadással számol.</w:t>
      </w:r>
    </w:p>
    <w:p w14:paraId="68B5F01C" w14:textId="77777777" w:rsidR="004A4AC4" w:rsidRPr="008671F3" w:rsidRDefault="004A4AC4" w:rsidP="004A4AC4">
      <w:pPr>
        <w:spacing w:line="240" w:lineRule="atLeast"/>
        <w:jc w:val="both"/>
        <w:rPr>
          <w:rFonts w:ascii="Arial" w:hAnsi="Arial" w:cs="Arial"/>
          <w:sz w:val="22"/>
          <w:szCs w:val="22"/>
        </w:rPr>
      </w:pPr>
    </w:p>
    <w:p w14:paraId="26C95796" w14:textId="2E8B74A9" w:rsidR="004A4AC4" w:rsidRDefault="004A4AC4" w:rsidP="004A4AC4">
      <w:pPr>
        <w:spacing w:line="240" w:lineRule="atLeast"/>
        <w:jc w:val="both"/>
        <w:rPr>
          <w:rFonts w:ascii="Arial" w:hAnsi="Arial" w:cs="Arial"/>
          <w:sz w:val="22"/>
          <w:szCs w:val="22"/>
        </w:rPr>
      </w:pPr>
      <w:r w:rsidRPr="004A4AC4">
        <w:rPr>
          <w:rFonts w:ascii="Arial" w:hAnsi="Arial" w:cs="Arial"/>
          <w:sz w:val="22"/>
          <w:szCs w:val="22"/>
        </w:rPr>
        <w:t>f.)</w:t>
      </w:r>
      <w:r w:rsidRPr="004A4AC4">
        <w:rPr>
          <w:rFonts w:ascii="Arial" w:hAnsi="Arial" w:cs="Arial"/>
          <w:sz w:val="22"/>
          <w:szCs w:val="22"/>
        </w:rPr>
        <w:tab/>
        <w:t xml:space="preserve">A </w:t>
      </w:r>
      <w:r w:rsidRPr="00B36B66">
        <w:rPr>
          <w:rFonts w:ascii="Arial" w:hAnsi="Arial" w:cs="Arial"/>
          <w:b/>
          <w:bCs/>
          <w:sz w:val="22"/>
          <w:szCs w:val="22"/>
        </w:rPr>
        <w:t xml:space="preserve">közbeszerzési </w:t>
      </w:r>
      <w:r w:rsidRPr="00B36B66">
        <w:rPr>
          <w:rFonts w:ascii="Arial" w:hAnsi="Arial" w:cs="Arial"/>
          <w:sz w:val="22"/>
          <w:szCs w:val="22"/>
        </w:rPr>
        <w:t>értékhatárok</w:t>
      </w:r>
      <w:r w:rsidRPr="004A4AC4">
        <w:rPr>
          <w:rFonts w:ascii="Arial" w:hAnsi="Arial" w:cs="Arial"/>
          <w:sz w:val="22"/>
          <w:szCs w:val="22"/>
        </w:rPr>
        <w:t xml:space="preserve"> az előző évhez képest </w:t>
      </w:r>
      <w:r w:rsidR="008671F3">
        <w:rPr>
          <w:rFonts w:ascii="Arial" w:hAnsi="Arial" w:cs="Arial"/>
          <w:sz w:val="22"/>
          <w:szCs w:val="22"/>
        </w:rPr>
        <w:t xml:space="preserve">módosultak, a nemzeti rezsim szerint lefolytatandó eljárások esetén nettó 20 millió Ft-ra </w:t>
      </w:r>
      <w:r w:rsidR="008671F3" w:rsidRPr="00B36B66">
        <w:rPr>
          <w:rFonts w:ascii="Arial" w:hAnsi="Arial" w:cs="Arial"/>
          <w:b/>
          <w:bCs/>
          <w:sz w:val="22"/>
          <w:szCs w:val="22"/>
        </w:rPr>
        <w:t>emelkedett az értékhatár</w:t>
      </w:r>
      <w:r w:rsidR="008671F3">
        <w:rPr>
          <w:rFonts w:ascii="Arial" w:hAnsi="Arial" w:cs="Arial"/>
          <w:sz w:val="22"/>
          <w:szCs w:val="22"/>
        </w:rPr>
        <w:t xml:space="preserve"> az árubeszerzés és a szolgáltatás beszerzés vonatkozásában, az építési beruházások esetén 60 millió Ft</w:t>
      </w:r>
      <w:r w:rsidR="00B36B66">
        <w:rPr>
          <w:rFonts w:ascii="Arial" w:hAnsi="Arial" w:cs="Arial"/>
          <w:sz w:val="22"/>
          <w:szCs w:val="22"/>
        </w:rPr>
        <w:t xml:space="preserve"> az irányadó.</w:t>
      </w:r>
    </w:p>
    <w:p w14:paraId="1531E12C" w14:textId="77777777" w:rsidR="00B35481" w:rsidRDefault="00B35481" w:rsidP="004A4AC4">
      <w:pPr>
        <w:spacing w:line="240" w:lineRule="atLeast"/>
        <w:jc w:val="both"/>
        <w:rPr>
          <w:rFonts w:ascii="Arial" w:hAnsi="Arial" w:cs="Arial"/>
          <w:sz w:val="22"/>
          <w:szCs w:val="22"/>
        </w:rPr>
      </w:pPr>
    </w:p>
    <w:p w14:paraId="359819FF" w14:textId="2F31778E" w:rsidR="00D46251" w:rsidRDefault="009E7BF8" w:rsidP="00CD3CA6">
      <w:pPr>
        <w:spacing w:line="240" w:lineRule="atLeast"/>
        <w:jc w:val="both"/>
        <w:rPr>
          <w:rFonts w:ascii="Arial" w:hAnsi="Arial" w:cs="Arial"/>
          <w:sz w:val="22"/>
          <w:szCs w:val="22"/>
        </w:rPr>
      </w:pPr>
      <w:r>
        <w:rPr>
          <w:rFonts w:ascii="Arial" w:hAnsi="Arial" w:cs="Arial"/>
          <w:sz w:val="22"/>
          <w:szCs w:val="22"/>
          <w:u w:val="single"/>
        </w:rPr>
        <w:t xml:space="preserve">Az önkormányzatok központi </w:t>
      </w:r>
      <w:r w:rsidR="00D46251" w:rsidRPr="00596F63">
        <w:rPr>
          <w:rFonts w:ascii="Arial" w:hAnsi="Arial" w:cs="Arial"/>
          <w:sz w:val="22"/>
          <w:szCs w:val="22"/>
          <w:u w:val="single"/>
        </w:rPr>
        <w:t>finanszírozása</w:t>
      </w:r>
      <w:r>
        <w:rPr>
          <w:rFonts w:ascii="Arial" w:hAnsi="Arial" w:cs="Arial"/>
          <w:sz w:val="22"/>
          <w:szCs w:val="22"/>
        </w:rPr>
        <w:t xml:space="preserve"> </w:t>
      </w:r>
      <w:r w:rsidR="00D46251" w:rsidRPr="00D46251">
        <w:rPr>
          <w:rFonts w:ascii="Arial" w:hAnsi="Arial" w:cs="Arial"/>
          <w:sz w:val="22"/>
          <w:szCs w:val="22"/>
        </w:rPr>
        <w:t xml:space="preserve">az elmúlt évek </w:t>
      </w:r>
      <w:r w:rsidR="007673D5">
        <w:rPr>
          <w:rFonts w:ascii="Arial" w:hAnsi="Arial" w:cs="Arial"/>
          <w:sz w:val="22"/>
          <w:szCs w:val="22"/>
        </w:rPr>
        <w:t>gyakorlatának megfelelően a 202</w:t>
      </w:r>
      <w:r w:rsidR="00B36B66">
        <w:rPr>
          <w:rFonts w:ascii="Arial" w:hAnsi="Arial" w:cs="Arial"/>
          <w:sz w:val="22"/>
          <w:szCs w:val="22"/>
        </w:rPr>
        <w:t>5</w:t>
      </w:r>
      <w:r w:rsidR="00D46251" w:rsidRPr="00D46251">
        <w:rPr>
          <w:rFonts w:ascii="Arial" w:hAnsi="Arial" w:cs="Arial"/>
          <w:sz w:val="22"/>
          <w:szCs w:val="22"/>
        </w:rPr>
        <w:t>. évben is az önkormányzati feladatellátáshoz igazodó, feladattípusú támogatási rendszerben történik. Az önkormányzatok kötelező feladatai</w:t>
      </w:r>
      <w:r w:rsidR="004A4FC4">
        <w:rPr>
          <w:rFonts w:ascii="Arial" w:hAnsi="Arial" w:cs="Arial"/>
          <w:sz w:val="22"/>
          <w:szCs w:val="22"/>
        </w:rPr>
        <w:t>nak forrása</w:t>
      </w:r>
      <w:r w:rsidR="00D46251" w:rsidRPr="00D46251">
        <w:rPr>
          <w:rFonts w:ascii="Arial" w:hAnsi="Arial" w:cs="Arial"/>
          <w:sz w:val="22"/>
          <w:szCs w:val="22"/>
        </w:rPr>
        <w:t xml:space="preserve"> továbbra is a törvényi előírások alapján, az önkormányzatok eltérő adottságait is figyelem</w:t>
      </w:r>
      <w:r>
        <w:rPr>
          <w:rFonts w:ascii="Arial" w:hAnsi="Arial" w:cs="Arial"/>
          <w:sz w:val="22"/>
          <w:szCs w:val="22"/>
        </w:rPr>
        <w:t>be véve kerül</w:t>
      </w:r>
      <w:r w:rsidR="004A4FC4">
        <w:rPr>
          <w:rFonts w:ascii="Arial" w:hAnsi="Arial" w:cs="Arial"/>
          <w:sz w:val="22"/>
          <w:szCs w:val="22"/>
        </w:rPr>
        <w:t xml:space="preserve"> </w:t>
      </w:r>
      <w:r>
        <w:rPr>
          <w:rFonts w:ascii="Arial" w:hAnsi="Arial" w:cs="Arial"/>
          <w:sz w:val="22"/>
          <w:szCs w:val="22"/>
        </w:rPr>
        <w:t>meghatározásra</w:t>
      </w:r>
      <w:r w:rsidR="00D46251" w:rsidRPr="00D46251">
        <w:rPr>
          <w:rFonts w:ascii="Arial" w:hAnsi="Arial" w:cs="Arial"/>
          <w:sz w:val="22"/>
          <w:szCs w:val="22"/>
        </w:rPr>
        <w:t>.</w:t>
      </w:r>
    </w:p>
    <w:p w14:paraId="759F8D60" w14:textId="67267441" w:rsidR="00D84974" w:rsidRDefault="00D84974" w:rsidP="00CD3CA6">
      <w:pPr>
        <w:spacing w:line="240" w:lineRule="atLeast"/>
        <w:jc w:val="both"/>
        <w:rPr>
          <w:rFonts w:ascii="Arial" w:hAnsi="Arial" w:cs="Arial"/>
          <w:b/>
          <w:sz w:val="22"/>
          <w:szCs w:val="22"/>
          <w:u w:val="single"/>
        </w:rPr>
      </w:pPr>
    </w:p>
    <w:p w14:paraId="04FF9A5C" w14:textId="6290997A" w:rsidR="00D84974" w:rsidRPr="00D84974" w:rsidRDefault="00E742B4" w:rsidP="00CD3CA6">
      <w:pPr>
        <w:spacing w:line="240" w:lineRule="atLeast"/>
        <w:jc w:val="both"/>
        <w:rPr>
          <w:rFonts w:ascii="Arial" w:hAnsi="Arial" w:cs="Arial"/>
          <w:b/>
          <w:sz w:val="22"/>
          <w:szCs w:val="22"/>
          <w:u w:val="single"/>
        </w:rPr>
      </w:pPr>
      <w:r>
        <w:rPr>
          <w:rFonts w:ascii="Arial" w:hAnsi="Arial" w:cs="Arial"/>
          <w:b/>
          <w:sz w:val="22"/>
          <w:szCs w:val="22"/>
          <w:u w:val="single"/>
        </w:rPr>
        <w:t>A 202</w:t>
      </w:r>
      <w:r w:rsidR="00B36B66">
        <w:rPr>
          <w:rFonts w:ascii="Arial" w:hAnsi="Arial" w:cs="Arial"/>
          <w:b/>
          <w:sz w:val="22"/>
          <w:szCs w:val="22"/>
          <w:u w:val="single"/>
        </w:rPr>
        <w:t>5</w:t>
      </w:r>
      <w:r w:rsidR="00D84974" w:rsidRPr="00D84974">
        <w:rPr>
          <w:rFonts w:ascii="Arial" w:hAnsi="Arial" w:cs="Arial"/>
          <w:b/>
          <w:sz w:val="22"/>
          <w:szCs w:val="22"/>
          <w:u w:val="single"/>
        </w:rPr>
        <w:t>. évi költségvetés összeállítását meghatározó körülmények</w:t>
      </w:r>
    </w:p>
    <w:p w14:paraId="5CD15FE9" w14:textId="77777777" w:rsidR="006325C2" w:rsidRPr="00D84974" w:rsidRDefault="006325C2" w:rsidP="006325C2">
      <w:pPr>
        <w:spacing w:line="240" w:lineRule="atLeast"/>
        <w:jc w:val="both"/>
        <w:rPr>
          <w:rFonts w:ascii="Arial" w:hAnsi="Arial" w:cs="Arial"/>
          <w:b/>
          <w:sz w:val="22"/>
          <w:szCs w:val="22"/>
          <w:u w:val="single"/>
        </w:rPr>
      </w:pPr>
    </w:p>
    <w:p w14:paraId="49BF4D54" w14:textId="6BCED444" w:rsidR="00791E31" w:rsidRPr="007710FF" w:rsidRDefault="00E742B4" w:rsidP="001D17DC">
      <w:pPr>
        <w:spacing w:line="240" w:lineRule="atLeast"/>
        <w:jc w:val="both"/>
        <w:rPr>
          <w:rFonts w:ascii="Arial" w:hAnsi="Arial" w:cs="Arial"/>
          <w:bCs/>
          <w:sz w:val="22"/>
          <w:szCs w:val="22"/>
        </w:rPr>
      </w:pPr>
      <w:r w:rsidRPr="007710FF">
        <w:rPr>
          <w:rFonts w:ascii="Arial" w:hAnsi="Arial" w:cs="Arial"/>
          <w:bCs/>
          <w:sz w:val="22"/>
          <w:szCs w:val="22"/>
        </w:rPr>
        <w:t>Az ö</w:t>
      </w:r>
      <w:r w:rsidR="006325C2" w:rsidRPr="007710FF">
        <w:rPr>
          <w:rFonts w:ascii="Arial" w:hAnsi="Arial" w:cs="Arial"/>
          <w:bCs/>
          <w:sz w:val="22"/>
          <w:szCs w:val="22"/>
        </w:rPr>
        <w:t>nkormá</w:t>
      </w:r>
      <w:r w:rsidRPr="007710FF">
        <w:rPr>
          <w:rFonts w:ascii="Arial" w:hAnsi="Arial" w:cs="Arial"/>
          <w:bCs/>
          <w:sz w:val="22"/>
          <w:szCs w:val="22"/>
        </w:rPr>
        <w:t>nyzatun</w:t>
      </w:r>
      <w:r w:rsidR="006325C2" w:rsidRPr="007710FF">
        <w:rPr>
          <w:rFonts w:ascii="Arial" w:hAnsi="Arial" w:cs="Arial"/>
          <w:bCs/>
          <w:sz w:val="22"/>
          <w:szCs w:val="22"/>
        </w:rPr>
        <w:t xml:space="preserve">k </w:t>
      </w:r>
      <w:r w:rsidR="00B36B66">
        <w:rPr>
          <w:rFonts w:ascii="Arial" w:hAnsi="Arial" w:cs="Arial"/>
          <w:bCs/>
          <w:sz w:val="22"/>
          <w:szCs w:val="22"/>
        </w:rPr>
        <w:t>ál</w:t>
      </w:r>
      <w:r w:rsidR="001D17DC">
        <w:rPr>
          <w:rFonts w:ascii="Arial" w:hAnsi="Arial" w:cs="Arial"/>
          <w:bCs/>
          <w:sz w:val="22"/>
          <w:szCs w:val="22"/>
        </w:rPr>
        <w:t xml:space="preserve">tal ellátott </w:t>
      </w:r>
      <w:r w:rsidR="00596F63" w:rsidRPr="007710FF">
        <w:rPr>
          <w:rFonts w:ascii="Arial" w:hAnsi="Arial" w:cs="Arial"/>
          <w:bCs/>
          <w:sz w:val="22"/>
          <w:szCs w:val="22"/>
        </w:rPr>
        <w:t xml:space="preserve">feladatok köre </w:t>
      </w:r>
      <w:r w:rsidR="00B36B66">
        <w:rPr>
          <w:rFonts w:ascii="Arial" w:hAnsi="Arial" w:cs="Arial"/>
          <w:bCs/>
          <w:sz w:val="22"/>
          <w:szCs w:val="22"/>
        </w:rPr>
        <w:t>már a 2023. évben</w:t>
      </w:r>
      <w:r w:rsidR="00596F63" w:rsidRPr="007710FF">
        <w:rPr>
          <w:rFonts w:ascii="Arial" w:hAnsi="Arial" w:cs="Arial"/>
          <w:bCs/>
          <w:sz w:val="22"/>
          <w:szCs w:val="22"/>
        </w:rPr>
        <w:t xml:space="preserve"> </w:t>
      </w:r>
      <w:r w:rsidR="00025FBA" w:rsidRPr="007710FF">
        <w:rPr>
          <w:rFonts w:ascii="Arial" w:hAnsi="Arial" w:cs="Arial"/>
          <w:bCs/>
          <w:sz w:val="22"/>
          <w:szCs w:val="22"/>
        </w:rPr>
        <w:t>szűkült</w:t>
      </w:r>
      <w:r w:rsidR="009E7BF8" w:rsidRPr="007710FF">
        <w:rPr>
          <w:rFonts w:ascii="Arial" w:hAnsi="Arial" w:cs="Arial"/>
          <w:bCs/>
          <w:sz w:val="22"/>
          <w:szCs w:val="22"/>
        </w:rPr>
        <w:t xml:space="preserve">, </w:t>
      </w:r>
      <w:r w:rsidR="00025FBA" w:rsidRPr="007710FF">
        <w:rPr>
          <w:rFonts w:ascii="Arial" w:hAnsi="Arial" w:cs="Arial"/>
          <w:bCs/>
          <w:sz w:val="22"/>
          <w:szCs w:val="22"/>
        </w:rPr>
        <w:t>hiszen a védőnői feladatellátás 2023. július 1-jétől, az orvosi ügyeleti ellátás 2023. október 1-jétől állami megszer</w:t>
      </w:r>
      <w:r w:rsidR="00791E31" w:rsidRPr="007710FF">
        <w:rPr>
          <w:rFonts w:ascii="Arial" w:hAnsi="Arial" w:cs="Arial"/>
          <w:bCs/>
          <w:sz w:val="22"/>
          <w:szCs w:val="22"/>
        </w:rPr>
        <w:t xml:space="preserve">vezésbe került, e feladatokra </w:t>
      </w:r>
      <w:r w:rsidR="00B36B66">
        <w:rPr>
          <w:rFonts w:ascii="Arial" w:hAnsi="Arial" w:cs="Arial"/>
          <w:bCs/>
          <w:sz w:val="22"/>
          <w:szCs w:val="22"/>
        </w:rPr>
        <w:t xml:space="preserve">a 2024. évben már </w:t>
      </w:r>
      <w:r w:rsidR="00791E31" w:rsidRPr="007710FF">
        <w:rPr>
          <w:rFonts w:ascii="Arial" w:hAnsi="Arial" w:cs="Arial"/>
          <w:bCs/>
          <w:sz w:val="22"/>
          <w:szCs w:val="22"/>
        </w:rPr>
        <w:t>nem kell</w:t>
      </w:r>
      <w:r w:rsidR="00B36B66">
        <w:rPr>
          <w:rFonts w:ascii="Arial" w:hAnsi="Arial" w:cs="Arial"/>
          <w:bCs/>
          <w:sz w:val="22"/>
          <w:szCs w:val="22"/>
        </w:rPr>
        <w:t>ett</w:t>
      </w:r>
      <w:r w:rsidR="00791E31" w:rsidRPr="007710FF">
        <w:rPr>
          <w:rFonts w:ascii="Arial" w:hAnsi="Arial" w:cs="Arial"/>
          <w:bCs/>
          <w:sz w:val="22"/>
          <w:szCs w:val="22"/>
        </w:rPr>
        <w:t xml:space="preserve"> biztosítani önkormányzati </w:t>
      </w:r>
      <w:r w:rsidR="00791E31" w:rsidRPr="007710FF">
        <w:rPr>
          <w:rFonts w:ascii="Arial" w:hAnsi="Arial" w:cs="Arial"/>
          <w:bCs/>
          <w:sz w:val="22"/>
          <w:szCs w:val="22"/>
        </w:rPr>
        <w:lastRenderedPageBreak/>
        <w:t xml:space="preserve">önerőt. </w:t>
      </w:r>
      <w:r w:rsidR="00B36B66">
        <w:rPr>
          <w:rFonts w:ascii="Arial" w:hAnsi="Arial" w:cs="Arial"/>
          <w:bCs/>
          <w:sz w:val="22"/>
          <w:szCs w:val="22"/>
        </w:rPr>
        <w:t>A 2025. évtől további feladat</w:t>
      </w:r>
      <w:r w:rsidR="001D17DC">
        <w:rPr>
          <w:rFonts w:ascii="Arial" w:hAnsi="Arial" w:cs="Arial"/>
          <w:bCs/>
          <w:sz w:val="22"/>
          <w:szCs w:val="22"/>
        </w:rPr>
        <w:t xml:space="preserve"> megszüntetéséről döntött a Testület, ami a j</w:t>
      </w:r>
      <w:r w:rsidR="001D17DC" w:rsidRPr="001D17DC">
        <w:rPr>
          <w:rFonts w:ascii="Arial" w:hAnsi="Arial" w:cs="Arial"/>
          <w:bCs/>
          <w:sz w:val="22"/>
          <w:szCs w:val="22"/>
        </w:rPr>
        <w:t>elzőrendszeres házi segítségnyújtás megszervezésé</w:t>
      </w:r>
      <w:r w:rsidR="001D17DC">
        <w:rPr>
          <w:rFonts w:ascii="Arial" w:hAnsi="Arial" w:cs="Arial"/>
          <w:bCs/>
          <w:sz w:val="22"/>
          <w:szCs w:val="22"/>
        </w:rPr>
        <w:t xml:space="preserve">hez kapcsolódik. Az ellátottak vonatkozásában ez a </w:t>
      </w:r>
      <w:r w:rsidR="00944E37">
        <w:rPr>
          <w:rFonts w:ascii="Arial" w:hAnsi="Arial" w:cs="Arial"/>
          <w:bCs/>
          <w:sz w:val="22"/>
          <w:szCs w:val="22"/>
        </w:rPr>
        <w:t>döntés</w:t>
      </w:r>
      <w:r w:rsidR="001D17DC">
        <w:rPr>
          <w:rFonts w:ascii="Arial" w:hAnsi="Arial" w:cs="Arial"/>
          <w:bCs/>
          <w:sz w:val="22"/>
          <w:szCs w:val="22"/>
        </w:rPr>
        <w:t xml:space="preserve"> nem jelent visszalépést, hiszen az okosóra alkalmazása kiváltja az eddigi gyakorlat szerint nyújtott szolgáltatást.</w:t>
      </w:r>
    </w:p>
    <w:p w14:paraId="313F40E2" w14:textId="77777777" w:rsidR="002F1A37" w:rsidRPr="007710FF" w:rsidRDefault="002F1A37" w:rsidP="00EC58FA">
      <w:pPr>
        <w:spacing w:line="240" w:lineRule="atLeast"/>
        <w:jc w:val="both"/>
        <w:rPr>
          <w:rFonts w:ascii="Arial" w:hAnsi="Arial" w:cs="Arial"/>
          <w:bCs/>
          <w:sz w:val="22"/>
          <w:szCs w:val="22"/>
        </w:rPr>
      </w:pPr>
    </w:p>
    <w:p w14:paraId="6F5B8B2C" w14:textId="5A4BA6E4" w:rsidR="00273E51" w:rsidRDefault="00025FBA" w:rsidP="00EC58FA">
      <w:pPr>
        <w:spacing w:line="240" w:lineRule="atLeast"/>
        <w:jc w:val="both"/>
        <w:rPr>
          <w:rFonts w:ascii="Arial" w:hAnsi="Arial" w:cs="Arial"/>
          <w:bCs/>
          <w:sz w:val="22"/>
          <w:szCs w:val="22"/>
        </w:rPr>
      </w:pPr>
      <w:r w:rsidRPr="007710FF">
        <w:rPr>
          <w:rFonts w:ascii="Arial" w:hAnsi="Arial" w:cs="Arial"/>
          <w:bCs/>
          <w:sz w:val="22"/>
          <w:szCs w:val="22"/>
        </w:rPr>
        <w:t>Az e</w:t>
      </w:r>
      <w:r w:rsidR="00A626A9" w:rsidRPr="007710FF">
        <w:rPr>
          <w:rFonts w:ascii="Arial" w:hAnsi="Arial" w:cs="Arial"/>
          <w:bCs/>
          <w:sz w:val="22"/>
          <w:szCs w:val="22"/>
        </w:rPr>
        <w:t>nergia</w:t>
      </w:r>
      <w:r w:rsidRPr="007710FF">
        <w:rPr>
          <w:rFonts w:ascii="Arial" w:hAnsi="Arial" w:cs="Arial"/>
          <w:bCs/>
          <w:sz w:val="22"/>
          <w:szCs w:val="22"/>
        </w:rPr>
        <w:t xml:space="preserve">piacon bekövetkezett </w:t>
      </w:r>
      <w:r w:rsidR="00791E31" w:rsidRPr="007710FF">
        <w:rPr>
          <w:rFonts w:ascii="Arial" w:hAnsi="Arial" w:cs="Arial"/>
          <w:bCs/>
          <w:sz w:val="22"/>
          <w:szCs w:val="22"/>
        </w:rPr>
        <w:t>kedvező változások az árak konszolidációjához vezettek, a</w:t>
      </w:r>
      <w:r w:rsidR="002F1A37" w:rsidRPr="007710FF">
        <w:rPr>
          <w:rFonts w:ascii="Arial" w:hAnsi="Arial" w:cs="Arial"/>
          <w:bCs/>
          <w:sz w:val="22"/>
          <w:szCs w:val="22"/>
        </w:rPr>
        <w:t xml:space="preserve"> 2022-2023. </w:t>
      </w:r>
      <w:r w:rsidR="00791E31" w:rsidRPr="007710FF">
        <w:rPr>
          <w:rFonts w:ascii="Arial" w:hAnsi="Arial" w:cs="Arial"/>
          <w:bCs/>
          <w:sz w:val="22"/>
          <w:szCs w:val="22"/>
        </w:rPr>
        <w:t xml:space="preserve"> év</w:t>
      </w:r>
      <w:r w:rsidR="002F1A37" w:rsidRPr="007710FF">
        <w:rPr>
          <w:rFonts w:ascii="Arial" w:hAnsi="Arial" w:cs="Arial"/>
          <w:bCs/>
          <w:sz w:val="22"/>
          <w:szCs w:val="22"/>
        </w:rPr>
        <w:t>ek</w:t>
      </w:r>
      <w:r w:rsidR="00791E31" w:rsidRPr="007710FF">
        <w:rPr>
          <w:rFonts w:ascii="Arial" w:hAnsi="Arial" w:cs="Arial"/>
          <w:bCs/>
          <w:sz w:val="22"/>
          <w:szCs w:val="22"/>
        </w:rPr>
        <w:t xml:space="preserve">re jellemző drasztikus áremelkedéssel </w:t>
      </w:r>
      <w:r w:rsidR="001D17DC">
        <w:rPr>
          <w:rFonts w:ascii="Arial" w:hAnsi="Arial" w:cs="Arial"/>
          <w:bCs/>
          <w:sz w:val="22"/>
          <w:szCs w:val="22"/>
        </w:rPr>
        <w:t xml:space="preserve">ebben az évben sem </w:t>
      </w:r>
      <w:r w:rsidR="00791E31" w:rsidRPr="007710FF">
        <w:rPr>
          <w:rFonts w:ascii="Arial" w:hAnsi="Arial" w:cs="Arial"/>
          <w:bCs/>
          <w:sz w:val="22"/>
          <w:szCs w:val="22"/>
        </w:rPr>
        <w:t>kell számolnunk, a 202</w:t>
      </w:r>
      <w:r w:rsidR="001D17DC">
        <w:rPr>
          <w:rFonts w:ascii="Arial" w:hAnsi="Arial" w:cs="Arial"/>
          <w:bCs/>
          <w:sz w:val="22"/>
          <w:szCs w:val="22"/>
        </w:rPr>
        <w:t>5</w:t>
      </w:r>
      <w:r w:rsidR="00791E31" w:rsidRPr="007710FF">
        <w:rPr>
          <w:rFonts w:ascii="Arial" w:hAnsi="Arial" w:cs="Arial"/>
          <w:bCs/>
          <w:sz w:val="22"/>
          <w:szCs w:val="22"/>
        </w:rPr>
        <w:t xml:space="preserve">. évre </w:t>
      </w:r>
      <w:r w:rsidR="002F1A37" w:rsidRPr="007710FF">
        <w:rPr>
          <w:rFonts w:ascii="Arial" w:hAnsi="Arial" w:cs="Arial"/>
          <w:bCs/>
          <w:sz w:val="22"/>
          <w:szCs w:val="22"/>
        </w:rPr>
        <w:t>központos</w:t>
      </w:r>
      <w:r w:rsidR="00267C51" w:rsidRPr="007710FF">
        <w:rPr>
          <w:rFonts w:ascii="Arial" w:hAnsi="Arial" w:cs="Arial"/>
          <w:bCs/>
          <w:sz w:val="22"/>
          <w:szCs w:val="22"/>
        </w:rPr>
        <w:t>í</w:t>
      </w:r>
      <w:r w:rsidR="002F1A37" w:rsidRPr="007710FF">
        <w:rPr>
          <w:rFonts w:ascii="Arial" w:hAnsi="Arial" w:cs="Arial"/>
          <w:bCs/>
          <w:sz w:val="22"/>
          <w:szCs w:val="22"/>
        </w:rPr>
        <w:t xml:space="preserve">tott közbeszerzés keretében megkötött </w:t>
      </w:r>
      <w:r w:rsidR="00791E31" w:rsidRPr="007710FF">
        <w:rPr>
          <w:rFonts w:ascii="Arial" w:hAnsi="Arial" w:cs="Arial"/>
          <w:bCs/>
          <w:sz w:val="22"/>
          <w:szCs w:val="22"/>
        </w:rPr>
        <w:t>fix áras villamos energia és gázszerződéssel rendelkezünk</w:t>
      </w:r>
      <w:r w:rsidR="00001B67" w:rsidRPr="007710FF">
        <w:rPr>
          <w:rFonts w:ascii="Arial" w:hAnsi="Arial" w:cs="Arial"/>
          <w:bCs/>
          <w:sz w:val="22"/>
          <w:szCs w:val="22"/>
        </w:rPr>
        <w:t xml:space="preserve">. </w:t>
      </w:r>
      <w:r w:rsidR="00BD4FFD" w:rsidRPr="007710FF">
        <w:rPr>
          <w:rFonts w:ascii="Arial" w:hAnsi="Arial" w:cs="Arial"/>
          <w:bCs/>
          <w:sz w:val="22"/>
          <w:szCs w:val="22"/>
        </w:rPr>
        <w:t>Í</w:t>
      </w:r>
      <w:r w:rsidR="00001B67" w:rsidRPr="007710FF">
        <w:rPr>
          <w:rFonts w:ascii="Arial" w:hAnsi="Arial" w:cs="Arial"/>
          <w:bCs/>
          <w:sz w:val="22"/>
          <w:szCs w:val="22"/>
        </w:rPr>
        <w:t xml:space="preserve">gy </w:t>
      </w:r>
      <w:r w:rsidR="00267C51" w:rsidRPr="007710FF">
        <w:rPr>
          <w:rFonts w:ascii="Arial" w:hAnsi="Arial" w:cs="Arial"/>
          <w:bCs/>
          <w:sz w:val="22"/>
          <w:szCs w:val="22"/>
        </w:rPr>
        <w:t xml:space="preserve">viszonylag </w:t>
      </w:r>
      <w:r w:rsidR="00001B67" w:rsidRPr="007710FF">
        <w:rPr>
          <w:rFonts w:ascii="Arial" w:hAnsi="Arial" w:cs="Arial"/>
          <w:bCs/>
          <w:sz w:val="22"/>
          <w:szCs w:val="22"/>
        </w:rPr>
        <w:t>n</w:t>
      </w:r>
      <w:r w:rsidR="00791E31" w:rsidRPr="007710FF">
        <w:rPr>
          <w:rFonts w:ascii="Arial" w:hAnsi="Arial" w:cs="Arial"/>
          <w:bCs/>
          <w:sz w:val="22"/>
          <w:szCs w:val="22"/>
        </w:rPr>
        <w:t>agy biztonsággal tervezhető a szükséges fedezet</w:t>
      </w:r>
      <w:r w:rsidR="00B221BE" w:rsidRPr="007710FF">
        <w:rPr>
          <w:rFonts w:ascii="Arial" w:hAnsi="Arial" w:cs="Arial"/>
          <w:bCs/>
          <w:sz w:val="22"/>
          <w:szCs w:val="22"/>
        </w:rPr>
        <w:t xml:space="preserve">, </w:t>
      </w:r>
      <w:r w:rsidR="00267C51" w:rsidRPr="007710FF">
        <w:rPr>
          <w:rFonts w:ascii="Arial" w:hAnsi="Arial" w:cs="Arial"/>
          <w:bCs/>
          <w:sz w:val="22"/>
          <w:szCs w:val="22"/>
        </w:rPr>
        <w:t>mely</w:t>
      </w:r>
      <w:r w:rsidR="00001B67" w:rsidRPr="007710FF">
        <w:rPr>
          <w:rFonts w:ascii="Arial" w:hAnsi="Arial" w:cs="Arial"/>
          <w:bCs/>
          <w:sz w:val="22"/>
          <w:szCs w:val="22"/>
        </w:rPr>
        <w:t xml:space="preserve"> </w:t>
      </w:r>
      <w:r w:rsidR="009B1C2F">
        <w:rPr>
          <w:rFonts w:ascii="Arial" w:hAnsi="Arial" w:cs="Arial"/>
          <w:bCs/>
          <w:sz w:val="22"/>
          <w:szCs w:val="22"/>
        </w:rPr>
        <w:t>az előző évhez hasonló nagyságrendű</w:t>
      </w:r>
      <w:r w:rsidR="001D17DC">
        <w:rPr>
          <w:rFonts w:ascii="Arial" w:hAnsi="Arial" w:cs="Arial"/>
          <w:bCs/>
          <w:sz w:val="22"/>
          <w:szCs w:val="22"/>
        </w:rPr>
        <w:t xml:space="preserve"> forrást köt le a költségvetésből</w:t>
      </w:r>
      <w:r w:rsidR="00001B67" w:rsidRPr="007710FF">
        <w:rPr>
          <w:rFonts w:ascii="Arial" w:hAnsi="Arial" w:cs="Arial"/>
          <w:bCs/>
          <w:sz w:val="22"/>
          <w:szCs w:val="22"/>
        </w:rPr>
        <w:t>.</w:t>
      </w:r>
      <w:r w:rsidR="00BD4FFD" w:rsidRPr="007710FF">
        <w:rPr>
          <w:rFonts w:ascii="Arial" w:hAnsi="Arial" w:cs="Arial"/>
          <w:bCs/>
          <w:sz w:val="22"/>
          <w:szCs w:val="22"/>
        </w:rPr>
        <w:t xml:space="preserve"> </w:t>
      </w:r>
    </w:p>
    <w:p w14:paraId="4B4290FB" w14:textId="77777777" w:rsidR="00950B69" w:rsidRPr="007710FF" w:rsidRDefault="00950B69" w:rsidP="00EC58FA">
      <w:pPr>
        <w:spacing w:line="240" w:lineRule="atLeast"/>
        <w:jc w:val="both"/>
        <w:rPr>
          <w:rFonts w:ascii="Arial" w:hAnsi="Arial" w:cs="Arial"/>
          <w:bCs/>
          <w:sz w:val="22"/>
          <w:szCs w:val="22"/>
        </w:rPr>
      </w:pPr>
    </w:p>
    <w:p w14:paraId="063618AF" w14:textId="3DD5FC68" w:rsidR="006B28E1" w:rsidRDefault="006B28E1" w:rsidP="00EC58FA">
      <w:pPr>
        <w:spacing w:line="240" w:lineRule="atLeast"/>
        <w:jc w:val="both"/>
        <w:rPr>
          <w:rFonts w:ascii="Arial" w:hAnsi="Arial" w:cs="Arial"/>
          <w:bCs/>
          <w:sz w:val="22"/>
          <w:szCs w:val="22"/>
        </w:rPr>
      </w:pPr>
      <w:r w:rsidRPr="007710FF">
        <w:rPr>
          <w:rFonts w:ascii="Arial" w:hAnsi="Arial" w:cs="Arial"/>
          <w:bCs/>
          <w:sz w:val="22"/>
          <w:szCs w:val="22"/>
        </w:rPr>
        <w:t xml:space="preserve">Az előző évben a Testület már elfogadta a </w:t>
      </w:r>
      <w:r w:rsidR="0088580B">
        <w:rPr>
          <w:rFonts w:ascii="Arial" w:hAnsi="Arial" w:cs="Arial"/>
          <w:bCs/>
          <w:sz w:val="22"/>
          <w:szCs w:val="22"/>
        </w:rPr>
        <w:t>BÁT-KOM 2004.</w:t>
      </w:r>
      <w:r w:rsidRPr="007710FF">
        <w:rPr>
          <w:rFonts w:ascii="Arial" w:hAnsi="Arial" w:cs="Arial"/>
          <w:bCs/>
          <w:sz w:val="22"/>
          <w:szCs w:val="22"/>
        </w:rPr>
        <w:t xml:space="preserve"> Kft., valamint a Bátaszékért Nonprofit Kft. 202</w:t>
      </w:r>
      <w:r w:rsidR="00F02F41">
        <w:rPr>
          <w:rFonts w:ascii="Arial" w:hAnsi="Arial" w:cs="Arial"/>
          <w:bCs/>
          <w:sz w:val="22"/>
          <w:szCs w:val="22"/>
        </w:rPr>
        <w:t>5</w:t>
      </w:r>
      <w:r w:rsidRPr="007710FF">
        <w:rPr>
          <w:rFonts w:ascii="Arial" w:hAnsi="Arial" w:cs="Arial"/>
          <w:bCs/>
          <w:sz w:val="22"/>
          <w:szCs w:val="22"/>
        </w:rPr>
        <w:t xml:space="preserve">. évi üzleti tervét, </w:t>
      </w:r>
      <w:r w:rsidR="00F02F41">
        <w:rPr>
          <w:rFonts w:ascii="Arial" w:hAnsi="Arial" w:cs="Arial"/>
          <w:bCs/>
          <w:sz w:val="22"/>
          <w:szCs w:val="22"/>
        </w:rPr>
        <w:t xml:space="preserve">melyek kisebb összegű </w:t>
      </w:r>
      <w:proofErr w:type="gramStart"/>
      <w:r w:rsidR="00F02F41">
        <w:rPr>
          <w:rFonts w:ascii="Arial" w:hAnsi="Arial" w:cs="Arial"/>
          <w:bCs/>
          <w:sz w:val="22"/>
          <w:szCs w:val="22"/>
        </w:rPr>
        <w:t>korrekciós</w:t>
      </w:r>
      <w:proofErr w:type="gramEnd"/>
      <w:r w:rsidR="00F02F41">
        <w:rPr>
          <w:rFonts w:ascii="Arial" w:hAnsi="Arial" w:cs="Arial"/>
          <w:bCs/>
          <w:sz w:val="22"/>
          <w:szCs w:val="22"/>
        </w:rPr>
        <w:t xml:space="preserve"> csökkentésével számol a költségvetési javaslat. A s</w:t>
      </w:r>
      <w:r w:rsidRPr="007710FF">
        <w:rPr>
          <w:rFonts w:ascii="Arial" w:hAnsi="Arial" w:cs="Arial"/>
          <w:bCs/>
          <w:sz w:val="22"/>
          <w:szCs w:val="22"/>
        </w:rPr>
        <w:t xml:space="preserve">zokásos ügymenet alapján a társulások és a KÖH költségvetése is elfogadásra került, </w:t>
      </w:r>
      <w:r w:rsidR="009F5DEC" w:rsidRPr="007710FF">
        <w:rPr>
          <w:rFonts w:ascii="Arial" w:hAnsi="Arial" w:cs="Arial"/>
          <w:bCs/>
          <w:sz w:val="22"/>
          <w:szCs w:val="22"/>
        </w:rPr>
        <w:t xml:space="preserve">így az e szervezetek által ellátott feladatokhoz, a működésükhöz Testületünk hozzárendelte tervszinten </w:t>
      </w:r>
      <w:r w:rsidR="006A7D57">
        <w:rPr>
          <w:rFonts w:ascii="Arial" w:hAnsi="Arial" w:cs="Arial"/>
          <w:bCs/>
          <w:sz w:val="22"/>
          <w:szCs w:val="22"/>
        </w:rPr>
        <w:t xml:space="preserve">a </w:t>
      </w:r>
      <w:r w:rsidR="009F5DEC" w:rsidRPr="007710FF">
        <w:rPr>
          <w:rFonts w:ascii="Arial" w:hAnsi="Arial" w:cs="Arial"/>
          <w:bCs/>
          <w:sz w:val="22"/>
          <w:szCs w:val="22"/>
        </w:rPr>
        <w:t>szükséges előirányzatokat.</w:t>
      </w:r>
      <w:r w:rsidR="006C3704" w:rsidRPr="007710FF">
        <w:rPr>
          <w:rFonts w:ascii="Arial" w:hAnsi="Arial" w:cs="Arial"/>
          <w:bCs/>
          <w:sz w:val="22"/>
          <w:szCs w:val="22"/>
        </w:rPr>
        <w:t xml:space="preserve"> A meghozott döntések költségvetésünk jelentős részét determinálják. </w:t>
      </w:r>
    </w:p>
    <w:p w14:paraId="5C653868" w14:textId="77777777" w:rsidR="006A7D57" w:rsidRPr="007710FF" w:rsidRDefault="006A7D57" w:rsidP="00EC58FA">
      <w:pPr>
        <w:spacing w:line="240" w:lineRule="atLeast"/>
        <w:jc w:val="both"/>
        <w:rPr>
          <w:rFonts w:ascii="Arial" w:hAnsi="Arial" w:cs="Arial"/>
          <w:bCs/>
          <w:sz w:val="22"/>
          <w:szCs w:val="22"/>
        </w:rPr>
      </w:pPr>
    </w:p>
    <w:p w14:paraId="7F47D1CC" w14:textId="6550B9D5" w:rsidR="00356567" w:rsidRPr="007710FF" w:rsidRDefault="006C3704" w:rsidP="00EC58FA">
      <w:pPr>
        <w:spacing w:line="240" w:lineRule="atLeast"/>
        <w:jc w:val="both"/>
        <w:rPr>
          <w:rFonts w:ascii="Arial" w:hAnsi="Arial" w:cs="Arial"/>
          <w:bCs/>
          <w:sz w:val="22"/>
          <w:szCs w:val="22"/>
        </w:rPr>
      </w:pPr>
      <w:r w:rsidRPr="007710FF">
        <w:rPr>
          <w:rFonts w:ascii="Arial" w:hAnsi="Arial" w:cs="Arial"/>
          <w:bCs/>
          <w:sz w:val="22"/>
          <w:szCs w:val="22"/>
        </w:rPr>
        <w:t>Emellett az elmúlt évben az ez évi előirányzatok terhére egyéb döntések is születtek, melyek célirányosan beépítésre ke</w:t>
      </w:r>
      <w:r w:rsidR="005A4833">
        <w:rPr>
          <w:rFonts w:ascii="Arial" w:hAnsi="Arial" w:cs="Arial"/>
          <w:bCs/>
          <w:sz w:val="22"/>
          <w:szCs w:val="22"/>
        </w:rPr>
        <w:t>ll, hogy kerüljenek</w:t>
      </w:r>
      <w:r w:rsidR="00A40D06">
        <w:rPr>
          <w:rFonts w:ascii="Arial" w:hAnsi="Arial" w:cs="Arial"/>
          <w:bCs/>
          <w:sz w:val="22"/>
          <w:szCs w:val="22"/>
        </w:rPr>
        <w:t xml:space="preserve"> a javaslatba, ezek összegszerűen </w:t>
      </w:r>
      <w:r w:rsidR="00A45E36">
        <w:rPr>
          <w:rFonts w:ascii="Arial" w:hAnsi="Arial" w:cs="Arial"/>
          <w:bCs/>
          <w:sz w:val="22"/>
          <w:szCs w:val="22"/>
        </w:rPr>
        <w:t>70,8</w:t>
      </w:r>
      <w:r w:rsidR="00A40D06">
        <w:rPr>
          <w:rFonts w:ascii="Arial" w:hAnsi="Arial" w:cs="Arial"/>
          <w:bCs/>
          <w:sz w:val="22"/>
          <w:szCs w:val="22"/>
        </w:rPr>
        <w:t xml:space="preserve"> millió Ft-ot tesznek ki. </w:t>
      </w:r>
      <w:r w:rsidR="00012C0E">
        <w:rPr>
          <w:rFonts w:ascii="Arial" w:hAnsi="Arial" w:cs="Arial"/>
          <w:bCs/>
          <w:sz w:val="22"/>
          <w:szCs w:val="22"/>
        </w:rPr>
        <w:t xml:space="preserve">A </w:t>
      </w:r>
      <w:r w:rsidR="00F602B2" w:rsidRPr="00F602B2">
        <w:rPr>
          <w:rFonts w:ascii="Arial" w:hAnsi="Arial" w:cs="Arial"/>
          <w:bCs/>
          <w:sz w:val="22"/>
          <w:szCs w:val="22"/>
        </w:rPr>
        <w:t xml:space="preserve">309/2024 </w:t>
      </w:r>
      <w:r w:rsidR="00F602B2">
        <w:rPr>
          <w:rFonts w:ascii="Arial" w:hAnsi="Arial" w:cs="Arial"/>
          <w:bCs/>
          <w:sz w:val="22"/>
          <w:szCs w:val="22"/>
        </w:rPr>
        <w:t>Testületi határozattal elfogadott „</w:t>
      </w:r>
      <w:r w:rsidR="00F602B2" w:rsidRPr="00F602B2">
        <w:rPr>
          <w:rFonts w:ascii="Arial" w:hAnsi="Arial" w:cs="Arial"/>
          <w:bCs/>
          <w:sz w:val="22"/>
          <w:szCs w:val="22"/>
        </w:rPr>
        <w:t>Számvevőségi épület felújítás III. ütem</w:t>
      </w:r>
      <w:r w:rsidR="00F602B2">
        <w:rPr>
          <w:rFonts w:ascii="Arial" w:hAnsi="Arial" w:cs="Arial"/>
          <w:bCs/>
          <w:sz w:val="22"/>
          <w:szCs w:val="22"/>
        </w:rPr>
        <w:t xml:space="preserve">”-ű feladat megvalósításának módosítását javasoljuk, az ezzel összefüggő </w:t>
      </w:r>
      <w:r w:rsidR="00851A6B">
        <w:rPr>
          <w:rFonts w:ascii="Arial" w:hAnsi="Arial" w:cs="Arial"/>
          <w:bCs/>
          <w:sz w:val="22"/>
          <w:szCs w:val="22"/>
        </w:rPr>
        <w:t>1</w:t>
      </w:r>
      <w:r w:rsidR="00A56DD3">
        <w:rPr>
          <w:rFonts w:ascii="Arial" w:hAnsi="Arial" w:cs="Arial"/>
          <w:bCs/>
          <w:sz w:val="22"/>
          <w:szCs w:val="22"/>
        </w:rPr>
        <w:t>0</w:t>
      </w:r>
      <w:r w:rsidR="00851A6B">
        <w:rPr>
          <w:rFonts w:ascii="Arial" w:hAnsi="Arial" w:cs="Arial"/>
          <w:bCs/>
          <w:sz w:val="22"/>
          <w:szCs w:val="22"/>
        </w:rPr>
        <w:t xml:space="preserve">,6 millió Ft </w:t>
      </w:r>
      <w:r w:rsidR="00F602B2">
        <w:rPr>
          <w:rFonts w:ascii="Arial" w:hAnsi="Arial" w:cs="Arial"/>
          <w:bCs/>
          <w:sz w:val="22"/>
          <w:szCs w:val="22"/>
        </w:rPr>
        <w:t xml:space="preserve">önerő </w:t>
      </w:r>
      <w:r w:rsidR="00851A6B">
        <w:rPr>
          <w:rFonts w:ascii="Arial" w:hAnsi="Arial" w:cs="Arial"/>
          <w:bCs/>
          <w:sz w:val="22"/>
          <w:szCs w:val="22"/>
        </w:rPr>
        <w:t xml:space="preserve">összegét a működési költségvetési kiadások </w:t>
      </w:r>
      <w:proofErr w:type="gramStart"/>
      <w:r w:rsidR="00851A6B">
        <w:rPr>
          <w:rFonts w:ascii="Arial" w:hAnsi="Arial" w:cs="Arial"/>
          <w:bCs/>
          <w:sz w:val="22"/>
          <w:szCs w:val="22"/>
        </w:rPr>
        <w:t>finanszírozására</w:t>
      </w:r>
      <w:proofErr w:type="gramEnd"/>
      <w:r w:rsidR="00851A6B">
        <w:rPr>
          <w:rFonts w:ascii="Arial" w:hAnsi="Arial" w:cs="Arial"/>
          <w:bCs/>
          <w:sz w:val="22"/>
          <w:szCs w:val="22"/>
        </w:rPr>
        <w:t xml:space="preserve"> javasoljuk bevonni</w:t>
      </w:r>
      <w:r w:rsidR="00B84896">
        <w:rPr>
          <w:rFonts w:ascii="Arial" w:hAnsi="Arial" w:cs="Arial"/>
          <w:bCs/>
          <w:sz w:val="22"/>
          <w:szCs w:val="22"/>
        </w:rPr>
        <w:t>.</w:t>
      </w:r>
      <w:r w:rsidR="004038CD">
        <w:rPr>
          <w:rFonts w:ascii="Arial" w:hAnsi="Arial" w:cs="Arial"/>
          <w:bCs/>
          <w:sz w:val="22"/>
          <w:szCs w:val="22"/>
        </w:rPr>
        <w:tab/>
      </w:r>
      <w:r w:rsidR="004038CD">
        <w:rPr>
          <w:rFonts w:ascii="Arial" w:hAnsi="Arial" w:cs="Arial"/>
          <w:bCs/>
          <w:sz w:val="22"/>
          <w:szCs w:val="22"/>
        </w:rPr>
        <w:tab/>
      </w:r>
      <w:r w:rsidR="004038CD">
        <w:rPr>
          <w:rFonts w:ascii="Arial" w:hAnsi="Arial" w:cs="Arial"/>
          <w:bCs/>
          <w:sz w:val="22"/>
          <w:szCs w:val="22"/>
        </w:rPr>
        <w:tab/>
      </w:r>
      <w:r w:rsidR="004038CD">
        <w:rPr>
          <w:rFonts w:ascii="Arial" w:hAnsi="Arial" w:cs="Arial"/>
          <w:bCs/>
          <w:sz w:val="22"/>
          <w:szCs w:val="22"/>
        </w:rPr>
        <w:tab/>
      </w:r>
      <w:r w:rsidR="004038CD">
        <w:rPr>
          <w:rFonts w:ascii="Arial" w:hAnsi="Arial" w:cs="Arial"/>
          <w:bCs/>
          <w:sz w:val="22"/>
          <w:szCs w:val="22"/>
        </w:rPr>
        <w:tab/>
      </w:r>
      <w:r w:rsidR="00F602B2" w:rsidRPr="00F602B2">
        <w:rPr>
          <w:rFonts w:ascii="Arial" w:hAnsi="Arial" w:cs="Arial"/>
          <w:bCs/>
          <w:sz w:val="22"/>
          <w:szCs w:val="22"/>
        </w:rPr>
        <w:tab/>
      </w:r>
    </w:p>
    <w:p w14:paraId="2E301325" w14:textId="1DCB0E96" w:rsidR="00356567" w:rsidRDefault="00356567" w:rsidP="00EC58FA">
      <w:pPr>
        <w:spacing w:line="240" w:lineRule="atLeast"/>
        <w:jc w:val="both"/>
        <w:rPr>
          <w:rFonts w:ascii="Arial" w:hAnsi="Arial" w:cs="Arial"/>
          <w:bCs/>
          <w:sz w:val="22"/>
          <w:szCs w:val="22"/>
        </w:rPr>
      </w:pPr>
      <w:r w:rsidRPr="00356567">
        <w:rPr>
          <w:rFonts w:ascii="Arial" w:hAnsi="Arial" w:cs="Arial"/>
          <w:bCs/>
          <w:sz w:val="22"/>
          <w:szCs w:val="22"/>
        </w:rPr>
        <w:t>Az előző évi infláció átlagos mértéke</w:t>
      </w:r>
      <w:r w:rsidR="00851A6B">
        <w:rPr>
          <w:rFonts w:ascii="Arial" w:hAnsi="Arial" w:cs="Arial"/>
          <w:bCs/>
          <w:sz w:val="22"/>
          <w:szCs w:val="22"/>
        </w:rPr>
        <w:t xml:space="preserve"> a </w:t>
      </w:r>
      <w:r w:rsidR="00851A6B" w:rsidRPr="00851A6B">
        <w:rPr>
          <w:rFonts w:ascii="Arial" w:hAnsi="Arial" w:cs="Arial"/>
          <w:bCs/>
          <w:sz w:val="22"/>
          <w:szCs w:val="22"/>
        </w:rPr>
        <w:t>2024</w:t>
      </w:r>
      <w:r w:rsidR="00944E37">
        <w:rPr>
          <w:rFonts w:ascii="Arial" w:hAnsi="Arial" w:cs="Arial"/>
          <w:bCs/>
          <w:sz w:val="22"/>
          <w:szCs w:val="22"/>
        </w:rPr>
        <w:t xml:space="preserve">. </w:t>
      </w:r>
      <w:r w:rsidR="00851A6B">
        <w:rPr>
          <w:rFonts w:ascii="Arial" w:hAnsi="Arial" w:cs="Arial"/>
          <w:bCs/>
          <w:sz w:val="22"/>
          <w:szCs w:val="22"/>
        </w:rPr>
        <w:t>év</w:t>
      </w:r>
      <w:r w:rsidR="00851A6B" w:rsidRPr="00851A6B">
        <w:rPr>
          <w:rFonts w:ascii="Arial" w:hAnsi="Arial" w:cs="Arial"/>
          <w:bCs/>
          <w:sz w:val="22"/>
          <w:szCs w:val="22"/>
        </w:rPr>
        <w:t xml:space="preserve">ben 3,7 százalék volt, vagyis a fogyasztói árak átlagosan </w:t>
      </w:r>
      <w:r w:rsidR="00851A6B">
        <w:rPr>
          <w:rFonts w:ascii="Arial" w:hAnsi="Arial" w:cs="Arial"/>
          <w:bCs/>
          <w:sz w:val="22"/>
          <w:szCs w:val="22"/>
        </w:rPr>
        <w:t>ennyivel</w:t>
      </w:r>
      <w:r w:rsidR="00851A6B" w:rsidRPr="00851A6B">
        <w:rPr>
          <w:rFonts w:ascii="Arial" w:hAnsi="Arial" w:cs="Arial"/>
          <w:bCs/>
          <w:sz w:val="22"/>
          <w:szCs w:val="22"/>
        </w:rPr>
        <w:t xml:space="preserve"> nőttek. A fogyasztási tételeken belül a legnagyobb mértékben a szolgáltatások drágultak: 8,9%-kal</w:t>
      </w:r>
      <w:r w:rsidR="00851A6B">
        <w:rPr>
          <w:rFonts w:ascii="Arial" w:hAnsi="Arial" w:cs="Arial"/>
          <w:bCs/>
          <w:sz w:val="22"/>
          <w:szCs w:val="22"/>
        </w:rPr>
        <w:t xml:space="preserve">, ez </w:t>
      </w:r>
      <w:r w:rsidRPr="00356567">
        <w:rPr>
          <w:rFonts w:ascii="Arial" w:hAnsi="Arial" w:cs="Arial"/>
          <w:bCs/>
          <w:sz w:val="22"/>
          <w:szCs w:val="22"/>
        </w:rPr>
        <w:t>számos szerződésünket érinti</w:t>
      </w:r>
      <w:r w:rsidR="00851A6B">
        <w:rPr>
          <w:rFonts w:ascii="Arial" w:hAnsi="Arial" w:cs="Arial"/>
          <w:bCs/>
          <w:sz w:val="22"/>
          <w:szCs w:val="22"/>
        </w:rPr>
        <w:t>. A tervezés során a szolgáltatók által jelzett emeléssel számoltunk, egyéb esetben a dologi kiadások 6 %-kal emelt összegét tartalmazza a javaslat.</w:t>
      </w:r>
    </w:p>
    <w:p w14:paraId="19F4BE8E" w14:textId="77777777" w:rsidR="00356567" w:rsidRDefault="00356567" w:rsidP="00EC58FA">
      <w:pPr>
        <w:spacing w:line="240" w:lineRule="atLeast"/>
        <w:jc w:val="both"/>
        <w:rPr>
          <w:rFonts w:ascii="Arial" w:hAnsi="Arial" w:cs="Arial"/>
          <w:bCs/>
          <w:sz w:val="22"/>
          <w:szCs w:val="22"/>
        </w:rPr>
      </w:pPr>
    </w:p>
    <w:p w14:paraId="289FD9B2" w14:textId="518EEF2C" w:rsidR="004F360D" w:rsidRDefault="00356567" w:rsidP="00EC58FA">
      <w:pPr>
        <w:spacing w:line="240" w:lineRule="atLeast"/>
        <w:jc w:val="both"/>
        <w:rPr>
          <w:rFonts w:ascii="Arial" w:hAnsi="Arial" w:cs="Arial"/>
          <w:bCs/>
          <w:sz w:val="22"/>
          <w:szCs w:val="22"/>
        </w:rPr>
      </w:pPr>
      <w:r>
        <w:rPr>
          <w:rFonts w:ascii="Arial" w:hAnsi="Arial" w:cs="Arial"/>
          <w:bCs/>
          <w:sz w:val="22"/>
          <w:szCs w:val="22"/>
        </w:rPr>
        <w:t>A</w:t>
      </w:r>
      <w:r w:rsidR="004F360D">
        <w:rPr>
          <w:rFonts w:ascii="Arial" w:hAnsi="Arial" w:cs="Arial"/>
          <w:bCs/>
          <w:sz w:val="22"/>
          <w:szCs w:val="22"/>
        </w:rPr>
        <w:t>z előző években bekövetkezett</w:t>
      </w:r>
      <w:r>
        <w:rPr>
          <w:rFonts w:ascii="Arial" w:hAnsi="Arial" w:cs="Arial"/>
          <w:bCs/>
          <w:sz w:val="22"/>
          <w:szCs w:val="22"/>
        </w:rPr>
        <w:t xml:space="preserve"> kedvezőtlen gazdasági folyamatok (infláció, energia áremelkedés) miatt a dolgozói keresetek reálértéke csökkent, jelentősebb béremelésre a központi költségvetés</w:t>
      </w:r>
      <w:r w:rsidR="00164D06">
        <w:rPr>
          <w:rFonts w:ascii="Arial" w:hAnsi="Arial" w:cs="Arial"/>
          <w:bCs/>
          <w:sz w:val="22"/>
          <w:szCs w:val="22"/>
        </w:rPr>
        <w:t>ből nem áll</w:t>
      </w:r>
      <w:r w:rsidR="00AC032F">
        <w:rPr>
          <w:rFonts w:ascii="Arial" w:hAnsi="Arial" w:cs="Arial"/>
          <w:bCs/>
          <w:sz w:val="22"/>
          <w:szCs w:val="22"/>
        </w:rPr>
        <w:t xml:space="preserve"> évek óta</w:t>
      </w:r>
      <w:r w:rsidR="00164D06">
        <w:rPr>
          <w:rFonts w:ascii="Arial" w:hAnsi="Arial" w:cs="Arial"/>
          <w:bCs/>
          <w:sz w:val="22"/>
          <w:szCs w:val="22"/>
        </w:rPr>
        <w:t xml:space="preserve"> rendelkezésre forrás, </w:t>
      </w:r>
      <w:r w:rsidR="0097758D">
        <w:rPr>
          <w:rFonts w:ascii="Arial" w:hAnsi="Arial" w:cs="Arial"/>
          <w:bCs/>
          <w:sz w:val="22"/>
          <w:szCs w:val="22"/>
        </w:rPr>
        <w:t>ö</w:t>
      </w:r>
      <w:r w:rsidR="00164D06">
        <w:rPr>
          <w:rFonts w:ascii="Arial" w:hAnsi="Arial" w:cs="Arial"/>
          <w:bCs/>
          <w:sz w:val="22"/>
          <w:szCs w:val="22"/>
        </w:rPr>
        <w:t>nerőből minimális mértékű kompenzációra v</w:t>
      </w:r>
      <w:r w:rsidR="00AC032F">
        <w:rPr>
          <w:rFonts w:ascii="Arial" w:hAnsi="Arial" w:cs="Arial"/>
          <w:bCs/>
          <w:sz w:val="22"/>
          <w:szCs w:val="22"/>
        </w:rPr>
        <w:t>an</w:t>
      </w:r>
      <w:r w:rsidR="00164D06">
        <w:rPr>
          <w:rFonts w:ascii="Arial" w:hAnsi="Arial" w:cs="Arial"/>
          <w:bCs/>
          <w:sz w:val="22"/>
          <w:szCs w:val="22"/>
        </w:rPr>
        <w:t xml:space="preserve"> lehetőségünk. </w:t>
      </w:r>
      <w:r w:rsidR="00944E37">
        <w:rPr>
          <w:rFonts w:ascii="Arial" w:hAnsi="Arial" w:cs="Arial"/>
          <w:bCs/>
          <w:sz w:val="22"/>
          <w:szCs w:val="22"/>
        </w:rPr>
        <w:t>A</w:t>
      </w:r>
      <w:r w:rsidR="005D2408" w:rsidRPr="007710FF">
        <w:rPr>
          <w:rFonts w:ascii="Arial" w:hAnsi="Arial" w:cs="Arial"/>
          <w:bCs/>
          <w:sz w:val="22"/>
          <w:szCs w:val="22"/>
        </w:rPr>
        <w:t xml:space="preserve"> pedagógus életpálya bevezetésével összefüggő jogszabályok által megvalósuló, </w:t>
      </w:r>
      <w:r w:rsidR="009F5DEC" w:rsidRPr="007710FF">
        <w:rPr>
          <w:rFonts w:ascii="Arial" w:hAnsi="Arial" w:cs="Arial"/>
          <w:bCs/>
          <w:sz w:val="22"/>
          <w:szCs w:val="22"/>
        </w:rPr>
        <w:t xml:space="preserve">a központi költségvetésből biztosított forrás terhére </w:t>
      </w:r>
      <w:r w:rsidR="00944E37">
        <w:rPr>
          <w:rFonts w:ascii="Arial" w:hAnsi="Arial" w:cs="Arial"/>
          <w:bCs/>
          <w:sz w:val="22"/>
          <w:szCs w:val="22"/>
        </w:rPr>
        <w:t>a 2024</w:t>
      </w:r>
      <w:r w:rsidR="00955DE0">
        <w:rPr>
          <w:rFonts w:ascii="Arial" w:hAnsi="Arial" w:cs="Arial"/>
          <w:bCs/>
          <w:sz w:val="22"/>
          <w:szCs w:val="22"/>
        </w:rPr>
        <w:t xml:space="preserve">. évben </w:t>
      </w:r>
      <w:r w:rsidR="009F5DEC" w:rsidRPr="007710FF">
        <w:rPr>
          <w:rFonts w:ascii="Arial" w:hAnsi="Arial" w:cs="Arial"/>
          <w:bCs/>
          <w:sz w:val="22"/>
          <w:szCs w:val="22"/>
        </w:rPr>
        <w:t>átlag 32,2 %-os mértékű</w:t>
      </w:r>
      <w:r w:rsidR="009F5DEC">
        <w:rPr>
          <w:rFonts w:ascii="Arial" w:hAnsi="Arial" w:cs="Arial"/>
          <w:b/>
          <w:sz w:val="22"/>
          <w:szCs w:val="22"/>
        </w:rPr>
        <w:t xml:space="preserve"> </w:t>
      </w:r>
      <w:r w:rsidR="005D2408" w:rsidRPr="007710FF">
        <w:rPr>
          <w:rFonts w:ascii="Arial" w:hAnsi="Arial" w:cs="Arial"/>
          <w:bCs/>
          <w:sz w:val="22"/>
          <w:szCs w:val="22"/>
        </w:rPr>
        <w:t>béremelés</w:t>
      </w:r>
      <w:r w:rsidR="005D2408" w:rsidRPr="00273E51">
        <w:rPr>
          <w:rFonts w:ascii="Arial" w:hAnsi="Arial" w:cs="Arial"/>
          <w:b/>
          <w:sz w:val="22"/>
          <w:szCs w:val="22"/>
        </w:rPr>
        <w:t xml:space="preserve"> </w:t>
      </w:r>
      <w:r w:rsidR="005D2408" w:rsidRPr="007710FF">
        <w:rPr>
          <w:rFonts w:ascii="Arial" w:hAnsi="Arial" w:cs="Arial"/>
          <w:bCs/>
          <w:sz w:val="22"/>
          <w:szCs w:val="22"/>
        </w:rPr>
        <w:t>következ</w:t>
      </w:r>
      <w:r w:rsidR="00955DE0">
        <w:rPr>
          <w:rFonts w:ascii="Arial" w:hAnsi="Arial" w:cs="Arial"/>
          <w:bCs/>
          <w:sz w:val="22"/>
          <w:szCs w:val="22"/>
        </w:rPr>
        <w:t>ett</w:t>
      </w:r>
      <w:r w:rsidR="005D2408" w:rsidRPr="007710FF">
        <w:rPr>
          <w:rFonts w:ascii="Arial" w:hAnsi="Arial" w:cs="Arial"/>
          <w:bCs/>
          <w:sz w:val="22"/>
          <w:szCs w:val="22"/>
        </w:rPr>
        <w:t xml:space="preserve"> be</w:t>
      </w:r>
      <w:r w:rsidR="009F5DEC" w:rsidRPr="007710FF">
        <w:rPr>
          <w:rFonts w:ascii="Arial" w:hAnsi="Arial" w:cs="Arial"/>
          <w:bCs/>
          <w:sz w:val="22"/>
          <w:szCs w:val="22"/>
        </w:rPr>
        <w:t xml:space="preserve"> </w:t>
      </w:r>
      <w:r w:rsidR="00273E51" w:rsidRPr="007710FF">
        <w:rPr>
          <w:rFonts w:ascii="Arial" w:hAnsi="Arial" w:cs="Arial"/>
          <w:bCs/>
          <w:sz w:val="22"/>
          <w:szCs w:val="22"/>
        </w:rPr>
        <w:t>az önkormányzat egyik intézményé</w:t>
      </w:r>
      <w:r w:rsidR="009F5DEC" w:rsidRPr="007710FF">
        <w:rPr>
          <w:rFonts w:ascii="Arial" w:hAnsi="Arial" w:cs="Arial"/>
          <w:bCs/>
          <w:sz w:val="22"/>
          <w:szCs w:val="22"/>
        </w:rPr>
        <w:t>nél, az óvodapedagógus munkakörben dolgozó munkatársakat érintően.</w:t>
      </w:r>
      <w:r w:rsidR="006C3704" w:rsidRPr="007710FF">
        <w:rPr>
          <w:rFonts w:ascii="Arial" w:hAnsi="Arial" w:cs="Arial"/>
          <w:bCs/>
          <w:sz w:val="22"/>
          <w:szCs w:val="22"/>
        </w:rPr>
        <w:t xml:space="preserve"> </w:t>
      </w:r>
      <w:r w:rsidR="00D01200" w:rsidRPr="007710FF">
        <w:rPr>
          <w:rFonts w:ascii="Arial" w:hAnsi="Arial" w:cs="Arial"/>
          <w:bCs/>
          <w:sz w:val="22"/>
          <w:szCs w:val="22"/>
        </w:rPr>
        <w:t xml:space="preserve"> </w:t>
      </w:r>
      <w:r w:rsidR="00112C85">
        <w:rPr>
          <w:rFonts w:ascii="Arial" w:hAnsi="Arial" w:cs="Arial"/>
          <w:bCs/>
          <w:sz w:val="22"/>
          <w:szCs w:val="22"/>
        </w:rPr>
        <w:t>Ez évben u</w:t>
      </w:r>
      <w:r w:rsidR="00955DE0">
        <w:rPr>
          <w:rFonts w:ascii="Arial" w:hAnsi="Arial" w:cs="Arial"/>
          <w:bCs/>
          <w:sz w:val="22"/>
          <w:szCs w:val="22"/>
        </w:rPr>
        <w:t xml:space="preserve">gyancsak állami forrásból biztosított </w:t>
      </w:r>
      <w:r w:rsidR="00112C85">
        <w:rPr>
          <w:rFonts w:ascii="Arial" w:hAnsi="Arial" w:cs="Arial"/>
          <w:bCs/>
          <w:sz w:val="22"/>
          <w:szCs w:val="22"/>
        </w:rPr>
        <w:t>további emeléssel számolhatunk</w:t>
      </w:r>
      <w:r w:rsidR="00AC032F">
        <w:rPr>
          <w:rFonts w:ascii="Arial" w:hAnsi="Arial" w:cs="Arial"/>
          <w:bCs/>
          <w:sz w:val="22"/>
          <w:szCs w:val="22"/>
        </w:rPr>
        <w:t xml:space="preserve"> esetükben</w:t>
      </w:r>
      <w:r w:rsidR="00112C85">
        <w:rPr>
          <w:rFonts w:ascii="Arial" w:hAnsi="Arial" w:cs="Arial"/>
          <w:bCs/>
          <w:sz w:val="22"/>
          <w:szCs w:val="22"/>
        </w:rPr>
        <w:t>. A</w:t>
      </w:r>
      <w:r w:rsidR="00112C85" w:rsidRPr="00112C85">
        <w:t xml:space="preserve"> </w:t>
      </w:r>
      <w:r w:rsidR="00112C85" w:rsidRPr="00112C85">
        <w:rPr>
          <w:rFonts w:ascii="Arial" w:hAnsi="Arial" w:cs="Arial"/>
          <w:bCs/>
          <w:sz w:val="22"/>
          <w:szCs w:val="22"/>
        </w:rPr>
        <w:t>Ped</w:t>
      </w:r>
      <w:r w:rsidR="00112C85">
        <w:rPr>
          <w:rFonts w:ascii="Arial" w:hAnsi="Arial" w:cs="Arial"/>
          <w:bCs/>
          <w:sz w:val="22"/>
          <w:szCs w:val="22"/>
        </w:rPr>
        <w:t xml:space="preserve">agógus </w:t>
      </w:r>
      <w:r w:rsidR="00112C85" w:rsidRPr="00112C85">
        <w:rPr>
          <w:rFonts w:ascii="Arial" w:hAnsi="Arial" w:cs="Arial"/>
          <w:bCs/>
          <w:sz w:val="22"/>
          <w:szCs w:val="22"/>
        </w:rPr>
        <w:t>I. fokozatnál 21,4%</w:t>
      </w:r>
      <w:r w:rsidR="00112C85">
        <w:rPr>
          <w:rFonts w:ascii="Arial" w:hAnsi="Arial" w:cs="Arial"/>
          <w:bCs/>
          <w:sz w:val="22"/>
          <w:szCs w:val="22"/>
        </w:rPr>
        <w:t>-os</w:t>
      </w:r>
      <w:r w:rsidR="00112C85" w:rsidRPr="00112C85">
        <w:rPr>
          <w:rFonts w:ascii="Arial" w:hAnsi="Arial" w:cs="Arial"/>
          <w:bCs/>
          <w:sz w:val="22"/>
          <w:szCs w:val="22"/>
        </w:rPr>
        <w:t xml:space="preserve">, </w:t>
      </w:r>
      <w:r w:rsidR="00112C85">
        <w:rPr>
          <w:rFonts w:ascii="Arial" w:hAnsi="Arial" w:cs="Arial"/>
          <w:bCs/>
          <w:sz w:val="22"/>
          <w:szCs w:val="22"/>
        </w:rPr>
        <w:t xml:space="preserve">a </w:t>
      </w:r>
      <w:r w:rsidR="00112C85" w:rsidRPr="00112C85">
        <w:rPr>
          <w:rFonts w:ascii="Arial" w:hAnsi="Arial" w:cs="Arial"/>
          <w:bCs/>
          <w:sz w:val="22"/>
          <w:szCs w:val="22"/>
        </w:rPr>
        <w:t>Ped</w:t>
      </w:r>
      <w:r w:rsidR="00112C85">
        <w:rPr>
          <w:rFonts w:ascii="Arial" w:hAnsi="Arial" w:cs="Arial"/>
          <w:bCs/>
          <w:sz w:val="22"/>
          <w:szCs w:val="22"/>
        </w:rPr>
        <w:t xml:space="preserve">agógus </w:t>
      </w:r>
      <w:r w:rsidR="00112C85" w:rsidRPr="00112C85">
        <w:rPr>
          <w:rFonts w:ascii="Arial" w:hAnsi="Arial" w:cs="Arial"/>
          <w:bCs/>
          <w:sz w:val="22"/>
          <w:szCs w:val="22"/>
        </w:rPr>
        <w:t xml:space="preserve">II. fokozatnál 19%-os </w:t>
      </w:r>
      <w:r w:rsidR="00112C85">
        <w:rPr>
          <w:rFonts w:ascii="Arial" w:hAnsi="Arial" w:cs="Arial"/>
          <w:bCs/>
          <w:sz w:val="22"/>
          <w:szCs w:val="22"/>
        </w:rPr>
        <w:t>bér</w:t>
      </w:r>
      <w:r w:rsidR="00112C85" w:rsidRPr="00112C85">
        <w:rPr>
          <w:rFonts w:ascii="Arial" w:hAnsi="Arial" w:cs="Arial"/>
          <w:bCs/>
          <w:sz w:val="22"/>
          <w:szCs w:val="22"/>
        </w:rPr>
        <w:t>emelé</w:t>
      </w:r>
      <w:r w:rsidR="00112C85">
        <w:rPr>
          <w:rFonts w:ascii="Arial" w:hAnsi="Arial" w:cs="Arial"/>
          <w:bCs/>
          <w:sz w:val="22"/>
          <w:szCs w:val="22"/>
        </w:rPr>
        <w:t>s</w:t>
      </w:r>
      <w:r w:rsidR="00112C85" w:rsidRPr="00112C85">
        <w:rPr>
          <w:rFonts w:ascii="Arial" w:hAnsi="Arial" w:cs="Arial"/>
          <w:bCs/>
          <w:sz w:val="22"/>
          <w:szCs w:val="22"/>
        </w:rPr>
        <w:t xml:space="preserve"> </w:t>
      </w:r>
      <w:r w:rsidR="00112C85">
        <w:rPr>
          <w:rFonts w:ascii="Arial" w:hAnsi="Arial" w:cs="Arial"/>
          <w:bCs/>
          <w:sz w:val="22"/>
          <w:szCs w:val="22"/>
        </w:rPr>
        <w:t>következik be, emellett e</w:t>
      </w:r>
      <w:r w:rsidR="00112C85" w:rsidRPr="00112C85">
        <w:rPr>
          <w:rFonts w:ascii="Arial" w:hAnsi="Arial" w:cs="Arial"/>
          <w:bCs/>
          <w:sz w:val="22"/>
          <w:szCs w:val="22"/>
        </w:rPr>
        <w:t>melkedtek a pótlékok (megbízások) díjai is a törvényben meghatározott arányszámokkal.</w:t>
      </w:r>
      <w:r w:rsidR="00955DE0">
        <w:rPr>
          <w:rFonts w:ascii="Arial" w:hAnsi="Arial" w:cs="Arial"/>
          <w:bCs/>
          <w:sz w:val="22"/>
          <w:szCs w:val="22"/>
        </w:rPr>
        <w:t xml:space="preserve"> </w:t>
      </w:r>
      <w:r w:rsidR="006C3704" w:rsidRPr="007710FF">
        <w:rPr>
          <w:rFonts w:ascii="Arial" w:hAnsi="Arial" w:cs="Arial"/>
          <w:bCs/>
          <w:sz w:val="22"/>
          <w:szCs w:val="22"/>
        </w:rPr>
        <w:t xml:space="preserve">A többi dolgozó bére </w:t>
      </w:r>
      <w:r w:rsidR="00D01200" w:rsidRPr="007710FF">
        <w:rPr>
          <w:rFonts w:ascii="Arial" w:hAnsi="Arial" w:cs="Arial"/>
          <w:bCs/>
          <w:sz w:val="22"/>
          <w:szCs w:val="22"/>
        </w:rPr>
        <w:t xml:space="preserve">érintettség esetén </w:t>
      </w:r>
      <w:r w:rsidR="006C3704" w:rsidRPr="007710FF">
        <w:rPr>
          <w:rFonts w:ascii="Arial" w:hAnsi="Arial" w:cs="Arial"/>
          <w:bCs/>
          <w:sz w:val="22"/>
          <w:szCs w:val="22"/>
        </w:rPr>
        <w:t>a központi bérintézkedések (minimálbér és garantált bérminimum emelés) következtében módosul, illetve ezzel összefüggően az ágazati pótlékban részesülők</w:t>
      </w:r>
      <w:r w:rsidR="00D01200" w:rsidRPr="007710FF">
        <w:rPr>
          <w:rFonts w:ascii="Arial" w:hAnsi="Arial" w:cs="Arial"/>
          <w:bCs/>
          <w:sz w:val="22"/>
          <w:szCs w:val="22"/>
        </w:rPr>
        <w:t>nél</w:t>
      </w:r>
      <w:r w:rsidR="006C3704" w:rsidRPr="007710FF">
        <w:rPr>
          <w:rFonts w:ascii="Arial" w:hAnsi="Arial" w:cs="Arial"/>
          <w:bCs/>
          <w:sz w:val="22"/>
          <w:szCs w:val="22"/>
        </w:rPr>
        <w:t xml:space="preserve"> e bérelem is béremelkedést eredményez, ugyanakkor közel sem következik be olyan mérté</w:t>
      </w:r>
      <w:r w:rsidR="00D01200" w:rsidRPr="007710FF">
        <w:rPr>
          <w:rFonts w:ascii="Arial" w:hAnsi="Arial" w:cs="Arial"/>
          <w:bCs/>
          <w:sz w:val="22"/>
          <w:szCs w:val="22"/>
        </w:rPr>
        <w:t>kű növekedés</w:t>
      </w:r>
      <w:r w:rsidR="006C3704" w:rsidRPr="007710FF">
        <w:rPr>
          <w:rFonts w:ascii="Arial" w:hAnsi="Arial" w:cs="Arial"/>
          <w:bCs/>
          <w:sz w:val="22"/>
          <w:szCs w:val="22"/>
        </w:rPr>
        <w:t xml:space="preserve">, mint az előbb említett ágazatban dolgozók </w:t>
      </w:r>
      <w:r w:rsidR="00D01200" w:rsidRPr="007710FF">
        <w:rPr>
          <w:rFonts w:ascii="Arial" w:hAnsi="Arial" w:cs="Arial"/>
          <w:bCs/>
          <w:sz w:val="22"/>
          <w:szCs w:val="22"/>
        </w:rPr>
        <w:t>vonatkozásában</w:t>
      </w:r>
      <w:r w:rsidR="00417211" w:rsidRPr="007710FF">
        <w:rPr>
          <w:rFonts w:ascii="Arial" w:hAnsi="Arial" w:cs="Arial"/>
          <w:bCs/>
          <w:sz w:val="22"/>
          <w:szCs w:val="22"/>
        </w:rPr>
        <w:t xml:space="preserve">. </w:t>
      </w:r>
    </w:p>
    <w:p w14:paraId="3D9445D7" w14:textId="77777777" w:rsidR="00112C85" w:rsidRDefault="00112C85" w:rsidP="00EC58FA">
      <w:pPr>
        <w:spacing w:line="240" w:lineRule="atLeast"/>
        <w:jc w:val="both"/>
        <w:rPr>
          <w:rFonts w:ascii="Arial" w:hAnsi="Arial" w:cs="Arial"/>
          <w:bCs/>
          <w:sz w:val="22"/>
          <w:szCs w:val="22"/>
        </w:rPr>
      </w:pPr>
    </w:p>
    <w:p w14:paraId="22D5F417" w14:textId="6DAFCB71" w:rsidR="00382091" w:rsidRPr="00D533B0" w:rsidRDefault="004F360D" w:rsidP="00EC58FA">
      <w:pPr>
        <w:spacing w:line="240" w:lineRule="atLeast"/>
        <w:jc w:val="both"/>
        <w:rPr>
          <w:rFonts w:ascii="Arial" w:hAnsi="Arial" w:cs="Arial"/>
          <w:sz w:val="22"/>
          <w:szCs w:val="22"/>
        </w:rPr>
      </w:pPr>
      <w:r w:rsidRPr="00D533B0">
        <w:rPr>
          <w:rFonts w:ascii="Arial" w:hAnsi="Arial" w:cs="Arial"/>
          <w:sz w:val="22"/>
          <w:szCs w:val="22"/>
        </w:rPr>
        <w:t>A</w:t>
      </w:r>
      <w:r w:rsidR="00417211" w:rsidRPr="00D533B0">
        <w:rPr>
          <w:rFonts w:ascii="Arial" w:hAnsi="Arial" w:cs="Arial"/>
          <w:sz w:val="22"/>
          <w:szCs w:val="22"/>
        </w:rPr>
        <w:t xml:space="preserve"> garantált bérminimumot alig meghaladó bruttó keresettel rendelkező dolgozók </w:t>
      </w:r>
      <w:r w:rsidR="00D01200" w:rsidRPr="00D533B0">
        <w:rPr>
          <w:rFonts w:ascii="Arial" w:hAnsi="Arial" w:cs="Arial"/>
          <w:sz w:val="22"/>
          <w:szCs w:val="22"/>
        </w:rPr>
        <w:t>egyáltalán nem érintett</w:t>
      </w:r>
      <w:r w:rsidR="00417211" w:rsidRPr="00D533B0">
        <w:rPr>
          <w:rFonts w:ascii="Arial" w:hAnsi="Arial" w:cs="Arial"/>
          <w:sz w:val="22"/>
          <w:szCs w:val="22"/>
        </w:rPr>
        <w:t>ek a</w:t>
      </w:r>
      <w:r w:rsidR="00D01200" w:rsidRPr="00D533B0">
        <w:rPr>
          <w:rFonts w:ascii="Arial" w:hAnsi="Arial" w:cs="Arial"/>
          <w:sz w:val="22"/>
          <w:szCs w:val="22"/>
        </w:rPr>
        <w:t xml:space="preserve"> központi béremelésben. </w:t>
      </w:r>
      <w:r w:rsidR="00D01200" w:rsidRPr="00ED5BCB">
        <w:rPr>
          <w:rFonts w:ascii="Arial" w:hAnsi="Arial" w:cs="Arial"/>
          <w:b/>
          <w:sz w:val="22"/>
          <w:szCs w:val="22"/>
        </w:rPr>
        <w:t>A költségvetési javaslat</w:t>
      </w:r>
      <w:r w:rsidR="00417211" w:rsidRPr="00ED5BCB">
        <w:rPr>
          <w:rFonts w:ascii="Arial" w:hAnsi="Arial" w:cs="Arial"/>
          <w:b/>
          <w:sz w:val="22"/>
          <w:szCs w:val="22"/>
        </w:rPr>
        <w:t>ban</w:t>
      </w:r>
      <w:r w:rsidR="00D01200" w:rsidRPr="00ED5BCB">
        <w:rPr>
          <w:rFonts w:ascii="Arial" w:hAnsi="Arial" w:cs="Arial"/>
          <w:b/>
          <w:sz w:val="22"/>
          <w:szCs w:val="22"/>
        </w:rPr>
        <w:t xml:space="preserve"> a lehetőségek szintjén </w:t>
      </w:r>
      <w:r w:rsidR="00164D06" w:rsidRPr="00ED5BCB">
        <w:rPr>
          <w:rFonts w:ascii="Arial" w:hAnsi="Arial" w:cs="Arial"/>
          <w:b/>
          <w:sz w:val="22"/>
          <w:szCs w:val="22"/>
        </w:rPr>
        <w:t>az előző év</w:t>
      </w:r>
      <w:r w:rsidR="00112C85" w:rsidRPr="00ED5BCB">
        <w:rPr>
          <w:rFonts w:ascii="Arial" w:hAnsi="Arial" w:cs="Arial"/>
          <w:b/>
          <w:sz w:val="22"/>
          <w:szCs w:val="22"/>
        </w:rPr>
        <w:t xml:space="preserve">ben is biztosított önkormányzatunk önerőt </w:t>
      </w:r>
      <w:r w:rsidR="00417211" w:rsidRPr="00ED5BCB">
        <w:rPr>
          <w:rFonts w:ascii="Arial" w:hAnsi="Arial" w:cs="Arial"/>
          <w:b/>
          <w:sz w:val="22"/>
          <w:szCs w:val="22"/>
        </w:rPr>
        <w:t xml:space="preserve">az utóbbi két </w:t>
      </w:r>
      <w:proofErr w:type="gramStart"/>
      <w:r w:rsidR="00417211" w:rsidRPr="00ED5BCB">
        <w:rPr>
          <w:rFonts w:ascii="Arial" w:hAnsi="Arial" w:cs="Arial"/>
          <w:b/>
          <w:sz w:val="22"/>
          <w:szCs w:val="22"/>
        </w:rPr>
        <w:t>kategóriába</w:t>
      </w:r>
      <w:proofErr w:type="gramEnd"/>
      <w:r w:rsidR="00417211" w:rsidRPr="00ED5BCB">
        <w:rPr>
          <w:rFonts w:ascii="Arial" w:hAnsi="Arial" w:cs="Arial"/>
          <w:b/>
          <w:sz w:val="22"/>
          <w:szCs w:val="22"/>
        </w:rPr>
        <w:t xml:space="preserve"> tartozó munkavállalók </w:t>
      </w:r>
      <w:r w:rsidR="00A54C6B" w:rsidRPr="00ED5BCB">
        <w:rPr>
          <w:rFonts w:ascii="Arial" w:hAnsi="Arial" w:cs="Arial"/>
          <w:b/>
          <w:sz w:val="22"/>
          <w:szCs w:val="22"/>
        </w:rPr>
        <w:t>reálkereset</w:t>
      </w:r>
      <w:r w:rsidR="007710FF" w:rsidRPr="00ED5BCB">
        <w:rPr>
          <w:rFonts w:ascii="Arial" w:hAnsi="Arial" w:cs="Arial"/>
          <w:b/>
          <w:sz w:val="22"/>
          <w:szCs w:val="22"/>
        </w:rPr>
        <w:t>e</w:t>
      </w:r>
      <w:r w:rsidR="00A54C6B" w:rsidRPr="00ED5BCB">
        <w:rPr>
          <w:rFonts w:ascii="Arial" w:hAnsi="Arial" w:cs="Arial"/>
          <w:b/>
          <w:sz w:val="22"/>
          <w:szCs w:val="22"/>
        </w:rPr>
        <w:t xml:space="preserve"> csökkenésének enyhítése é</w:t>
      </w:r>
      <w:r w:rsidRPr="00ED5BCB">
        <w:rPr>
          <w:rFonts w:ascii="Arial" w:hAnsi="Arial" w:cs="Arial"/>
          <w:b/>
          <w:sz w:val="22"/>
          <w:szCs w:val="22"/>
        </w:rPr>
        <w:t xml:space="preserve">rdekében, </w:t>
      </w:r>
      <w:r w:rsidR="00112C85" w:rsidRPr="00ED5BCB">
        <w:rPr>
          <w:rFonts w:ascii="Arial" w:hAnsi="Arial" w:cs="Arial"/>
          <w:b/>
          <w:sz w:val="22"/>
          <w:szCs w:val="22"/>
        </w:rPr>
        <w:t xml:space="preserve">ezt ez évben is fenn kívánjuk tartani, ezért </w:t>
      </w:r>
      <w:r w:rsidRPr="00ED5BCB">
        <w:rPr>
          <w:rFonts w:ascii="Arial" w:hAnsi="Arial" w:cs="Arial"/>
          <w:b/>
          <w:sz w:val="22"/>
          <w:szCs w:val="22"/>
        </w:rPr>
        <w:t>a javaslat prioritásként kezeli e</w:t>
      </w:r>
      <w:r w:rsidR="00A56DD3" w:rsidRPr="00ED5BCB">
        <w:rPr>
          <w:rFonts w:ascii="Arial" w:hAnsi="Arial" w:cs="Arial"/>
          <w:b/>
          <w:sz w:val="22"/>
          <w:szCs w:val="22"/>
        </w:rPr>
        <w:t>zt a</w:t>
      </w:r>
      <w:r w:rsidRPr="00ED5BCB">
        <w:rPr>
          <w:rFonts w:ascii="Arial" w:hAnsi="Arial" w:cs="Arial"/>
          <w:b/>
          <w:sz w:val="22"/>
          <w:szCs w:val="22"/>
        </w:rPr>
        <w:t xml:space="preserve"> bérrendezést.</w:t>
      </w:r>
    </w:p>
    <w:p w14:paraId="4380227D" w14:textId="77777777" w:rsidR="004F360D" w:rsidRPr="00D533B0" w:rsidRDefault="004F360D" w:rsidP="00EC58FA">
      <w:pPr>
        <w:spacing w:line="240" w:lineRule="atLeast"/>
        <w:jc w:val="both"/>
        <w:rPr>
          <w:rFonts w:ascii="Arial" w:hAnsi="Arial" w:cs="Arial"/>
          <w:sz w:val="22"/>
          <w:szCs w:val="22"/>
        </w:rPr>
      </w:pPr>
    </w:p>
    <w:p w14:paraId="67E76947" w14:textId="7EA22085" w:rsidR="0015634A" w:rsidRDefault="00597CDD" w:rsidP="00EC58FA">
      <w:pPr>
        <w:spacing w:line="240" w:lineRule="atLeast"/>
        <w:jc w:val="both"/>
        <w:rPr>
          <w:rFonts w:ascii="Arial" w:hAnsi="Arial" w:cs="Arial"/>
          <w:b/>
          <w:sz w:val="22"/>
          <w:szCs w:val="22"/>
        </w:rPr>
      </w:pPr>
      <w:r w:rsidRPr="00883276">
        <w:rPr>
          <w:rFonts w:ascii="Arial" w:hAnsi="Arial" w:cs="Arial"/>
          <w:b/>
          <w:sz w:val="22"/>
          <w:szCs w:val="22"/>
        </w:rPr>
        <w:t xml:space="preserve">Az idei év költségvetésének összeállításánál </w:t>
      </w:r>
      <w:r w:rsidR="00FA40FD" w:rsidRPr="00883276">
        <w:rPr>
          <w:rFonts w:ascii="Arial" w:hAnsi="Arial" w:cs="Arial"/>
          <w:b/>
          <w:sz w:val="22"/>
          <w:szCs w:val="22"/>
        </w:rPr>
        <w:t xml:space="preserve">eredeti előirányzatként </w:t>
      </w:r>
      <w:r w:rsidR="006631D4">
        <w:rPr>
          <w:rFonts w:ascii="Arial" w:hAnsi="Arial" w:cs="Arial"/>
          <w:b/>
          <w:sz w:val="22"/>
          <w:szCs w:val="22"/>
        </w:rPr>
        <w:t xml:space="preserve">a feladataink finanszírozásához </w:t>
      </w:r>
      <w:r w:rsidR="006631D4" w:rsidRPr="006631D4">
        <w:rPr>
          <w:rFonts w:ascii="Arial" w:hAnsi="Arial" w:cs="Arial"/>
          <w:b/>
          <w:sz w:val="22"/>
          <w:szCs w:val="22"/>
        </w:rPr>
        <w:t>917 563</w:t>
      </w:r>
      <w:r w:rsidR="006631D4">
        <w:rPr>
          <w:rFonts w:ascii="Arial" w:hAnsi="Arial" w:cs="Arial"/>
          <w:b/>
          <w:sz w:val="22"/>
          <w:szCs w:val="22"/>
        </w:rPr>
        <w:t> </w:t>
      </w:r>
      <w:r w:rsidR="006631D4" w:rsidRPr="006631D4">
        <w:rPr>
          <w:rFonts w:ascii="Arial" w:hAnsi="Arial" w:cs="Arial"/>
          <w:b/>
          <w:sz w:val="22"/>
          <w:szCs w:val="22"/>
        </w:rPr>
        <w:t>002</w:t>
      </w:r>
      <w:r w:rsidR="006631D4">
        <w:rPr>
          <w:rFonts w:ascii="Arial" w:hAnsi="Arial" w:cs="Arial"/>
          <w:b/>
          <w:sz w:val="22"/>
          <w:szCs w:val="22"/>
        </w:rPr>
        <w:t xml:space="preserve"> </w:t>
      </w:r>
      <w:r w:rsidR="00FA40FD" w:rsidRPr="00883276">
        <w:rPr>
          <w:rFonts w:ascii="Arial" w:hAnsi="Arial" w:cs="Arial"/>
          <w:b/>
          <w:sz w:val="22"/>
          <w:szCs w:val="22"/>
        </w:rPr>
        <w:t>összegű</w:t>
      </w:r>
      <w:r w:rsidR="002A5941" w:rsidRPr="00883276">
        <w:rPr>
          <w:rFonts w:ascii="Arial" w:hAnsi="Arial" w:cs="Arial"/>
          <w:b/>
          <w:sz w:val="22"/>
          <w:szCs w:val="22"/>
        </w:rPr>
        <w:t xml:space="preserve"> </w:t>
      </w:r>
      <w:r w:rsidR="006631D4">
        <w:rPr>
          <w:rFonts w:ascii="Arial" w:hAnsi="Arial" w:cs="Arial"/>
          <w:b/>
          <w:sz w:val="22"/>
          <w:szCs w:val="22"/>
        </w:rPr>
        <w:t xml:space="preserve">működési célú </w:t>
      </w:r>
      <w:r w:rsidR="002A5941" w:rsidRPr="00883276">
        <w:rPr>
          <w:rFonts w:ascii="Arial" w:hAnsi="Arial" w:cs="Arial"/>
          <w:b/>
          <w:sz w:val="22"/>
          <w:szCs w:val="22"/>
        </w:rPr>
        <w:t xml:space="preserve">központi költségvetési forrással számolhatunk, </w:t>
      </w:r>
      <w:r w:rsidR="002A5941" w:rsidRPr="001B68C0">
        <w:rPr>
          <w:rFonts w:ascii="Arial" w:hAnsi="Arial" w:cs="Arial"/>
          <w:b/>
          <w:sz w:val="22"/>
          <w:szCs w:val="22"/>
        </w:rPr>
        <w:t xml:space="preserve">mely </w:t>
      </w:r>
      <w:r w:rsidR="006631D4" w:rsidRPr="001B68C0">
        <w:rPr>
          <w:rFonts w:ascii="Arial" w:hAnsi="Arial" w:cs="Arial"/>
          <w:b/>
          <w:sz w:val="22"/>
          <w:szCs w:val="22"/>
        </w:rPr>
        <w:t>6</w:t>
      </w:r>
      <w:r w:rsidR="001D4AD1" w:rsidRPr="001B68C0">
        <w:rPr>
          <w:rFonts w:ascii="Arial" w:hAnsi="Arial" w:cs="Arial"/>
          <w:b/>
          <w:sz w:val="22"/>
          <w:szCs w:val="22"/>
        </w:rPr>
        <w:t>2,5 millió</w:t>
      </w:r>
      <w:r w:rsidR="002A5941" w:rsidRPr="001B68C0">
        <w:rPr>
          <w:rFonts w:ascii="Arial" w:hAnsi="Arial" w:cs="Arial"/>
          <w:b/>
          <w:sz w:val="22"/>
          <w:szCs w:val="22"/>
        </w:rPr>
        <w:t xml:space="preserve"> Ft-tal több az előző év</w:t>
      </w:r>
      <w:r w:rsidR="0074084C" w:rsidRPr="001B68C0">
        <w:rPr>
          <w:rFonts w:ascii="Arial" w:hAnsi="Arial" w:cs="Arial"/>
          <w:b/>
          <w:sz w:val="22"/>
          <w:szCs w:val="22"/>
        </w:rPr>
        <w:t>ben</w:t>
      </w:r>
      <w:r w:rsidR="002A5941" w:rsidRPr="001B68C0">
        <w:rPr>
          <w:rFonts w:ascii="Arial" w:hAnsi="Arial" w:cs="Arial"/>
          <w:b/>
          <w:sz w:val="22"/>
          <w:szCs w:val="22"/>
        </w:rPr>
        <w:t xml:space="preserve"> </w:t>
      </w:r>
      <w:r w:rsidR="004F360D" w:rsidRPr="001B68C0">
        <w:rPr>
          <w:rFonts w:ascii="Arial" w:hAnsi="Arial" w:cs="Arial"/>
          <w:b/>
          <w:sz w:val="22"/>
          <w:szCs w:val="22"/>
        </w:rPr>
        <w:t>eredeti előirányzatként</w:t>
      </w:r>
      <w:r w:rsidR="002A5941" w:rsidRPr="001B68C0">
        <w:rPr>
          <w:rFonts w:ascii="Arial" w:hAnsi="Arial" w:cs="Arial"/>
          <w:b/>
          <w:sz w:val="22"/>
          <w:szCs w:val="22"/>
        </w:rPr>
        <w:t xml:space="preserve"> </w:t>
      </w:r>
      <w:r w:rsidR="002A5941" w:rsidRPr="001B68C0">
        <w:rPr>
          <w:rFonts w:ascii="Arial" w:hAnsi="Arial" w:cs="Arial"/>
          <w:b/>
          <w:sz w:val="22"/>
          <w:szCs w:val="22"/>
        </w:rPr>
        <w:lastRenderedPageBreak/>
        <w:t>rendelkezésünkre</w:t>
      </w:r>
      <w:r w:rsidR="00FA40FD" w:rsidRPr="001B68C0">
        <w:rPr>
          <w:rFonts w:ascii="Arial" w:hAnsi="Arial" w:cs="Arial"/>
          <w:b/>
          <w:sz w:val="22"/>
          <w:szCs w:val="22"/>
        </w:rPr>
        <w:t xml:space="preserve"> bocsátott összegnél.</w:t>
      </w:r>
      <w:r w:rsidR="00FA40FD" w:rsidRPr="00883276">
        <w:rPr>
          <w:rFonts w:ascii="Arial" w:hAnsi="Arial" w:cs="Arial"/>
          <w:b/>
          <w:sz w:val="22"/>
          <w:szCs w:val="22"/>
        </w:rPr>
        <w:t xml:space="preserve"> </w:t>
      </w:r>
      <w:r w:rsidR="008419D2" w:rsidRPr="00883276">
        <w:rPr>
          <w:rFonts w:ascii="Arial" w:hAnsi="Arial" w:cs="Arial"/>
          <w:b/>
          <w:sz w:val="22"/>
          <w:szCs w:val="22"/>
        </w:rPr>
        <w:t>A</w:t>
      </w:r>
      <w:r w:rsidR="00C16621" w:rsidRPr="00883276">
        <w:rPr>
          <w:rFonts w:ascii="Arial" w:hAnsi="Arial" w:cs="Arial"/>
          <w:b/>
          <w:sz w:val="22"/>
          <w:szCs w:val="22"/>
        </w:rPr>
        <w:t xml:space="preserve"> bevételi </w:t>
      </w:r>
      <w:r w:rsidR="008419D2" w:rsidRPr="00883276">
        <w:rPr>
          <w:rFonts w:ascii="Arial" w:hAnsi="Arial" w:cs="Arial"/>
          <w:b/>
          <w:sz w:val="22"/>
          <w:szCs w:val="22"/>
        </w:rPr>
        <w:t xml:space="preserve">előirányzatok </w:t>
      </w:r>
      <w:r w:rsidR="001573E2" w:rsidRPr="00883276">
        <w:rPr>
          <w:rFonts w:ascii="Arial" w:hAnsi="Arial" w:cs="Arial"/>
          <w:b/>
          <w:sz w:val="22"/>
          <w:szCs w:val="22"/>
        </w:rPr>
        <w:t xml:space="preserve">ez évben már </w:t>
      </w:r>
      <w:r w:rsidR="008419D2" w:rsidRPr="00883276">
        <w:rPr>
          <w:rFonts w:ascii="Arial" w:hAnsi="Arial" w:cs="Arial"/>
          <w:b/>
          <w:sz w:val="22"/>
          <w:szCs w:val="22"/>
        </w:rPr>
        <w:t xml:space="preserve">tartalmazzák </w:t>
      </w:r>
      <w:r w:rsidR="001E4102" w:rsidRPr="00883276">
        <w:rPr>
          <w:rFonts w:ascii="Arial" w:hAnsi="Arial" w:cs="Arial"/>
          <w:b/>
          <w:sz w:val="22"/>
          <w:szCs w:val="22"/>
        </w:rPr>
        <w:t>a központi béremelkedések kötelező végrehajtásá</w:t>
      </w:r>
      <w:r w:rsidR="008419D2" w:rsidRPr="00883276">
        <w:rPr>
          <w:rFonts w:ascii="Arial" w:hAnsi="Arial" w:cs="Arial"/>
          <w:b/>
          <w:sz w:val="22"/>
          <w:szCs w:val="22"/>
        </w:rPr>
        <w:t>ból jelentkező kiadási többletek fedezetét, továbbá a pedagógu</w:t>
      </w:r>
      <w:r w:rsidR="00D533B0">
        <w:rPr>
          <w:rFonts w:ascii="Arial" w:hAnsi="Arial" w:cs="Arial"/>
          <w:b/>
          <w:sz w:val="22"/>
          <w:szCs w:val="22"/>
        </w:rPr>
        <w:t xml:space="preserve">s életpályamodell folytatásával </w:t>
      </w:r>
      <w:r w:rsidR="008419D2" w:rsidRPr="00883276">
        <w:rPr>
          <w:rFonts w:ascii="Arial" w:hAnsi="Arial" w:cs="Arial"/>
          <w:b/>
          <w:sz w:val="22"/>
          <w:szCs w:val="22"/>
        </w:rPr>
        <w:t>összefüggően emelkedő keresetek forrását</w:t>
      </w:r>
      <w:r w:rsidR="00C16621" w:rsidRPr="00883276">
        <w:rPr>
          <w:rFonts w:ascii="Arial" w:hAnsi="Arial" w:cs="Arial"/>
          <w:b/>
          <w:sz w:val="22"/>
          <w:szCs w:val="22"/>
        </w:rPr>
        <w:t xml:space="preserve"> is</w:t>
      </w:r>
      <w:r w:rsidR="008419D2" w:rsidRPr="00883276">
        <w:rPr>
          <w:rFonts w:ascii="Arial" w:hAnsi="Arial" w:cs="Arial"/>
          <w:b/>
          <w:sz w:val="22"/>
          <w:szCs w:val="22"/>
        </w:rPr>
        <w:t>.</w:t>
      </w:r>
      <w:r w:rsidR="008419D2">
        <w:rPr>
          <w:rFonts w:ascii="Arial" w:hAnsi="Arial" w:cs="Arial"/>
          <w:b/>
          <w:sz w:val="22"/>
          <w:szCs w:val="22"/>
        </w:rPr>
        <w:t xml:space="preserve"> </w:t>
      </w:r>
      <w:r w:rsidR="006631D4" w:rsidRPr="006631D4">
        <w:rPr>
          <w:rFonts w:ascii="Arial" w:hAnsi="Arial" w:cs="Arial"/>
          <w:b/>
          <w:sz w:val="22"/>
          <w:szCs w:val="22"/>
        </w:rPr>
        <w:t xml:space="preserve">Nem tartalmazza </w:t>
      </w:r>
      <w:r w:rsidR="006631D4">
        <w:rPr>
          <w:rFonts w:ascii="Arial" w:hAnsi="Arial" w:cs="Arial"/>
          <w:b/>
          <w:sz w:val="22"/>
          <w:szCs w:val="22"/>
        </w:rPr>
        <w:t xml:space="preserve">ugyanakkor az előirányzat a KÖH vonatkozásában </w:t>
      </w:r>
      <w:r w:rsidR="006631D4" w:rsidRPr="006631D4">
        <w:rPr>
          <w:rFonts w:ascii="Arial" w:hAnsi="Arial" w:cs="Arial"/>
          <w:b/>
          <w:sz w:val="22"/>
          <w:szCs w:val="22"/>
        </w:rPr>
        <w:t xml:space="preserve">az elfogadott központi költségvetésben már szerepeltetett normatív támogatásból adódó bevételi többletet, a kiegészítő állami támogatás összegét, valamint </w:t>
      </w:r>
      <w:r w:rsidR="006631D4">
        <w:rPr>
          <w:rFonts w:ascii="Arial" w:hAnsi="Arial" w:cs="Arial"/>
          <w:b/>
          <w:sz w:val="22"/>
          <w:szCs w:val="22"/>
        </w:rPr>
        <w:t xml:space="preserve">a </w:t>
      </w:r>
      <w:r w:rsidR="006631D4" w:rsidRPr="006631D4">
        <w:rPr>
          <w:rFonts w:ascii="Arial" w:hAnsi="Arial" w:cs="Arial"/>
          <w:b/>
          <w:sz w:val="22"/>
          <w:szCs w:val="22"/>
        </w:rPr>
        <w:t>Várdomb Község csatlakozása miatti forrásbővülést sem.</w:t>
      </w:r>
    </w:p>
    <w:p w14:paraId="39684DDA" w14:textId="77777777" w:rsidR="0015634A" w:rsidRDefault="0015634A" w:rsidP="00EC58FA">
      <w:pPr>
        <w:spacing w:line="240" w:lineRule="atLeast"/>
        <w:jc w:val="both"/>
        <w:rPr>
          <w:rFonts w:ascii="Arial" w:hAnsi="Arial" w:cs="Arial"/>
          <w:b/>
          <w:sz w:val="22"/>
          <w:szCs w:val="22"/>
        </w:rPr>
      </w:pPr>
    </w:p>
    <w:p w14:paraId="0501E350" w14:textId="61D391A0" w:rsidR="00BF3088" w:rsidRDefault="0015634A" w:rsidP="00EC58FA">
      <w:pPr>
        <w:spacing w:line="240" w:lineRule="atLeast"/>
        <w:jc w:val="both"/>
        <w:rPr>
          <w:rFonts w:ascii="Arial" w:hAnsi="Arial" w:cs="Arial"/>
          <w:b/>
          <w:sz w:val="22"/>
          <w:szCs w:val="22"/>
        </w:rPr>
      </w:pPr>
      <w:r w:rsidRPr="00E83EB3">
        <w:rPr>
          <w:rFonts w:ascii="Arial" w:hAnsi="Arial" w:cs="Arial"/>
          <w:b/>
          <w:sz w:val="22"/>
          <w:szCs w:val="22"/>
        </w:rPr>
        <w:t xml:space="preserve">A szolidaritási hozzájárulási kötelezettségünk </w:t>
      </w:r>
      <w:r w:rsidR="006631D4" w:rsidRPr="00E83EB3">
        <w:rPr>
          <w:rFonts w:ascii="Arial" w:hAnsi="Arial" w:cs="Arial"/>
          <w:b/>
          <w:sz w:val="22"/>
          <w:szCs w:val="22"/>
        </w:rPr>
        <w:t xml:space="preserve">tervezésénél az előző </w:t>
      </w:r>
      <w:r w:rsidR="006B2E39" w:rsidRPr="00E83EB3">
        <w:rPr>
          <w:rFonts w:ascii="Arial" w:hAnsi="Arial" w:cs="Arial"/>
          <w:b/>
          <w:sz w:val="22"/>
          <w:szCs w:val="22"/>
        </w:rPr>
        <w:t>év</w:t>
      </w:r>
      <w:r w:rsidR="006631D4" w:rsidRPr="00E83EB3">
        <w:rPr>
          <w:rFonts w:ascii="Arial" w:hAnsi="Arial" w:cs="Arial"/>
          <w:b/>
          <w:sz w:val="22"/>
          <w:szCs w:val="22"/>
        </w:rPr>
        <w:t xml:space="preserve"> tényszámával kalkuláltunk, ez összegszerűen </w:t>
      </w:r>
      <w:r w:rsidRPr="00E83EB3">
        <w:rPr>
          <w:rFonts w:ascii="Arial" w:hAnsi="Arial" w:cs="Arial"/>
          <w:b/>
          <w:sz w:val="22"/>
          <w:szCs w:val="22"/>
        </w:rPr>
        <w:t>40 628 908 Ft-</w:t>
      </w:r>
      <w:r w:rsidR="006631D4" w:rsidRPr="00E83EB3">
        <w:rPr>
          <w:rFonts w:ascii="Arial" w:hAnsi="Arial" w:cs="Arial"/>
          <w:b/>
          <w:sz w:val="22"/>
          <w:szCs w:val="22"/>
        </w:rPr>
        <w:t xml:space="preserve">ot jelent. </w:t>
      </w:r>
      <w:r w:rsidR="006B2E39">
        <w:rPr>
          <w:rFonts w:ascii="Arial" w:hAnsi="Arial" w:cs="Arial"/>
          <w:b/>
          <w:sz w:val="22"/>
          <w:szCs w:val="22"/>
        </w:rPr>
        <w:t xml:space="preserve">A konkrét fizetési kötelezettségről szóló rendelet az előterjesztés elkészítéséig még nem jelent meg. </w:t>
      </w:r>
      <w:r w:rsidR="006631D4">
        <w:rPr>
          <w:rFonts w:ascii="Arial" w:hAnsi="Arial" w:cs="Arial"/>
          <w:b/>
          <w:sz w:val="22"/>
          <w:szCs w:val="22"/>
        </w:rPr>
        <w:t xml:space="preserve">A kalkulációk szerint </w:t>
      </w:r>
      <w:r w:rsidR="006B2E39">
        <w:rPr>
          <w:rFonts w:ascii="Arial" w:hAnsi="Arial" w:cs="Arial"/>
          <w:b/>
          <w:sz w:val="22"/>
          <w:szCs w:val="22"/>
        </w:rPr>
        <w:t>ennél magasabb összegű teher jelentkezik ez évben, melyre pótlólagos fedezetet kell biztosítani a soron következő rendeletmódosítás keretében.</w:t>
      </w:r>
    </w:p>
    <w:p w14:paraId="32CAA039" w14:textId="77777777" w:rsidR="00DC28A7" w:rsidRPr="00164D06" w:rsidRDefault="00DC28A7" w:rsidP="00EC58FA">
      <w:pPr>
        <w:spacing w:line="240" w:lineRule="atLeast"/>
        <w:jc w:val="both"/>
        <w:rPr>
          <w:rFonts w:ascii="Arial" w:hAnsi="Arial" w:cs="Arial"/>
          <w:sz w:val="22"/>
          <w:szCs w:val="22"/>
        </w:rPr>
      </w:pPr>
    </w:p>
    <w:p w14:paraId="4AADE8F0" w14:textId="0686F35C" w:rsidR="00B752E5" w:rsidRDefault="00B752E5" w:rsidP="00B752E5">
      <w:pPr>
        <w:spacing w:line="240" w:lineRule="atLeast"/>
        <w:jc w:val="both"/>
        <w:rPr>
          <w:rFonts w:ascii="Arial" w:hAnsi="Arial" w:cs="Arial"/>
          <w:b/>
          <w:sz w:val="22"/>
          <w:szCs w:val="22"/>
        </w:rPr>
      </w:pPr>
      <w:r>
        <w:rPr>
          <w:rFonts w:ascii="Arial" w:hAnsi="Arial" w:cs="Arial"/>
          <w:b/>
          <w:sz w:val="22"/>
          <w:szCs w:val="22"/>
        </w:rPr>
        <w:t xml:space="preserve">Az előzőekben részletezettek alapján </w:t>
      </w:r>
      <w:r w:rsidR="00BF3088">
        <w:rPr>
          <w:rFonts w:ascii="Arial" w:hAnsi="Arial" w:cs="Arial"/>
          <w:b/>
          <w:sz w:val="22"/>
          <w:szCs w:val="22"/>
        </w:rPr>
        <w:t>Önkormányzatunk</w:t>
      </w:r>
      <w:r w:rsidR="001A22C8">
        <w:rPr>
          <w:rFonts w:ascii="Arial" w:hAnsi="Arial" w:cs="Arial"/>
          <w:b/>
          <w:sz w:val="22"/>
          <w:szCs w:val="22"/>
        </w:rPr>
        <w:t xml:space="preserve"> 202</w:t>
      </w:r>
      <w:r w:rsidR="006B2E39">
        <w:rPr>
          <w:rFonts w:ascii="Arial" w:hAnsi="Arial" w:cs="Arial"/>
          <w:b/>
          <w:sz w:val="22"/>
          <w:szCs w:val="22"/>
        </w:rPr>
        <w:t>5</w:t>
      </w:r>
      <w:r w:rsidR="001E4102">
        <w:rPr>
          <w:rFonts w:ascii="Arial" w:hAnsi="Arial" w:cs="Arial"/>
          <w:b/>
          <w:sz w:val="22"/>
          <w:szCs w:val="22"/>
        </w:rPr>
        <w:t>. évi költségvetési javaslat</w:t>
      </w:r>
      <w:r w:rsidR="00BF3088">
        <w:rPr>
          <w:rFonts w:ascii="Arial" w:hAnsi="Arial" w:cs="Arial"/>
          <w:b/>
          <w:sz w:val="22"/>
          <w:szCs w:val="22"/>
        </w:rPr>
        <w:t>a</w:t>
      </w:r>
      <w:r w:rsidR="001E4102">
        <w:rPr>
          <w:rFonts w:ascii="Arial" w:hAnsi="Arial" w:cs="Arial"/>
          <w:b/>
          <w:sz w:val="22"/>
          <w:szCs w:val="22"/>
        </w:rPr>
        <w:t xml:space="preserve"> a</w:t>
      </w:r>
      <w:r w:rsidR="00BF3088">
        <w:rPr>
          <w:rFonts w:ascii="Arial" w:hAnsi="Arial" w:cs="Arial"/>
          <w:b/>
          <w:sz w:val="22"/>
          <w:szCs w:val="22"/>
        </w:rPr>
        <w:t>z alábbi elvek, pr</w:t>
      </w:r>
      <w:r w:rsidR="006F4395">
        <w:rPr>
          <w:rFonts w:ascii="Arial" w:hAnsi="Arial" w:cs="Arial"/>
          <w:b/>
          <w:sz w:val="22"/>
          <w:szCs w:val="22"/>
        </w:rPr>
        <w:t xml:space="preserve">ioritások szerint </w:t>
      </w:r>
      <w:r w:rsidR="00BF3088">
        <w:rPr>
          <w:rFonts w:ascii="Arial" w:hAnsi="Arial" w:cs="Arial"/>
          <w:b/>
          <w:sz w:val="22"/>
          <w:szCs w:val="22"/>
        </w:rPr>
        <w:t>kerü</w:t>
      </w:r>
      <w:r>
        <w:rPr>
          <w:rFonts w:ascii="Arial" w:hAnsi="Arial" w:cs="Arial"/>
          <w:b/>
          <w:sz w:val="22"/>
          <w:szCs w:val="22"/>
        </w:rPr>
        <w:t>lt összeállításra:</w:t>
      </w:r>
    </w:p>
    <w:p w14:paraId="0CCE19B4" w14:textId="77777777" w:rsidR="00B752E5" w:rsidRPr="00B752E5" w:rsidRDefault="00B752E5" w:rsidP="00B752E5">
      <w:pPr>
        <w:spacing w:line="240" w:lineRule="atLeast"/>
        <w:jc w:val="both"/>
        <w:rPr>
          <w:rFonts w:ascii="Arial" w:hAnsi="Arial" w:cs="Arial"/>
          <w:b/>
          <w:sz w:val="22"/>
          <w:szCs w:val="22"/>
        </w:rPr>
      </w:pPr>
    </w:p>
    <w:p w14:paraId="57AEEBAE" w14:textId="7E6086F9" w:rsidR="001F03F5" w:rsidRPr="004D1CCA" w:rsidRDefault="007710FF" w:rsidP="001F03F5">
      <w:pPr>
        <w:pStyle w:val="Listaszerbekezds"/>
        <w:numPr>
          <w:ilvl w:val="0"/>
          <w:numId w:val="20"/>
        </w:numPr>
        <w:spacing w:line="240" w:lineRule="atLeast"/>
        <w:jc w:val="both"/>
        <w:rPr>
          <w:rFonts w:ascii="Arial" w:hAnsi="Arial" w:cs="Arial"/>
          <w:b/>
          <w:sz w:val="22"/>
          <w:szCs w:val="22"/>
        </w:rPr>
      </w:pPr>
      <w:r w:rsidRPr="004D1CCA">
        <w:rPr>
          <w:rFonts w:ascii="Arial" w:hAnsi="Arial" w:cs="Arial"/>
          <w:b/>
          <w:sz w:val="22"/>
          <w:szCs w:val="22"/>
        </w:rPr>
        <w:t xml:space="preserve">A nem pedagógus munkakörben foglalkoztatott munkavállalók </w:t>
      </w:r>
      <w:r w:rsidR="009726E3" w:rsidRPr="004D1CCA">
        <w:rPr>
          <w:rFonts w:ascii="Arial" w:hAnsi="Arial" w:cs="Arial"/>
          <w:b/>
          <w:sz w:val="22"/>
          <w:szCs w:val="22"/>
        </w:rPr>
        <w:t>vonatkozásában a reálkeresetek csökkenését enyhítő béremelés megvalósítása</w:t>
      </w:r>
    </w:p>
    <w:p w14:paraId="077E39C2" w14:textId="78DDB654" w:rsidR="007710FF" w:rsidRPr="004D1CCA" w:rsidRDefault="00B752E5" w:rsidP="001F03F5">
      <w:pPr>
        <w:pStyle w:val="Listaszerbekezds"/>
        <w:numPr>
          <w:ilvl w:val="0"/>
          <w:numId w:val="20"/>
        </w:numPr>
        <w:spacing w:line="240" w:lineRule="atLeast"/>
        <w:jc w:val="both"/>
        <w:rPr>
          <w:rFonts w:ascii="Arial" w:hAnsi="Arial" w:cs="Arial"/>
          <w:b/>
          <w:sz w:val="22"/>
          <w:szCs w:val="22"/>
        </w:rPr>
      </w:pPr>
      <w:r w:rsidRPr="004D1CCA">
        <w:rPr>
          <w:rFonts w:ascii="Arial" w:hAnsi="Arial" w:cs="Arial"/>
          <w:b/>
          <w:sz w:val="22"/>
          <w:szCs w:val="22"/>
        </w:rPr>
        <w:t xml:space="preserve">A kötelező feladatok ellátásához szükséges </w:t>
      </w:r>
      <w:r w:rsidR="0043390E" w:rsidRPr="004D1CCA">
        <w:rPr>
          <w:rFonts w:ascii="Arial" w:hAnsi="Arial" w:cs="Arial"/>
          <w:b/>
          <w:sz w:val="22"/>
          <w:szCs w:val="22"/>
        </w:rPr>
        <w:t xml:space="preserve">működési </w:t>
      </w:r>
      <w:r w:rsidRPr="004D1CCA">
        <w:rPr>
          <w:rFonts w:ascii="Arial" w:hAnsi="Arial" w:cs="Arial"/>
          <w:b/>
          <w:sz w:val="22"/>
          <w:szCs w:val="22"/>
        </w:rPr>
        <w:t xml:space="preserve">fedezet biztosítása </w:t>
      </w:r>
    </w:p>
    <w:p w14:paraId="3BD31763" w14:textId="283D7A5E" w:rsidR="00B36FEE" w:rsidRPr="004D1CCA" w:rsidRDefault="001F03F5" w:rsidP="0074084C">
      <w:pPr>
        <w:pStyle w:val="Listaszerbekezds"/>
        <w:numPr>
          <w:ilvl w:val="0"/>
          <w:numId w:val="20"/>
        </w:numPr>
        <w:spacing w:line="240" w:lineRule="atLeast"/>
        <w:jc w:val="both"/>
        <w:rPr>
          <w:rFonts w:ascii="Arial" w:hAnsi="Arial" w:cs="Arial"/>
          <w:b/>
          <w:sz w:val="22"/>
          <w:szCs w:val="22"/>
        </w:rPr>
      </w:pPr>
      <w:r w:rsidRPr="004D1CCA">
        <w:rPr>
          <w:rFonts w:ascii="Arial" w:hAnsi="Arial" w:cs="Arial"/>
          <w:b/>
          <w:sz w:val="22"/>
          <w:szCs w:val="22"/>
        </w:rPr>
        <w:t xml:space="preserve">A dologi kiadások tervezésénél az előző évi tényadatok figyelembevételével átlagosan </w:t>
      </w:r>
      <w:r w:rsidR="006B2E39">
        <w:rPr>
          <w:rFonts w:ascii="Arial" w:hAnsi="Arial" w:cs="Arial"/>
          <w:b/>
          <w:sz w:val="22"/>
          <w:szCs w:val="22"/>
        </w:rPr>
        <w:t>6</w:t>
      </w:r>
      <w:r w:rsidRPr="004D1CCA">
        <w:rPr>
          <w:rFonts w:ascii="Arial" w:hAnsi="Arial" w:cs="Arial"/>
          <w:b/>
          <w:sz w:val="22"/>
          <w:szCs w:val="22"/>
        </w:rPr>
        <w:t>% mértékű</w:t>
      </w:r>
      <w:r w:rsidR="006B2E39">
        <w:rPr>
          <w:rFonts w:ascii="Arial" w:hAnsi="Arial" w:cs="Arial"/>
          <w:b/>
          <w:sz w:val="22"/>
          <w:szCs w:val="22"/>
        </w:rPr>
        <w:t>, illetve a szolgáltatók által jelzett</w:t>
      </w:r>
      <w:r w:rsidRPr="004D1CCA">
        <w:rPr>
          <w:rFonts w:ascii="Arial" w:hAnsi="Arial" w:cs="Arial"/>
          <w:b/>
          <w:sz w:val="22"/>
          <w:szCs w:val="22"/>
        </w:rPr>
        <w:t xml:space="preserve"> emelkedéssel kalkulált előirányzat biztosítása, az energiaköltségek vonatkozásában a becsült fogyasztás alapján az ismert, járulékos költségekkel növelt árakkal történő kalkuláció.</w:t>
      </w:r>
    </w:p>
    <w:p w14:paraId="2C350290" w14:textId="3053EB74" w:rsidR="005728EF" w:rsidRPr="004D1CCA" w:rsidRDefault="00C434B2" w:rsidP="00C434B2">
      <w:pPr>
        <w:pStyle w:val="Listaszerbekezds"/>
        <w:numPr>
          <w:ilvl w:val="0"/>
          <w:numId w:val="20"/>
        </w:numPr>
        <w:spacing w:line="240" w:lineRule="atLeast"/>
        <w:jc w:val="both"/>
        <w:rPr>
          <w:rFonts w:ascii="Arial" w:hAnsi="Arial" w:cs="Arial"/>
          <w:b/>
          <w:sz w:val="22"/>
          <w:szCs w:val="22"/>
        </w:rPr>
      </w:pPr>
      <w:r w:rsidRPr="004D1CCA">
        <w:rPr>
          <w:rFonts w:ascii="Arial" w:hAnsi="Arial" w:cs="Arial"/>
          <w:b/>
          <w:sz w:val="22"/>
          <w:szCs w:val="22"/>
        </w:rPr>
        <w:t>Szociális</w:t>
      </w:r>
      <w:r w:rsidR="001F03F5" w:rsidRPr="004D1CCA">
        <w:rPr>
          <w:rFonts w:ascii="Arial" w:hAnsi="Arial" w:cs="Arial"/>
          <w:b/>
          <w:sz w:val="22"/>
          <w:szCs w:val="22"/>
        </w:rPr>
        <w:t>, gyermekvédelmi, tanulmányi</w:t>
      </w:r>
      <w:r w:rsidRPr="004D1CCA">
        <w:rPr>
          <w:rFonts w:ascii="Arial" w:hAnsi="Arial" w:cs="Arial"/>
          <w:b/>
          <w:sz w:val="22"/>
          <w:szCs w:val="22"/>
        </w:rPr>
        <w:t xml:space="preserve"> támogatások</w:t>
      </w:r>
      <w:r w:rsidR="00C16621">
        <w:rPr>
          <w:rFonts w:ascii="Arial" w:hAnsi="Arial" w:cs="Arial"/>
          <w:b/>
          <w:sz w:val="22"/>
          <w:szCs w:val="22"/>
        </w:rPr>
        <w:t>nak</w:t>
      </w:r>
      <w:r w:rsidRPr="004D1CCA">
        <w:rPr>
          <w:rFonts w:ascii="Arial" w:hAnsi="Arial" w:cs="Arial"/>
          <w:b/>
          <w:sz w:val="22"/>
          <w:szCs w:val="22"/>
        </w:rPr>
        <w:t>, ösztöndíj támogatások</w:t>
      </w:r>
      <w:r w:rsidR="00C16621">
        <w:rPr>
          <w:rFonts w:ascii="Arial" w:hAnsi="Arial" w:cs="Arial"/>
          <w:b/>
          <w:sz w:val="22"/>
          <w:szCs w:val="22"/>
        </w:rPr>
        <w:t>nak</w:t>
      </w:r>
      <w:r w:rsidRPr="004D1CCA">
        <w:rPr>
          <w:rFonts w:ascii="Arial" w:hAnsi="Arial" w:cs="Arial"/>
          <w:b/>
          <w:sz w:val="22"/>
          <w:szCs w:val="22"/>
        </w:rPr>
        <w:t xml:space="preserve"> az előző évi tényszámok</w:t>
      </w:r>
      <w:r w:rsidR="001F03F5" w:rsidRPr="004D1CCA">
        <w:rPr>
          <w:rFonts w:ascii="Arial" w:hAnsi="Arial" w:cs="Arial"/>
          <w:b/>
          <w:sz w:val="22"/>
          <w:szCs w:val="22"/>
        </w:rPr>
        <w:t>at meg</w:t>
      </w:r>
      <w:r w:rsidR="006B2E39">
        <w:rPr>
          <w:rFonts w:ascii="Arial" w:hAnsi="Arial" w:cs="Arial"/>
          <w:b/>
          <w:sz w:val="22"/>
          <w:szCs w:val="22"/>
        </w:rPr>
        <w:t>tartó</w:t>
      </w:r>
      <w:r w:rsidR="001F03F5" w:rsidRPr="004D1CCA">
        <w:rPr>
          <w:rFonts w:ascii="Arial" w:hAnsi="Arial" w:cs="Arial"/>
          <w:b/>
          <w:sz w:val="22"/>
          <w:szCs w:val="22"/>
        </w:rPr>
        <w:t xml:space="preserve"> mértékű biztosítása a lehetőségek szintjén</w:t>
      </w:r>
      <w:r w:rsidR="00C16621">
        <w:rPr>
          <w:rFonts w:ascii="Arial" w:hAnsi="Arial" w:cs="Arial"/>
          <w:b/>
          <w:sz w:val="22"/>
          <w:szCs w:val="22"/>
        </w:rPr>
        <w:t>.</w:t>
      </w:r>
    </w:p>
    <w:p w14:paraId="08B020BD" w14:textId="6E0F85F9" w:rsidR="00AE7B18" w:rsidRPr="004D1CCA" w:rsidRDefault="00AE7B18" w:rsidP="00AE7B18">
      <w:pPr>
        <w:pStyle w:val="Listaszerbekezds"/>
        <w:numPr>
          <w:ilvl w:val="0"/>
          <w:numId w:val="20"/>
        </w:numPr>
        <w:spacing w:line="240" w:lineRule="atLeast"/>
        <w:jc w:val="both"/>
        <w:rPr>
          <w:rFonts w:ascii="Arial" w:hAnsi="Arial" w:cs="Arial"/>
          <w:b/>
          <w:sz w:val="22"/>
          <w:szCs w:val="22"/>
        </w:rPr>
      </w:pPr>
      <w:r w:rsidRPr="004D1CCA">
        <w:rPr>
          <w:rFonts w:ascii="Arial" w:hAnsi="Arial" w:cs="Arial"/>
          <w:b/>
          <w:sz w:val="22"/>
          <w:szCs w:val="22"/>
        </w:rPr>
        <w:t xml:space="preserve">A dologi kiadások között a városüzemeltetési </w:t>
      </w:r>
      <w:r w:rsidR="00AD3A9A" w:rsidRPr="004D1CCA">
        <w:rPr>
          <w:rFonts w:ascii="Arial" w:hAnsi="Arial" w:cs="Arial"/>
          <w:b/>
          <w:sz w:val="22"/>
          <w:szCs w:val="22"/>
        </w:rPr>
        <w:t>feladatokhoz kapcsolódóan a folyamatos üzemeléshez, az alap feladatokhoz szükséges forrás</w:t>
      </w:r>
      <w:r w:rsidR="0015634A">
        <w:rPr>
          <w:rFonts w:ascii="Arial" w:hAnsi="Arial" w:cs="Arial"/>
          <w:b/>
          <w:sz w:val="22"/>
          <w:szCs w:val="22"/>
        </w:rPr>
        <w:t>ok</w:t>
      </w:r>
      <w:r w:rsidR="00AD3A9A" w:rsidRPr="004D1CCA">
        <w:rPr>
          <w:rFonts w:ascii="Arial" w:hAnsi="Arial" w:cs="Arial"/>
          <w:b/>
          <w:sz w:val="22"/>
          <w:szCs w:val="22"/>
        </w:rPr>
        <w:t xml:space="preserve"> biztosítás</w:t>
      </w:r>
      <w:r w:rsidR="0015634A">
        <w:rPr>
          <w:rFonts w:ascii="Arial" w:hAnsi="Arial" w:cs="Arial"/>
          <w:b/>
          <w:sz w:val="22"/>
          <w:szCs w:val="22"/>
        </w:rPr>
        <w:t>.</w:t>
      </w:r>
      <w:r w:rsidR="00AD3A9A" w:rsidRPr="004D1CCA">
        <w:rPr>
          <w:rFonts w:ascii="Arial" w:hAnsi="Arial" w:cs="Arial"/>
          <w:b/>
          <w:sz w:val="22"/>
          <w:szCs w:val="22"/>
        </w:rPr>
        <w:t xml:space="preserve"> </w:t>
      </w:r>
    </w:p>
    <w:p w14:paraId="48A6EB52" w14:textId="1F8237F5" w:rsidR="005728EF" w:rsidRPr="004D1CCA" w:rsidRDefault="00AE7B18" w:rsidP="006F4395">
      <w:pPr>
        <w:pStyle w:val="Listaszerbekezds"/>
        <w:numPr>
          <w:ilvl w:val="0"/>
          <w:numId w:val="20"/>
        </w:numPr>
        <w:spacing w:line="240" w:lineRule="atLeast"/>
        <w:jc w:val="both"/>
        <w:rPr>
          <w:rFonts w:ascii="Arial" w:hAnsi="Arial" w:cs="Arial"/>
          <w:b/>
          <w:sz w:val="22"/>
          <w:szCs w:val="22"/>
        </w:rPr>
      </w:pPr>
      <w:r w:rsidRPr="004D1CCA">
        <w:rPr>
          <w:rFonts w:ascii="Arial" w:hAnsi="Arial" w:cs="Arial"/>
          <w:b/>
          <w:sz w:val="22"/>
          <w:szCs w:val="22"/>
        </w:rPr>
        <w:t>A 202</w:t>
      </w:r>
      <w:r w:rsidR="006B2E39">
        <w:rPr>
          <w:rFonts w:ascii="Arial" w:hAnsi="Arial" w:cs="Arial"/>
          <w:b/>
          <w:sz w:val="22"/>
          <w:szCs w:val="22"/>
        </w:rPr>
        <w:t>4</w:t>
      </w:r>
      <w:r w:rsidRPr="004D1CCA">
        <w:rPr>
          <w:rFonts w:ascii="Arial" w:hAnsi="Arial" w:cs="Arial"/>
          <w:b/>
          <w:sz w:val="22"/>
          <w:szCs w:val="22"/>
        </w:rPr>
        <w:t>. évben már vállalt, a 202</w:t>
      </w:r>
      <w:r w:rsidR="006B2E39">
        <w:rPr>
          <w:rFonts w:ascii="Arial" w:hAnsi="Arial" w:cs="Arial"/>
          <w:b/>
          <w:sz w:val="22"/>
          <w:szCs w:val="22"/>
        </w:rPr>
        <w:t>5</w:t>
      </w:r>
      <w:r w:rsidRPr="004D1CCA">
        <w:rPr>
          <w:rFonts w:ascii="Arial" w:hAnsi="Arial" w:cs="Arial"/>
          <w:b/>
          <w:sz w:val="22"/>
          <w:szCs w:val="22"/>
        </w:rPr>
        <w:t>. évre áthúzódó</w:t>
      </w:r>
      <w:r w:rsidR="006B2E39">
        <w:rPr>
          <w:rFonts w:ascii="Arial" w:hAnsi="Arial" w:cs="Arial"/>
          <w:b/>
          <w:sz w:val="22"/>
          <w:szCs w:val="22"/>
        </w:rPr>
        <w:t>, nem halasztható</w:t>
      </w:r>
      <w:r w:rsidRPr="004D1CCA">
        <w:rPr>
          <w:rFonts w:ascii="Arial" w:hAnsi="Arial" w:cs="Arial"/>
          <w:b/>
          <w:sz w:val="22"/>
          <w:szCs w:val="22"/>
        </w:rPr>
        <w:t xml:space="preserve"> kötelezettségek</w:t>
      </w:r>
      <w:r w:rsidR="00D35330">
        <w:rPr>
          <w:rFonts w:ascii="Arial" w:hAnsi="Arial" w:cs="Arial"/>
          <w:b/>
          <w:sz w:val="22"/>
          <w:szCs w:val="22"/>
        </w:rPr>
        <w:t xml:space="preserve"> </w:t>
      </w:r>
      <w:r w:rsidRPr="004D1CCA">
        <w:rPr>
          <w:rFonts w:ascii="Arial" w:hAnsi="Arial" w:cs="Arial"/>
          <w:b/>
          <w:sz w:val="22"/>
          <w:szCs w:val="22"/>
        </w:rPr>
        <w:t>fedezetének b</w:t>
      </w:r>
      <w:r w:rsidR="006F4395" w:rsidRPr="004D1CCA">
        <w:rPr>
          <w:rFonts w:ascii="Arial" w:hAnsi="Arial" w:cs="Arial"/>
          <w:b/>
          <w:sz w:val="22"/>
          <w:szCs w:val="22"/>
        </w:rPr>
        <w:t xml:space="preserve">iztosítása, beleértve a </w:t>
      </w:r>
      <w:r w:rsidR="00016E4C" w:rsidRPr="004D1CCA">
        <w:rPr>
          <w:rFonts w:ascii="Arial" w:hAnsi="Arial" w:cs="Arial"/>
          <w:b/>
          <w:sz w:val="22"/>
          <w:szCs w:val="22"/>
        </w:rPr>
        <w:t>folyamatban lévő</w:t>
      </w:r>
      <w:r w:rsidRPr="004D1CCA">
        <w:rPr>
          <w:rFonts w:ascii="Arial" w:hAnsi="Arial" w:cs="Arial"/>
          <w:b/>
          <w:sz w:val="22"/>
          <w:szCs w:val="22"/>
        </w:rPr>
        <w:t xml:space="preserve"> b</w:t>
      </w:r>
      <w:r w:rsidR="006F4395" w:rsidRPr="004D1CCA">
        <w:rPr>
          <w:rFonts w:ascii="Arial" w:hAnsi="Arial" w:cs="Arial"/>
          <w:b/>
          <w:sz w:val="22"/>
          <w:szCs w:val="22"/>
        </w:rPr>
        <w:t>eruházásokra</w:t>
      </w:r>
      <w:r w:rsidR="00ED37F8" w:rsidRPr="004D1CCA">
        <w:rPr>
          <w:rFonts w:ascii="Arial" w:hAnsi="Arial" w:cs="Arial"/>
          <w:b/>
          <w:sz w:val="22"/>
          <w:szCs w:val="22"/>
        </w:rPr>
        <w:t xml:space="preserve"> történő fedezet megteremtését is.</w:t>
      </w:r>
    </w:p>
    <w:p w14:paraId="74E9D89A" w14:textId="7C4E5D6D" w:rsidR="006F4395" w:rsidRPr="004D1CCA" w:rsidRDefault="0074084C" w:rsidP="006F4395">
      <w:pPr>
        <w:pStyle w:val="Listaszerbekezds"/>
        <w:numPr>
          <w:ilvl w:val="0"/>
          <w:numId w:val="20"/>
        </w:numPr>
        <w:spacing w:line="240" w:lineRule="atLeast"/>
        <w:jc w:val="both"/>
        <w:rPr>
          <w:rFonts w:ascii="Arial" w:hAnsi="Arial" w:cs="Arial"/>
          <w:b/>
          <w:sz w:val="22"/>
          <w:szCs w:val="22"/>
        </w:rPr>
      </w:pPr>
      <w:r w:rsidRPr="004D1CCA">
        <w:rPr>
          <w:rFonts w:ascii="Arial" w:hAnsi="Arial" w:cs="Arial"/>
          <w:b/>
          <w:sz w:val="22"/>
          <w:szCs w:val="22"/>
        </w:rPr>
        <w:t>A</w:t>
      </w:r>
      <w:r w:rsidR="00284D7D" w:rsidRPr="004D1CCA">
        <w:rPr>
          <w:rFonts w:ascii="Arial" w:hAnsi="Arial" w:cs="Arial"/>
          <w:b/>
          <w:sz w:val="22"/>
          <w:szCs w:val="22"/>
        </w:rPr>
        <w:t>z előző évek gyakorlatának megfelelően forrásbiztosítás kisebb, a lakosságot érintő beruházásra, felújításra.</w:t>
      </w:r>
    </w:p>
    <w:p w14:paraId="57B17C49" w14:textId="36A7169D" w:rsidR="00BD6FE2" w:rsidRPr="00DF4DCD" w:rsidRDefault="00284D7D" w:rsidP="00B73866">
      <w:pPr>
        <w:pStyle w:val="Listaszerbekezds"/>
        <w:numPr>
          <w:ilvl w:val="0"/>
          <w:numId w:val="20"/>
        </w:numPr>
        <w:spacing w:line="240" w:lineRule="atLeast"/>
        <w:jc w:val="both"/>
        <w:rPr>
          <w:rFonts w:ascii="Arial" w:hAnsi="Arial" w:cs="Arial"/>
          <w:b/>
          <w:sz w:val="22"/>
          <w:szCs w:val="22"/>
        </w:rPr>
      </w:pPr>
      <w:r w:rsidRPr="004D1CCA">
        <w:rPr>
          <w:rFonts w:ascii="Arial" w:hAnsi="Arial" w:cs="Arial"/>
          <w:b/>
          <w:sz w:val="22"/>
          <w:szCs w:val="22"/>
        </w:rPr>
        <w:t>A kiemelt szervezetek, valamint a civil szervezet</w:t>
      </w:r>
      <w:r w:rsidR="00BD6FE2" w:rsidRPr="004D1CCA">
        <w:rPr>
          <w:rFonts w:ascii="Arial" w:hAnsi="Arial" w:cs="Arial"/>
          <w:b/>
          <w:sz w:val="22"/>
          <w:szCs w:val="22"/>
        </w:rPr>
        <w:t>ek</w:t>
      </w:r>
      <w:r w:rsidR="00B73866">
        <w:rPr>
          <w:rFonts w:ascii="Arial" w:hAnsi="Arial" w:cs="Arial"/>
          <w:b/>
          <w:sz w:val="22"/>
          <w:szCs w:val="22"/>
        </w:rPr>
        <w:t xml:space="preserve">, nemzetiségi önkormányzatok </w:t>
      </w:r>
      <w:r w:rsidR="00ED5BCB" w:rsidRPr="00DF4DCD">
        <w:rPr>
          <w:rFonts w:ascii="Arial" w:hAnsi="Arial" w:cs="Arial"/>
          <w:b/>
          <w:sz w:val="22"/>
          <w:szCs w:val="22"/>
        </w:rPr>
        <w:t>támogatására</w:t>
      </w:r>
      <w:r w:rsidR="00BD6FE2" w:rsidRPr="00DF4DCD">
        <w:rPr>
          <w:rFonts w:ascii="Arial" w:hAnsi="Arial" w:cs="Arial"/>
          <w:b/>
          <w:sz w:val="22"/>
          <w:szCs w:val="22"/>
        </w:rPr>
        <w:t xml:space="preserve"> fedezet bizto</w:t>
      </w:r>
      <w:r w:rsidR="004D1CCA" w:rsidRPr="00DF4DCD">
        <w:rPr>
          <w:rFonts w:ascii="Arial" w:hAnsi="Arial" w:cs="Arial"/>
          <w:b/>
          <w:sz w:val="22"/>
          <w:szCs w:val="22"/>
        </w:rPr>
        <w:t>sí</w:t>
      </w:r>
      <w:r w:rsidR="00BD6FE2" w:rsidRPr="00DF4DCD">
        <w:rPr>
          <w:rFonts w:ascii="Arial" w:hAnsi="Arial" w:cs="Arial"/>
          <w:b/>
          <w:sz w:val="22"/>
          <w:szCs w:val="22"/>
        </w:rPr>
        <w:t>tása</w:t>
      </w:r>
      <w:r w:rsidR="00C16621" w:rsidRPr="00DF4DCD">
        <w:rPr>
          <w:rFonts w:ascii="Arial" w:hAnsi="Arial" w:cs="Arial"/>
          <w:b/>
          <w:sz w:val="22"/>
          <w:szCs w:val="22"/>
        </w:rPr>
        <w:t>.</w:t>
      </w:r>
    </w:p>
    <w:p w14:paraId="48797E02" w14:textId="76687B4C" w:rsidR="00A60683" w:rsidRDefault="00B36FEE" w:rsidP="00B752E5">
      <w:pPr>
        <w:pStyle w:val="Listaszerbekezds"/>
        <w:numPr>
          <w:ilvl w:val="0"/>
          <w:numId w:val="20"/>
        </w:numPr>
        <w:spacing w:line="240" w:lineRule="atLeast"/>
        <w:jc w:val="both"/>
        <w:rPr>
          <w:rFonts w:ascii="Arial" w:hAnsi="Arial" w:cs="Arial"/>
          <w:b/>
          <w:sz w:val="22"/>
          <w:szCs w:val="22"/>
        </w:rPr>
      </w:pPr>
      <w:r w:rsidRPr="004D1CCA">
        <w:rPr>
          <w:rFonts w:ascii="Arial" w:hAnsi="Arial" w:cs="Arial"/>
          <w:b/>
          <w:sz w:val="22"/>
          <w:szCs w:val="22"/>
        </w:rPr>
        <w:t>A költségvetési egyensúly megteremtése</w:t>
      </w:r>
      <w:r w:rsidR="00A60683" w:rsidRPr="004D1CCA">
        <w:rPr>
          <w:rFonts w:ascii="Arial" w:hAnsi="Arial" w:cs="Arial"/>
          <w:b/>
          <w:sz w:val="22"/>
          <w:szCs w:val="22"/>
        </w:rPr>
        <w:t xml:space="preserve"> </w:t>
      </w:r>
      <w:r w:rsidR="00312FC9">
        <w:rPr>
          <w:rFonts w:ascii="Arial" w:hAnsi="Arial" w:cs="Arial"/>
          <w:b/>
          <w:sz w:val="22"/>
          <w:szCs w:val="22"/>
        </w:rPr>
        <w:t>saját bevételekből (</w:t>
      </w:r>
      <w:r w:rsidR="00A60683" w:rsidRPr="004D1CCA">
        <w:rPr>
          <w:rFonts w:ascii="Arial" w:hAnsi="Arial" w:cs="Arial"/>
          <w:b/>
          <w:sz w:val="22"/>
          <w:szCs w:val="22"/>
        </w:rPr>
        <w:t>ingatlan-értékesítés és közhatalmi bevétele</w:t>
      </w:r>
      <w:r w:rsidR="00312FC9">
        <w:rPr>
          <w:rFonts w:ascii="Arial" w:hAnsi="Arial" w:cs="Arial"/>
          <w:b/>
          <w:sz w:val="22"/>
          <w:szCs w:val="22"/>
        </w:rPr>
        <w:t xml:space="preserve">k) </w:t>
      </w:r>
      <w:r w:rsidR="00A60683" w:rsidRPr="004D1CCA">
        <w:rPr>
          <w:rFonts w:ascii="Arial" w:hAnsi="Arial" w:cs="Arial"/>
          <w:b/>
          <w:sz w:val="22"/>
          <w:szCs w:val="22"/>
        </w:rPr>
        <w:t>származó forrással</w:t>
      </w:r>
      <w:r w:rsidR="00BD6FE2" w:rsidRPr="004D1CCA">
        <w:rPr>
          <w:rFonts w:ascii="Arial" w:hAnsi="Arial" w:cs="Arial"/>
          <w:b/>
          <w:sz w:val="22"/>
          <w:szCs w:val="22"/>
        </w:rPr>
        <w:t>.</w:t>
      </w:r>
    </w:p>
    <w:p w14:paraId="3B5BF245" w14:textId="54F118B5" w:rsidR="006B2E39" w:rsidRPr="002F6505" w:rsidRDefault="006B2E39" w:rsidP="002F6505">
      <w:pPr>
        <w:pStyle w:val="Listaszerbekezds"/>
        <w:numPr>
          <w:ilvl w:val="0"/>
          <w:numId w:val="20"/>
        </w:numPr>
        <w:spacing w:line="240" w:lineRule="atLeast"/>
        <w:jc w:val="both"/>
        <w:rPr>
          <w:rFonts w:ascii="Arial" w:hAnsi="Arial" w:cs="Arial"/>
          <w:b/>
          <w:sz w:val="22"/>
          <w:szCs w:val="22"/>
        </w:rPr>
      </w:pPr>
      <w:r>
        <w:rPr>
          <w:rFonts w:ascii="Arial" w:hAnsi="Arial" w:cs="Arial"/>
          <w:b/>
          <w:sz w:val="22"/>
          <w:szCs w:val="22"/>
        </w:rPr>
        <w:t>Az önként vállalt feladatok</w:t>
      </w:r>
      <w:r w:rsidR="002F6505">
        <w:rPr>
          <w:rFonts w:ascii="Arial" w:hAnsi="Arial" w:cs="Arial"/>
          <w:b/>
          <w:sz w:val="22"/>
          <w:szCs w:val="22"/>
        </w:rPr>
        <w:t>nak a</w:t>
      </w:r>
      <w:r>
        <w:rPr>
          <w:rFonts w:ascii="Arial" w:hAnsi="Arial" w:cs="Arial"/>
          <w:b/>
          <w:sz w:val="22"/>
          <w:szCs w:val="22"/>
        </w:rPr>
        <w:t xml:space="preserve"> pénzügyi lehetőségekhez igazodó </w:t>
      </w:r>
      <w:r w:rsidR="002F6505">
        <w:rPr>
          <w:rFonts w:ascii="Arial" w:hAnsi="Arial" w:cs="Arial"/>
          <w:b/>
          <w:sz w:val="22"/>
          <w:szCs w:val="22"/>
        </w:rPr>
        <w:t>fenntartása, végrehajtása</w:t>
      </w:r>
      <w:r>
        <w:rPr>
          <w:rFonts w:ascii="Arial" w:hAnsi="Arial" w:cs="Arial"/>
          <w:b/>
          <w:sz w:val="22"/>
          <w:szCs w:val="22"/>
        </w:rPr>
        <w:t>,</w:t>
      </w:r>
      <w:r w:rsidR="002F6505">
        <w:rPr>
          <w:rFonts w:ascii="Arial" w:hAnsi="Arial" w:cs="Arial"/>
          <w:b/>
          <w:sz w:val="22"/>
          <w:szCs w:val="22"/>
        </w:rPr>
        <w:t xml:space="preserve"> a</w:t>
      </w:r>
      <w:r w:rsidRPr="002F6505">
        <w:rPr>
          <w:rFonts w:ascii="Arial" w:hAnsi="Arial" w:cs="Arial"/>
          <w:b/>
          <w:sz w:val="22"/>
          <w:szCs w:val="22"/>
        </w:rPr>
        <w:t xml:space="preserve"> rendkívül feszített költségvetési keretekre tekintettel az ütemezhető önként vállalt feladatokkal összefüggő kiadások esetén a II. félévi kötelezettségvállalások korlátozása</w:t>
      </w:r>
      <w:r w:rsidR="00DE4CD0">
        <w:rPr>
          <w:rFonts w:ascii="Arial" w:hAnsi="Arial" w:cs="Arial"/>
          <w:b/>
          <w:sz w:val="22"/>
          <w:szCs w:val="22"/>
        </w:rPr>
        <w:t xml:space="preserve"> a bevételek realizálódásához kötötten. </w:t>
      </w:r>
    </w:p>
    <w:p w14:paraId="77E3E55F" w14:textId="77777777" w:rsidR="00A60683" w:rsidRDefault="00A60683" w:rsidP="00A60683">
      <w:pPr>
        <w:spacing w:line="240" w:lineRule="atLeast"/>
        <w:jc w:val="both"/>
        <w:rPr>
          <w:rFonts w:ascii="Arial" w:hAnsi="Arial" w:cs="Arial"/>
          <w:b/>
          <w:sz w:val="22"/>
          <w:szCs w:val="22"/>
        </w:rPr>
      </w:pPr>
    </w:p>
    <w:p w14:paraId="7CE354C2" w14:textId="3948675E" w:rsidR="005728EF" w:rsidRDefault="005728EF" w:rsidP="005728EF">
      <w:pPr>
        <w:spacing w:line="240" w:lineRule="atLeast"/>
        <w:jc w:val="both"/>
        <w:rPr>
          <w:rFonts w:ascii="Arial" w:hAnsi="Arial" w:cs="Arial"/>
          <w:b/>
          <w:sz w:val="22"/>
          <w:szCs w:val="22"/>
        </w:rPr>
      </w:pPr>
      <w:r w:rsidRPr="00C75C1C">
        <w:rPr>
          <w:rFonts w:ascii="Arial" w:hAnsi="Arial" w:cs="Arial"/>
          <w:b/>
          <w:sz w:val="22"/>
          <w:szCs w:val="22"/>
        </w:rPr>
        <w:t xml:space="preserve">A beterjesztett rendelet-tervezet bevételi és </w:t>
      </w:r>
      <w:r w:rsidR="00A275E8">
        <w:rPr>
          <w:rFonts w:ascii="Arial" w:hAnsi="Arial" w:cs="Arial"/>
          <w:b/>
          <w:sz w:val="22"/>
          <w:szCs w:val="22"/>
        </w:rPr>
        <w:t xml:space="preserve">kiadási fő összege </w:t>
      </w:r>
      <w:r w:rsidR="00D533B0">
        <w:rPr>
          <w:rFonts w:ascii="Arial" w:hAnsi="Arial" w:cs="Arial"/>
          <w:b/>
          <w:sz w:val="22"/>
          <w:szCs w:val="22"/>
        </w:rPr>
        <w:t>2 774 766 303</w:t>
      </w:r>
      <w:r w:rsidR="00A275E8">
        <w:rPr>
          <w:rFonts w:ascii="Arial" w:hAnsi="Arial" w:cs="Arial"/>
          <w:b/>
          <w:sz w:val="22"/>
          <w:szCs w:val="22"/>
        </w:rPr>
        <w:t xml:space="preserve"> </w:t>
      </w:r>
      <w:r w:rsidRPr="00C75C1C">
        <w:rPr>
          <w:rFonts w:ascii="Arial" w:hAnsi="Arial" w:cs="Arial"/>
          <w:b/>
          <w:sz w:val="22"/>
          <w:szCs w:val="22"/>
        </w:rPr>
        <w:t>Ft. A költségvetési javaslat a költségvetési egyensúlyt a központi költségvetésből rendelkezésre álló f</w:t>
      </w:r>
      <w:r w:rsidR="00A9093B">
        <w:rPr>
          <w:rFonts w:ascii="Arial" w:hAnsi="Arial" w:cs="Arial"/>
          <w:b/>
          <w:sz w:val="22"/>
          <w:szCs w:val="22"/>
        </w:rPr>
        <w:t xml:space="preserve">orrások felhasználása mellett </w:t>
      </w:r>
      <w:r w:rsidR="002F6505" w:rsidRPr="002F6505">
        <w:rPr>
          <w:rFonts w:ascii="Arial" w:hAnsi="Arial" w:cs="Arial"/>
          <w:b/>
          <w:sz w:val="22"/>
          <w:szCs w:val="22"/>
        </w:rPr>
        <w:t>706 729 294</w:t>
      </w:r>
      <w:r w:rsidR="006559A7" w:rsidRPr="006559A7">
        <w:rPr>
          <w:rFonts w:ascii="Arial" w:hAnsi="Arial" w:cs="Arial"/>
          <w:b/>
          <w:sz w:val="22"/>
          <w:szCs w:val="22"/>
        </w:rPr>
        <w:t xml:space="preserve"> Ft</w:t>
      </w:r>
      <w:r w:rsidRPr="00C75C1C">
        <w:rPr>
          <w:rFonts w:ascii="Arial" w:hAnsi="Arial" w:cs="Arial"/>
          <w:b/>
          <w:sz w:val="22"/>
          <w:szCs w:val="22"/>
        </w:rPr>
        <w:t xml:space="preserve"> na</w:t>
      </w:r>
      <w:r w:rsidR="006559A7">
        <w:rPr>
          <w:rFonts w:ascii="Arial" w:hAnsi="Arial" w:cs="Arial"/>
          <w:b/>
          <w:sz w:val="22"/>
          <w:szCs w:val="22"/>
        </w:rPr>
        <w:t>gyságrendű</w:t>
      </w:r>
      <w:r w:rsidR="00A9093B">
        <w:rPr>
          <w:rFonts w:ascii="Arial" w:hAnsi="Arial" w:cs="Arial"/>
          <w:b/>
          <w:sz w:val="22"/>
          <w:szCs w:val="22"/>
        </w:rPr>
        <w:t xml:space="preserve"> </w:t>
      </w:r>
      <w:r w:rsidR="006559A7">
        <w:rPr>
          <w:rFonts w:ascii="Arial" w:hAnsi="Arial" w:cs="Arial"/>
          <w:b/>
          <w:sz w:val="22"/>
          <w:szCs w:val="22"/>
        </w:rPr>
        <w:t>előző évi maradvány</w:t>
      </w:r>
      <w:r w:rsidRPr="00C75C1C">
        <w:rPr>
          <w:rFonts w:ascii="Arial" w:hAnsi="Arial" w:cs="Arial"/>
          <w:b/>
          <w:sz w:val="22"/>
          <w:szCs w:val="22"/>
        </w:rPr>
        <w:t xml:space="preserve"> igénybe</w:t>
      </w:r>
      <w:r w:rsidR="001A4ADA">
        <w:rPr>
          <w:rFonts w:ascii="Arial" w:hAnsi="Arial" w:cs="Arial"/>
          <w:b/>
          <w:sz w:val="22"/>
          <w:szCs w:val="22"/>
        </w:rPr>
        <w:t xml:space="preserve">vételével, továbbá </w:t>
      </w:r>
      <w:r w:rsidR="002F6505" w:rsidRPr="002F6505">
        <w:rPr>
          <w:rFonts w:ascii="Arial" w:hAnsi="Arial" w:cs="Arial"/>
          <w:b/>
          <w:sz w:val="22"/>
          <w:szCs w:val="22"/>
        </w:rPr>
        <w:t>459 600 000</w:t>
      </w:r>
      <w:r w:rsidRPr="00C75C1C">
        <w:rPr>
          <w:rFonts w:ascii="Arial" w:hAnsi="Arial" w:cs="Arial"/>
          <w:b/>
          <w:sz w:val="22"/>
          <w:szCs w:val="22"/>
        </w:rPr>
        <w:t xml:space="preserve"> Ft ö</w:t>
      </w:r>
      <w:r w:rsidR="001A4ADA">
        <w:rPr>
          <w:rFonts w:ascii="Arial" w:hAnsi="Arial" w:cs="Arial"/>
          <w:b/>
          <w:sz w:val="22"/>
          <w:szCs w:val="22"/>
        </w:rPr>
        <w:t>sszegű adó bevétel</w:t>
      </w:r>
      <w:r w:rsidR="00D533B0">
        <w:rPr>
          <w:rFonts w:ascii="Arial" w:hAnsi="Arial" w:cs="Arial"/>
          <w:b/>
          <w:sz w:val="22"/>
          <w:szCs w:val="22"/>
        </w:rPr>
        <w:t>, 98,8 millió Ft működési bevétellel,</w:t>
      </w:r>
      <w:r w:rsidR="001A4ADA">
        <w:rPr>
          <w:rFonts w:ascii="Arial" w:hAnsi="Arial" w:cs="Arial"/>
          <w:b/>
          <w:sz w:val="22"/>
          <w:szCs w:val="22"/>
        </w:rPr>
        <w:t xml:space="preserve"> és </w:t>
      </w:r>
      <w:r w:rsidR="002F6505">
        <w:rPr>
          <w:rFonts w:ascii="Arial" w:hAnsi="Arial" w:cs="Arial"/>
          <w:b/>
          <w:sz w:val="22"/>
          <w:szCs w:val="22"/>
        </w:rPr>
        <w:t>jelentős összegű, közel 132 millió Ft</w:t>
      </w:r>
      <w:r w:rsidRPr="00C75C1C">
        <w:rPr>
          <w:rFonts w:ascii="Arial" w:hAnsi="Arial" w:cs="Arial"/>
          <w:b/>
          <w:sz w:val="22"/>
          <w:szCs w:val="22"/>
        </w:rPr>
        <w:t xml:space="preserve"> ingatlan értékesítési bevétel figyelembevételével teremti meg. A saját bevételek tervezett nagyságrendje </w:t>
      </w:r>
      <w:r w:rsidR="002F6505">
        <w:rPr>
          <w:rFonts w:ascii="Arial" w:hAnsi="Arial" w:cs="Arial"/>
          <w:b/>
          <w:sz w:val="22"/>
          <w:szCs w:val="22"/>
        </w:rPr>
        <w:t>rendkívül</w:t>
      </w:r>
      <w:r w:rsidR="001A4ADA">
        <w:rPr>
          <w:rFonts w:ascii="Arial" w:hAnsi="Arial" w:cs="Arial"/>
          <w:b/>
          <w:sz w:val="22"/>
          <w:szCs w:val="22"/>
        </w:rPr>
        <w:t xml:space="preserve"> </w:t>
      </w:r>
      <w:r w:rsidRPr="00C75C1C">
        <w:rPr>
          <w:rFonts w:ascii="Arial" w:hAnsi="Arial" w:cs="Arial"/>
          <w:b/>
          <w:sz w:val="22"/>
          <w:szCs w:val="22"/>
        </w:rPr>
        <w:t>feszített</w:t>
      </w:r>
      <w:r w:rsidR="001A4ADA">
        <w:rPr>
          <w:rFonts w:ascii="Arial" w:hAnsi="Arial" w:cs="Arial"/>
          <w:b/>
          <w:sz w:val="22"/>
          <w:szCs w:val="22"/>
        </w:rPr>
        <w:t>, a teljesülés oldaláról</w:t>
      </w:r>
      <w:r w:rsidRPr="00C75C1C">
        <w:rPr>
          <w:rFonts w:ascii="Arial" w:hAnsi="Arial" w:cs="Arial"/>
          <w:b/>
          <w:sz w:val="22"/>
          <w:szCs w:val="22"/>
        </w:rPr>
        <w:t xml:space="preserve"> </w:t>
      </w:r>
      <w:r w:rsidR="002F6505">
        <w:rPr>
          <w:rFonts w:ascii="Arial" w:hAnsi="Arial" w:cs="Arial"/>
          <w:b/>
          <w:sz w:val="22"/>
          <w:szCs w:val="22"/>
        </w:rPr>
        <w:t>n</w:t>
      </w:r>
      <w:r w:rsidRPr="00C75C1C">
        <w:rPr>
          <w:rFonts w:ascii="Arial" w:hAnsi="Arial" w:cs="Arial"/>
          <w:b/>
          <w:sz w:val="22"/>
          <w:szCs w:val="22"/>
        </w:rPr>
        <w:t>a</w:t>
      </w:r>
      <w:r w:rsidR="002F6505">
        <w:rPr>
          <w:rFonts w:ascii="Arial" w:hAnsi="Arial" w:cs="Arial"/>
          <w:b/>
          <w:sz w:val="22"/>
          <w:szCs w:val="22"/>
        </w:rPr>
        <w:t>gy a</w:t>
      </w:r>
      <w:r w:rsidRPr="00C75C1C">
        <w:rPr>
          <w:rFonts w:ascii="Arial" w:hAnsi="Arial" w:cs="Arial"/>
          <w:b/>
          <w:sz w:val="22"/>
          <w:szCs w:val="22"/>
        </w:rPr>
        <w:t xml:space="preserve"> bizonytalanság</w:t>
      </w:r>
      <w:r w:rsidR="002F6505">
        <w:rPr>
          <w:rFonts w:ascii="Arial" w:hAnsi="Arial" w:cs="Arial"/>
          <w:b/>
          <w:sz w:val="22"/>
          <w:szCs w:val="22"/>
        </w:rPr>
        <w:t xml:space="preserve">, </w:t>
      </w:r>
      <w:r w:rsidRPr="00C75C1C">
        <w:rPr>
          <w:rFonts w:ascii="Arial" w:hAnsi="Arial" w:cs="Arial"/>
          <w:b/>
          <w:sz w:val="22"/>
          <w:szCs w:val="22"/>
        </w:rPr>
        <w:t xml:space="preserve">ez </w:t>
      </w:r>
      <w:r w:rsidR="002F6505">
        <w:rPr>
          <w:rFonts w:ascii="Arial" w:hAnsi="Arial" w:cs="Arial"/>
          <w:b/>
          <w:sz w:val="22"/>
          <w:szCs w:val="22"/>
        </w:rPr>
        <w:t xml:space="preserve">fokozott </w:t>
      </w:r>
      <w:r w:rsidRPr="00C75C1C">
        <w:rPr>
          <w:rFonts w:ascii="Arial" w:hAnsi="Arial" w:cs="Arial"/>
          <w:b/>
          <w:sz w:val="22"/>
          <w:szCs w:val="22"/>
        </w:rPr>
        <w:t xml:space="preserve">kockázati tényező. </w:t>
      </w:r>
    </w:p>
    <w:p w14:paraId="73DD8FBB" w14:textId="15E000B5" w:rsidR="00DC28A7" w:rsidRDefault="00DC28A7" w:rsidP="005728EF">
      <w:pPr>
        <w:spacing w:line="240" w:lineRule="atLeast"/>
        <w:jc w:val="both"/>
        <w:rPr>
          <w:rFonts w:ascii="Arial" w:hAnsi="Arial" w:cs="Arial"/>
          <w:b/>
          <w:sz w:val="22"/>
          <w:szCs w:val="22"/>
        </w:rPr>
      </w:pPr>
    </w:p>
    <w:p w14:paraId="1F008DD7" w14:textId="359114DA" w:rsidR="0015634A" w:rsidRDefault="001A4ADA" w:rsidP="004D013C">
      <w:pPr>
        <w:spacing w:line="240" w:lineRule="atLeast"/>
        <w:jc w:val="both"/>
        <w:rPr>
          <w:rFonts w:ascii="Arial" w:hAnsi="Arial" w:cs="Arial"/>
          <w:b/>
          <w:sz w:val="22"/>
          <w:szCs w:val="22"/>
        </w:rPr>
      </w:pPr>
      <w:r>
        <w:rPr>
          <w:rFonts w:ascii="Arial" w:hAnsi="Arial" w:cs="Arial"/>
          <w:b/>
          <w:sz w:val="22"/>
          <w:szCs w:val="22"/>
        </w:rPr>
        <w:lastRenderedPageBreak/>
        <w:t>Az önkormányzat 202</w:t>
      </w:r>
      <w:r w:rsidR="006B224A">
        <w:rPr>
          <w:rFonts w:ascii="Arial" w:hAnsi="Arial" w:cs="Arial"/>
          <w:b/>
          <w:sz w:val="22"/>
          <w:szCs w:val="22"/>
        </w:rPr>
        <w:t>5</w:t>
      </w:r>
      <w:r w:rsidR="004A4AC4" w:rsidRPr="009E2E30">
        <w:rPr>
          <w:rFonts w:ascii="Arial" w:hAnsi="Arial" w:cs="Arial"/>
          <w:b/>
          <w:sz w:val="22"/>
          <w:szCs w:val="22"/>
        </w:rPr>
        <w:t>. é</w:t>
      </w:r>
      <w:r w:rsidR="00C75C1C" w:rsidRPr="009E2E30">
        <w:rPr>
          <w:rFonts w:ascii="Arial" w:hAnsi="Arial" w:cs="Arial"/>
          <w:b/>
          <w:sz w:val="22"/>
          <w:szCs w:val="22"/>
        </w:rPr>
        <w:t>vi költségvetésének végrehajtásánál</w:t>
      </w:r>
      <w:r w:rsidR="004A4AC4" w:rsidRPr="009E2E30">
        <w:rPr>
          <w:rFonts w:ascii="Arial" w:hAnsi="Arial" w:cs="Arial"/>
          <w:b/>
          <w:sz w:val="22"/>
          <w:szCs w:val="22"/>
        </w:rPr>
        <w:t xml:space="preserve"> </w:t>
      </w:r>
      <w:r w:rsidR="0015634A">
        <w:rPr>
          <w:rFonts w:ascii="Arial" w:hAnsi="Arial" w:cs="Arial"/>
          <w:b/>
          <w:sz w:val="22"/>
          <w:szCs w:val="22"/>
        </w:rPr>
        <w:t xml:space="preserve">elengedhetetlen a </w:t>
      </w:r>
      <w:r w:rsidR="004A4AC4" w:rsidRPr="009E2E30">
        <w:rPr>
          <w:rFonts w:ascii="Arial" w:hAnsi="Arial" w:cs="Arial"/>
          <w:b/>
          <w:sz w:val="22"/>
          <w:szCs w:val="22"/>
        </w:rPr>
        <w:t xml:space="preserve">megtakarítást eredményező megoldások keresése, </w:t>
      </w:r>
      <w:r>
        <w:rPr>
          <w:rFonts w:ascii="Arial" w:hAnsi="Arial" w:cs="Arial"/>
          <w:b/>
          <w:sz w:val="22"/>
          <w:szCs w:val="22"/>
        </w:rPr>
        <w:t>a takarékossági követelmények érvényesítése</w:t>
      </w:r>
      <w:r w:rsidR="0015634A">
        <w:rPr>
          <w:rFonts w:ascii="Arial" w:hAnsi="Arial" w:cs="Arial"/>
          <w:b/>
          <w:sz w:val="22"/>
          <w:szCs w:val="22"/>
        </w:rPr>
        <w:t>,</w:t>
      </w:r>
      <w:r w:rsidR="0015634A" w:rsidRPr="0015634A">
        <w:t xml:space="preserve"> </w:t>
      </w:r>
      <w:r w:rsidR="0015634A" w:rsidRPr="0015634A">
        <w:rPr>
          <w:rFonts w:ascii="Arial" w:hAnsi="Arial" w:cs="Arial"/>
          <w:b/>
          <w:sz w:val="22"/>
          <w:szCs w:val="22"/>
        </w:rPr>
        <w:t xml:space="preserve">a kötelező feladatellátás finanszírozásának </w:t>
      </w:r>
      <w:r w:rsidR="0015634A">
        <w:rPr>
          <w:rFonts w:ascii="Arial" w:hAnsi="Arial" w:cs="Arial"/>
          <w:b/>
          <w:sz w:val="22"/>
          <w:szCs w:val="22"/>
        </w:rPr>
        <w:t>prioritása</w:t>
      </w:r>
      <w:r>
        <w:rPr>
          <w:rFonts w:ascii="Arial" w:hAnsi="Arial" w:cs="Arial"/>
          <w:b/>
          <w:sz w:val="22"/>
          <w:szCs w:val="22"/>
        </w:rPr>
        <w:t xml:space="preserve">. </w:t>
      </w:r>
    </w:p>
    <w:p w14:paraId="6662A00D" w14:textId="77777777" w:rsidR="00343350" w:rsidRDefault="0015634A" w:rsidP="004D013C">
      <w:pPr>
        <w:spacing w:line="240" w:lineRule="atLeast"/>
        <w:jc w:val="both"/>
        <w:rPr>
          <w:rFonts w:ascii="Arial" w:hAnsi="Arial" w:cs="Arial"/>
          <w:b/>
          <w:sz w:val="22"/>
          <w:szCs w:val="22"/>
        </w:rPr>
      </w:pPr>
      <w:r>
        <w:rPr>
          <w:rFonts w:ascii="Arial" w:hAnsi="Arial" w:cs="Arial"/>
          <w:b/>
          <w:sz w:val="22"/>
          <w:szCs w:val="22"/>
        </w:rPr>
        <w:t>T</w:t>
      </w:r>
      <w:r w:rsidR="001A4ADA">
        <w:rPr>
          <w:rFonts w:ascii="Arial" w:hAnsi="Arial" w:cs="Arial"/>
          <w:b/>
          <w:sz w:val="22"/>
          <w:szCs w:val="22"/>
        </w:rPr>
        <w:t xml:space="preserve">ekintettel arra, hogy </w:t>
      </w:r>
      <w:r w:rsidR="00924F34">
        <w:rPr>
          <w:rFonts w:ascii="Arial" w:hAnsi="Arial" w:cs="Arial"/>
          <w:b/>
          <w:sz w:val="22"/>
          <w:szCs w:val="22"/>
        </w:rPr>
        <w:t>a központi béremelkedések</w:t>
      </w:r>
      <w:r w:rsidR="007D24D3">
        <w:rPr>
          <w:rFonts w:ascii="Arial" w:hAnsi="Arial" w:cs="Arial"/>
          <w:b/>
          <w:sz w:val="22"/>
          <w:szCs w:val="22"/>
        </w:rPr>
        <w:t xml:space="preserve"> többletére</w:t>
      </w:r>
      <w:r w:rsidR="00924F34">
        <w:rPr>
          <w:rFonts w:ascii="Arial" w:hAnsi="Arial" w:cs="Arial"/>
          <w:b/>
          <w:sz w:val="22"/>
          <w:szCs w:val="22"/>
        </w:rPr>
        <w:t xml:space="preserve"> és a működtetés</w:t>
      </w:r>
      <w:r>
        <w:rPr>
          <w:rFonts w:ascii="Arial" w:hAnsi="Arial" w:cs="Arial"/>
          <w:b/>
          <w:sz w:val="22"/>
          <w:szCs w:val="22"/>
        </w:rPr>
        <w:t xml:space="preserve">i többletre </w:t>
      </w:r>
      <w:r w:rsidR="00924F34">
        <w:rPr>
          <w:rFonts w:ascii="Arial" w:hAnsi="Arial" w:cs="Arial"/>
          <w:b/>
          <w:sz w:val="22"/>
          <w:szCs w:val="22"/>
        </w:rPr>
        <w:t>a fed</w:t>
      </w:r>
      <w:r w:rsidR="007D24D3">
        <w:rPr>
          <w:rFonts w:ascii="Arial" w:hAnsi="Arial" w:cs="Arial"/>
          <w:b/>
          <w:sz w:val="22"/>
          <w:szCs w:val="22"/>
        </w:rPr>
        <w:t>e</w:t>
      </w:r>
      <w:r w:rsidR="00924F34">
        <w:rPr>
          <w:rFonts w:ascii="Arial" w:hAnsi="Arial" w:cs="Arial"/>
          <w:b/>
          <w:sz w:val="22"/>
          <w:szCs w:val="22"/>
        </w:rPr>
        <w:t>zet</w:t>
      </w:r>
      <w:r w:rsidR="001A4ADA">
        <w:rPr>
          <w:rFonts w:ascii="Arial" w:hAnsi="Arial" w:cs="Arial"/>
          <w:b/>
          <w:sz w:val="22"/>
          <w:szCs w:val="22"/>
        </w:rPr>
        <w:t xml:space="preserve"> már eredeti elői</w:t>
      </w:r>
      <w:r w:rsidR="00850894">
        <w:rPr>
          <w:rFonts w:ascii="Arial" w:hAnsi="Arial" w:cs="Arial"/>
          <w:b/>
          <w:sz w:val="22"/>
          <w:szCs w:val="22"/>
        </w:rPr>
        <w:t xml:space="preserve">rányzatként rendelkezésre áll, </w:t>
      </w:r>
      <w:r w:rsidR="001A4ADA">
        <w:rPr>
          <w:rFonts w:ascii="Arial" w:hAnsi="Arial" w:cs="Arial"/>
          <w:b/>
          <w:sz w:val="22"/>
          <w:szCs w:val="22"/>
        </w:rPr>
        <w:t xml:space="preserve">év közben </w:t>
      </w:r>
      <w:r w:rsidR="0009450D">
        <w:rPr>
          <w:rFonts w:ascii="Arial" w:hAnsi="Arial" w:cs="Arial"/>
          <w:b/>
          <w:sz w:val="22"/>
          <w:szCs w:val="22"/>
        </w:rPr>
        <w:t xml:space="preserve">további </w:t>
      </w:r>
      <w:r w:rsidR="00C75C1C" w:rsidRPr="009E2E30">
        <w:rPr>
          <w:rFonts w:ascii="Arial" w:hAnsi="Arial" w:cs="Arial"/>
          <w:b/>
          <w:sz w:val="22"/>
          <w:szCs w:val="22"/>
        </w:rPr>
        <w:t>kö</w:t>
      </w:r>
      <w:r w:rsidR="001A4ADA">
        <w:rPr>
          <w:rFonts w:ascii="Arial" w:hAnsi="Arial" w:cs="Arial"/>
          <w:b/>
          <w:sz w:val="22"/>
          <w:szCs w:val="22"/>
        </w:rPr>
        <w:t xml:space="preserve">zponti forrásra </w:t>
      </w:r>
      <w:r w:rsidR="008C7E06">
        <w:rPr>
          <w:rFonts w:ascii="Arial" w:hAnsi="Arial" w:cs="Arial"/>
          <w:b/>
          <w:sz w:val="22"/>
          <w:szCs w:val="22"/>
        </w:rPr>
        <w:t>a jelenlegi információk alapján csak a KÖH fenntartása vonatkozásában</w:t>
      </w:r>
      <w:r w:rsidR="001A4ADA">
        <w:rPr>
          <w:rFonts w:ascii="Arial" w:hAnsi="Arial" w:cs="Arial"/>
          <w:b/>
          <w:sz w:val="22"/>
          <w:szCs w:val="22"/>
        </w:rPr>
        <w:t xml:space="preserve"> számíthatunk</w:t>
      </w:r>
      <w:r w:rsidR="00C75C1C" w:rsidRPr="009E2E30">
        <w:rPr>
          <w:rFonts w:ascii="Arial" w:hAnsi="Arial" w:cs="Arial"/>
          <w:b/>
          <w:sz w:val="22"/>
          <w:szCs w:val="22"/>
        </w:rPr>
        <w:t xml:space="preserve">, </w:t>
      </w:r>
      <w:r w:rsidR="001A4ADA">
        <w:rPr>
          <w:rFonts w:ascii="Arial" w:hAnsi="Arial" w:cs="Arial"/>
          <w:b/>
          <w:sz w:val="22"/>
          <w:szCs w:val="22"/>
        </w:rPr>
        <w:t xml:space="preserve">ezért mozgásterünk </w:t>
      </w:r>
      <w:r w:rsidR="008C7E06">
        <w:rPr>
          <w:rFonts w:ascii="Arial" w:hAnsi="Arial" w:cs="Arial"/>
          <w:b/>
          <w:sz w:val="22"/>
          <w:szCs w:val="22"/>
        </w:rPr>
        <w:t>nincs</w:t>
      </w:r>
      <w:r w:rsidR="00AC36EC">
        <w:rPr>
          <w:rFonts w:ascii="Arial" w:hAnsi="Arial" w:cs="Arial"/>
          <w:b/>
          <w:sz w:val="22"/>
          <w:szCs w:val="22"/>
        </w:rPr>
        <w:t>.</w:t>
      </w:r>
      <w:r w:rsidR="0009450D">
        <w:rPr>
          <w:rFonts w:ascii="Arial" w:hAnsi="Arial" w:cs="Arial"/>
          <w:b/>
          <w:sz w:val="22"/>
          <w:szCs w:val="22"/>
        </w:rPr>
        <w:t xml:space="preserve"> </w:t>
      </w:r>
      <w:r w:rsidR="00AC36EC">
        <w:rPr>
          <w:rFonts w:ascii="Arial" w:hAnsi="Arial" w:cs="Arial"/>
          <w:b/>
          <w:sz w:val="22"/>
          <w:szCs w:val="22"/>
        </w:rPr>
        <w:t>A</w:t>
      </w:r>
      <w:r w:rsidR="0009450D">
        <w:rPr>
          <w:rFonts w:ascii="Arial" w:hAnsi="Arial" w:cs="Arial"/>
          <w:b/>
          <w:sz w:val="22"/>
          <w:szCs w:val="22"/>
        </w:rPr>
        <w:t xml:space="preserve"> kiadási előirányzatok </w:t>
      </w:r>
      <w:r w:rsidR="009E10C8">
        <w:rPr>
          <w:rFonts w:ascii="Arial" w:hAnsi="Arial" w:cs="Arial"/>
          <w:b/>
          <w:sz w:val="22"/>
          <w:szCs w:val="22"/>
        </w:rPr>
        <w:t xml:space="preserve">évközi </w:t>
      </w:r>
      <w:r w:rsidR="00AC36EC">
        <w:rPr>
          <w:rFonts w:ascii="Arial" w:hAnsi="Arial" w:cs="Arial"/>
          <w:b/>
          <w:sz w:val="22"/>
          <w:szCs w:val="22"/>
        </w:rPr>
        <w:t xml:space="preserve">érdemi </w:t>
      </w:r>
      <w:r w:rsidR="0009450D">
        <w:rPr>
          <w:rFonts w:ascii="Arial" w:hAnsi="Arial" w:cs="Arial"/>
          <w:b/>
          <w:sz w:val="22"/>
          <w:szCs w:val="22"/>
        </w:rPr>
        <w:t>emelésére</w:t>
      </w:r>
      <w:r w:rsidR="00AC36EC">
        <w:rPr>
          <w:rFonts w:ascii="Arial" w:hAnsi="Arial" w:cs="Arial"/>
          <w:b/>
          <w:sz w:val="22"/>
          <w:szCs w:val="22"/>
        </w:rPr>
        <w:t>, nem tervezett feladatok finanszírozására</w:t>
      </w:r>
      <w:r w:rsidR="0009450D">
        <w:rPr>
          <w:rFonts w:ascii="Arial" w:hAnsi="Arial" w:cs="Arial"/>
          <w:b/>
          <w:sz w:val="22"/>
          <w:szCs w:val="22"/>
        </w:rPr>
        <w:t xml:space="preserve"> </w:t>
      </w:r>
      <w:r w:rsidR="00C16621">
        <w:rPr>
          <w:rFonts w:ascii="Arial" w:hAnsi="Arial" w:cs="Arial"/>
          <w:b/>
          <w:sz w:val="22"/>
          <w:szCs w:val="22"/>
        </w:rPr>
        <w:t xml:space="preserve">a jelenlegi információk szerint </w:t>
      </w:r>
      <w:r w:rsidR="0009450D">
        <w:rPr>
          <w:rFonts w:ascii="Arial" w:hAnsi="Arial" w:cs="Arial"/>
          <w:b/>
          <w:sz w:val="22"/>
          <w:szCs w:val="22"/>
        </w:rPr>
        <w:t xml:space="preserve">nem látszik lehetőség, </w:t>
      </w:r>
      <w:r w:rsidR="00AC36EC">
        <w:rPr>
          <w:rFonts w:ascii="Arial" w:hAnsi="Arial" w:cs="Arial"/>
          <w:b/>
          <w:sz w:val="22"/>
          <w:szCs w:val="22"/>
        </w:rPr>
        <w:t xml:space="preserve">illetve belső átcsoportosítással lehet </w:t>
      </w:r>
      <w:r>
        <w:rPr>
          <w:rFonts w:ascii="Arial" w:hAnsi="Arial" w:cs="Arial"/>
          <w:b/>
          <w:sz w:val="22"/>
          <w:szCs w:val="22"/>
        </w:rPr>
        <w:t xml:space="preserve">azokra </w:t>
      </w:r>
      <w:r w:rsidR="00AC36EC">
        <w:rPr>
          <w:rFonts w:ascii="Arial" w:hAnsi="Arial" w:cs="Arial"/>
          <w:b/>
          <w:sz w:val="22"/>
          <w:szCs w:val="22"/>
        </w:rPr>
        <w:t>fedezetet teremteni.  A</w:t>
      </w:r>
      <w:r w:rsidR="0009450D">
        <w:rPr>
          <w:rFonts w:ascii="Arial" w:hAnsi="Arial" w:cs="Arial"/>
          <w:b/>
          <w:sz w:val="22"/>
          <w:szCs w:val="22"/>
        </w:rPr>
        <w:t xml:space="preserve">z előirányzatok </w:t>
      </w:r>
      <w:r w:rsidR="008C7E06">
        <w:rPr>
          <w:rFonts w:ascii="Arial" w:hAnsi="Arial" w:cs="Arial"/>
          <w:b/>
          <w:sz w:val="22"/>
          <w:szCs w:val="22"/>
        </w:rPr>
        <w:t xml:space="preserve">rendkívül </w:t>
      </w:r>
      <w:r w:rsidR="0009450D">
        <w:rPr>
          <w:rFonts w:ascii="Arial" w:hAnsi="Arial" w:cs="Arial"/>
          <w:b/>
          <w:sz w:val="22"/>
          <w:szCs w:val="22"/>
        </w:rPr>
        <w:t xml:space="preserve">feszítettek. </w:t>
      </w:r>
    </w:p>
    <w:p w14:paraId="3845805C" w14:textId="77777777" w:rsidR="00343350" w:rsidRDefault="00343350" w:rsidP="004D013C">
      <w:pPr>
        <w:spacing w:line="240" w:lineRule="atLeast"/>
        <w:jc w:val="both"/>
        <w:rPr>
          <w:rFonts w:ascii="Arial" w:hAnsi="Arial" w:cs="Arial"/>
          <w:b/>
          <w:sz w:val="22"/>
          <w:szCs w:val="22"/>
        </w:rPr>
      </w:pPr>
    </w:p>
    <w:p w14:paraId="66638EDF" w14:textId="77777777" w:rsidR="00343350" w:rsidRDefault="0009450D" w:rsidP="004D013C">
      <w:pPr>
        <w:spacing w:line="240" w:lineRule="atLeast"/>
        <w:jc w:val="both"/>
        <w:rPr>
          <w:rFonts w:ascii="Arial" w:hAnsi="Arial" w:cs="Arial"/>
          <w:b/>
          <w:sz w:val="22"/>
          <w:szCs w:val="22"/>
        </w:rPr>
      </w:pPr>
      <w:r>
        <w:rPr>
          <w:rFonts w:ascii="Arial" w:hAnsi="Arial" w:cs="Arial"/>
          <w:b/>
          <w:sz w:val="22"/>
          <w:szCs w:val="22"/>
        </w:rPr>
        <w:t>A</w:t>
      </w:r>
      <w:r w:rsidR="00C75C1C" w:rsidRPr="009E2E30">
        <w:rPr>
          <w:rFonts w:ascii="Arial" w:hAnsi="Arial" w:cs="Arial"/>
          <w:b/>
          <w:sz w:val="22"/>
          <w:szCs w:val="22"/>
        </w:rPr>
        <w:t xml:space="preserve"> saj</w:t>
      </w:r>
      <w:r>
        <w:rPr>
          <w:rFonts w:ascii="Arial" w:hAnsi="Arial" w:cs="Arial"/>
          <w:b/>
          <w:sz w:val="22"/>
          <w:szCs w:val="22"/>
        </w:rPr>
        <w:t xml:space="preserve">át bevételek </w:t>
      </w:r>
      <w:r w:rsidR="0097147D">
        <w:rPr>
          <w:rFonts w:ascii="Arial" w:hAnsi="Arial" w:cs="Arial"/>
          <w:b/>
          <w:sz w:val="22"/>
          <w:szCs w:val="22"/>
        </w:rPr>
        <w:t>tervezés</w:t>
      </w:r>
      <w:r w:rsidR="008C7E06">
        <w:rPr>
          <w:rFonts w:ascii="Arial" w:hAnsi="Arial" w:cs="Arial"/>
          <w:b/>
          <w:sz w:val="22"/>
          <w:szCs w:val="22"/>
        </w:rPr>
        <w:t>ének nagyságrendje miatt, a költségvetési egyensúly megtartása érdekében</w:t>
      </w:r>
      <w:r w:rsidR="0097147D">
        <w:rPr>
          <w:rFonts w:ascii="Arial" w:hAnsi="Arial" w:cs="Arial"/>
          <w:b/>
          <w:sz w:val="22"/>
          <w:szCs w:val="22"/>
        </w:rPr>
        <w:t xml:space="preserve"> </w:t>
      </w:r>
      <w:r w:rsidR="008C7E06">
        <w:rPr>
          <w:rFonts w:ascii="Arial" w:hAnsi="Arial" w:cs="Arial"/>
          <w:b/>
          <w:sz w:val="22"/>
          <w:szCs w:val="22"/>
        </w:rPr>
        <w:t xml:space="preserve">- </w:t>
      </w:r>
      <w:r w:rsidR="0097147D">
        <w:rPr>
          <w:rFonts w:ascii="Arial" w:hAnsi="Arial" w:cs="Arial"/>
          <w:b/>
          <w:sz w:val="22"/>
          <w:szCs w:val="22"/>
        </w:rPr>
        <w:t xml:space="preserve">az </w:t>
      </w:r>
      <w:r>
        <w:rPr>
          <w:rFonts w:ascii="Arial" w:hAnsi="Arial" w:cs="Arial"/>
          <w:b/>
          <w:sz w:val="22"/>
          <w:szCs w:val="22"/>
        </w:rPr>
        <w:t>esetleges alul</w:t>
      </w:r>
      <w:r w:rsidR="008C7E06">
        <w:rPr>
          <w:rFonts w:ascii="Arial" w:hAnsi="Arial" w:cs="Arial"/>
          <w:b/>
          <w:sz w:val="22"/>
          <w:szCs w:val="22"/>
        </w:rPr>
        <w:t>-</w:t>
      </w:r>
      <w:r>
        <w:rPr>
          <w:rFonts w:ascii="Arial" w:hAnsi="Arial" w:cs="Arial"/>
          <w:b/>
          <w:sz w:val="22"/>
          <w:szCs w:val="22"/>
        </w:rPr>
        <w:t>teljes</w:t>
      </w:r>
      <w:r w:rsidR="009E10C8">
        <w:rPr>
          <w:rFonts w:ascii="Arial" w:hAnsi="Arial" w:cs="Arial"/>
          <w:b/>
          <w:sz w:val="22"/>
          <w:szCs w:val="22"/>
        </w:rPr>
        <w:t>ülés</w:t>
      </w:r>
      <w:r>
        <w:rPr>
          <w:rFonts w:ascii="Arial" w:hAnsi="Arial" w:cs="Arial"/>
          <w:b/>
          <w:sz w:val="22"/>
          <w:szCs w:val="22"/>
        </w:rPr>
        <w:t xml:space="preserve"> esetén </w:t>
      </w:r>
      <w:r w:rsidR="008C7E06">
        <w:rPr>
          <w:rFonts w:ascii="Arial" w:hAnsi="Arial" w:cs="Arial"/>
          <w:b/>
          <w:sz w:val="22"/>
          <w:szCs w:val="22"/>
        </w:rPr>
        <w:t xml:space="preserve">- </w:t>
      </w:r>
      <w:r w:rsidR="00517357" w:rsidRPr="004D013C">
        <w:rPr>
          <w:rFonts w:ascii="Arial" w:hAnsi="Arial" w:cs="Arial"/>
          <w:b/>
          <w:sz w:val="22"/>
          <w:szCs w:val="22"/>
        </w:rPr>
        <w:t>szükségszerű</w:t>
      </w:r>
      <w:r w:rsidR="008C7E06">
        <w:rPr>
          <w:rFonts w:ascii="Arial" w:hAnsi="Arial" w:cs="Arial"/>
          <w:b/>
          <w:sz w:val="22"/>
          <w:szCs w:val="22"/>
        </w:rPr>
        <w:t>vé válhat bizonyos önként vállalt feladatok</w:t>
      </w:r>
      <w:r w:rsidR="00517357" w:rsidRPr="004D013C">
        <w:rPr>
          <w:rFonts w:ascii="Arial" w:hAnsi="Arial" w:cs="Arial"/>
          <w:b/>
          <w:sz w:val="22"/>
          <w:szCs w:val="22"/>
        </w:rPr>
        <w:t xml:space="preserve"> </w:t>
      </w:r>
      <w:r w:rsidR="008C7E06">
        <w:rPr>
          <w:rFonts w:ascii="Arial" w:hAnsi="Arial" w:cs="Arial"/>
          <w:b/>
          <w:sz w:val="22"/>
          <w:szCs w:val="22"/>
        </w:rPr>
        <w:t>elhagyása. Ezeket a költségvetési javasla</w:t>
      </w:r>
      <w:r w:rsidR="00F11BA7">
        <w:rPr>
          <w:rFonts w:ascii="Arial" w:hAnsi="Arial" w:cs="Arial"/>
          <w:b/>
          <w:sz w:val="22"/>
          <w:szCs w:val="22"/>
        </w:rPr>
        <w:t>t 21. sz. mellékletében</w:t>
      </w:r>
      <w:r w:rsidR="008C7E06">
        <w:rPr>
          <w:rFonts w:ascii="Arial" w:hAnsi="Arial" w:cs="Arial"/>
          <w:b/>
          <w:sz w:val="22"/>
          <w:szCs w:val="22"/>
        </w:rPr>
        <w:t xml:space="preserve"> foglaltuk össze. </w:t>
      </w:r>
    </w:p>
    <w:p w14:paraId="323F4A66" w14:textId="77777777" w:rsidR="00343350" w:rsidRDefault="00343350" w:rsidP="004D013C">
      <w:pPr>
        <w:spacing w:line="240" w:lineRule="atLeast"/>
        <w:jc w:val="both"/>
        <w:rPr>
          <w:rFonts w:ascii="Arial" w:hAnsi="Arial" w:cs="Arial"/>
          <w:b/>
          <w:sz w:val="22"/>
          <w:szCs w:val="22"/>
        </w:rPr>
      </w:pPr>
    </w:p>
    <w:p w14:paraId="0875B84F" w14:textId="759E8826" w:rsidR="006325C2" w:rsidRDefault="00DE4CD0" w:rsidP="004D013C">
      <w:pPr>
        <w:spacing w:line="240" w:lineRule="atLeast"/>
        <w:jc w:val="both"/>
        <w:rPr>
          <w:rFonts w:ascii="Arial" w:hAnsi="Arial" w:cs="Arial"/>
          <w:b/>
          <w:sz w:val="22"/>
          <w:szCs w:val="22"/>
        </w:rPr>
      </w:pPr>
      <w:r>
        <w:rPr>
          <w:rFonts w:ascii="Arial" w:hAnsi="Arial" w:cs="Arial"/>
          <w:b/>
          <w:sz w:val="22"/>
          <w:szCs w:val="22"/>
        </w:rPr>
        <w:t xml:space="preserve">Az önként vállalt feladatok között meghatározó súlyú a városi uszoda fenntartása, melynek működtetéséhez önkormányzatunk a 2024. évben </w:t>
      </w:r>
      <w:r w:rsidR="009D5259">
        <w:rPr>
          <w:rFonts w:ascii="Arial" w:hAnsi="Arial" w:cs="Arial"/>
          <w:b/>
          <w:sz w:val="22"/>
          <w:szCs w:val="22"/>
        </w:rPr>
        <w:t xml:space="preserve">jelentős összegű </w:t>
      </w:r>
      <w:r>
        <w:rPr>
          <w:rFonts w:ascii="Arial" w:hAnsi="Arial" w:cs="Arial"/>
          <w:b/>
          <w:sz w:val="22"/>
          <w:szCs w:val="22"/>
        </w:rPr>
        <w:t xml:space="preserve">központi költségvetési támogatást </w:t>
      </w:r>
      <w:r w:rsidR="009D5259">
        <w:rPr>
          <w:rFonts w:ascii="Arial" w:hAnsi="Arial" w:cs="Arial"/>
          <w:b/>
          <w:sz w:val="22"/>
          <w:szCs w:val="22"/>
        </w:rPr>
        <w:t xml:space="preserve">tudott bevonni sikeres pályázat útján. Alapvetően a </w:t>
      </w:r>
      <w:proofErr w:type="gramStart"/>
      <w:r w:rsidR="009D5259">
        <w:rPr>
          <w:rFonts w:ascii="Arial" w:hAnsi="Arial" w:cs="Arial"/>
          <w:b/>
          <w:sz w:val="22"/>
          <w:szCs w:val="22"/>
        </w:rPr>
        <w:t>drasztikus</w:t>
      </w:r>
      <w:proofErr w:type="gramEnd"/>
      <w:r w:rsidR="009D5259">
        <w:rPr>
          <w:rFonts w:ascii="Arial" w:hAnsi="Arial" w:cs="Arial"/>
          <w:b/>
          <w:sz w:val="22"/>
          <w:szCs w:val="22"/>
        </w:rPr>
        <w:t xml:space="preserve"> mértékben megnövekedett rezsiköltségek megjelenése óta az önkormányzati költségvetésben duplájára emelkedett a létesítmény fenntartási költsége, melynek finanszírozása az önkormányzati költségvetésben már</w:t>
      </w:r>
      <w:r w:rsidR="00384987">
        <w:rPr>
          <w:rFonts w:ascii="Arial" w:hAnsi="Arial" w:cs="Arial"/>
          <w:b/>
          <w:sz w:val="22"/>
          <w:szCs w:val="22"/>
        </w:rPr>
        <w:t xml:space="preserve"> évek óta</w:t>
      </w:r>
      <w:r w:rsidR="009D5259">
        <w:rPr>
          <w:rFonts w:ascii="Arial" w:hAnsi="Arial" w:cs="Arial"/>
          <w:b/>
          <w:sz w:val="22"/>
          <w:szCs w:val="22"/>
        </w:rPr>
        <w:t xml:space="preserve"> pénzügyi nehézséget okoz</w:t>
      </w:r>
      <w:r w:rsidR="00384987">
        <w:rPr>
          <w:rFonts w:ascii="Arial" w:hAnsi="Arial" w:cs="Arial"/>
          <w:b/>
          <w:sz w:val="22"/>
          <w:szCs w:val="22"/>
        </w:rPr>
        <w:t xml:space="preserve">. </w:t>
      </w:r>
      <w:r w:rsidR="00ED09BE">
        <w:rPr>
          <w:rFonts w:ascii="Arial" w:hAnsi="Arial" w:cs="Arial"/>
          <w:b/>
          <w:sz w:val="22"/>
          <w:szCs w:val="22"/>
        </w:rPr>
        <w:t>Tartalékok hiányában a</w:t>
      </w:r>
      <w:r w:rsidR="00745290">
        <w:rPr>
          <w:rFonts w:ascii="Arial" w:hAnsi="Arial" w:cs="Arial"/>
          <w:b/>
          <w:sz w:val="22"/>
          <w:szCs w:val="22"/>
        </w:rPr>
        <w:t xml:space="preserve"> fenntarthatóság érdekében ez évben is szükséges állami forrás igénylése, mely nélkül a folyamatos működés biztosítása veszélybe kerül</w:t>
      </w:r>
      <w:r w:rsidR="00F942F5">
        <w:rPr>
          <w:rFonts w:ascii="Arial" w:hAnsi="Arial" w:cs="Arial"/>
          <w:b/>
          <w:sz w:val="22"/>
          <w:szCs w:val="22"/>
        </w:rPr>
        <w:t>het</w:t>
      </w:r>
      <w:r w:rsidR="00745290">
        <w:rPr>
          <w:rFonts w:ascii="Arial" w:hAnsi="Arial" w:cs="Arial"/>
          <w:b/>
          <w:sz w:val="22"/>
          <w:szCs w:val="22"/>
        </w:rPr>
        <w:t>.</w:t>
      </w:r>
    </w:p>
    <w:p w14:paraId="2FD1EE82" w14:textId="6BD421A0" w:rsidR="00AB7B5D" w:rsidRDefault="00AB7B5D" w:rsidP="004D013C">
      <w:pPr>
        <w:spacing w:line="240" w:lineRule="atLeast"/>
        <w:jc w:val="both"/>
        <w:rPr>
          <w:rFonts w:ascii="Arial" w:hAnsi="Arial" w:cs="Arial"/>
          <w:sz w:val="22"/>
          <w:szCs w:val="22"/>
        </w:rPr>
      </w:pPr>
    </w:p>
    <w:p w14:paraId="272C6686" w14:textId="77777777" w:rsidR="006325C2" w:rsidRPr="00513A5C" w:rsidRDefault="006325C2" w:rsidP="00EF3458">
      <w:pPr>
        <w:spacing w:line="276" w:lineRule="auto"/>
        <w:rPr>
          <w:rFonts w:ascii="Arial" w:hAnsi="Arial" w:cs="Arial"/>
          <w:b/>
          <w:sz w:val="22"/>
          <w:szCs w:val="22"/>
        </w:rPr>
      </w:pPr>
      <w:r w:rsidRPr="00513A5C">
        <w:rPr>
          <w:rFonts w:ascii="Arial" w:hAnsi="Arial" w:cs="Arial"/>
          <w:b/>
          <w:sz w:val="22"/>
          <w:szCs w:val="22"/>
        </w:rPr>
        <w:t>Bátaszék Város Önkormányzatának költségvetése</w:t>
      </w:r>
    </w:p>
    <w:p w14:paraId="6D65E284" w14:textId="77777777" w:rsidR="006325C2" w:rsidRPr="00AE7B18" w:rsidRDefault="006325C2" w:rsidP="006325C2">
      <w:pPr>
        <w:spacing w:line="276" w:lineRule="auto"/>
        <w:rPr>
          <w:rFonts w:ascii="Arial" w:hAnsi="Arial" w:cs="Arial"/>
          <w:sz w:val="22"/>
          <w:szCs w:val="22"/>
          <w:highlight w:val="yellow"/>
        </w:rPr>
      </w:pPr>
    </w:p>
    <w:p w14:paraId="78AFD8DC" w14:textId="12FFF847" w:rsidR="006325C2" w:rsidRPr="00F0007D" w:rsidRDefault="006325C2" w:rsidP="006325C2">
      <w:pPr>
        <w:spacing w:line="276" w:lineRule="auto"/>
        <w:jc w:val="both"/>
        <w:rPr>
          <w:rFonts w:ascii="Arial" w:hAnsi="Arial" w:cs="Arial"/>
          <w:sz w:val="22"/>
          <w:szCs w:val="22"/>
        </w:rPr>
      </w:pPr>
      <w:r w:rsidRPr="00F0007D">
        <w:rPr>
          <w:rFonts w:ascii="Arial" w:hAnsi="Arial" w:cs="Arial"/>
          <w:sz w:val="22"/>
          <w:szCs w:val="22"/>
        </w:rPr>
        <w:t xml:space="preserve">Bátaszék Város Önkormányzatának költségvetés tervezete </w:t>
      </w:r>
      <w:r w:rsidR="00184CB7">
        <w:rPr>
          <w:rFonts w:ascii="Arial" w:hAnsi="Arial" w:cs="Arial"/>
          <w:sz w:val="22"/>
          <w:szCs w:val="22"/>
        </w:rPr>
        <w:t xml:space="preserve">a </w:t>
      </w:r>
      <w:r w:rsidRPr="00F0007D">
        <w:rPr>
          <w:rFonts w:ascii="Arial" w:hAnsi="Arial" w:cs="Arial"/>
          <w:sz w:val="22"/>
          <w:szCs w:val="22"/>
        </w:rPr>
        <w:t>202</w:t>
      </w:r>
      <w:r w:rsidR="00184CB7">
        <w:rPr>
          <w:rFonts w:ascii="Arial" w:hAnsi="Arial" w:cs="Arial"/>
          <w:sz w:val="22"/>
          <w:szCs w:val="22"/>
        </w:rPr>
        <w:t>6</w:t>
      </w:r>
      <w:r w:rsidRPr="00F0007D">
        <w:rPr>
          <w:rFonts w:ascii="Arial" w:hAnsi="Arial" w:cs="Arial"/>
          <w:sz w:val="22"/>
          <w:szCs w:val="22"/>
        </w:rPr>
        <w:t>-202</w:t>
      </w:r>
      <w:r w:rsidR="00184CB7">
        <w:rPr>
          <w:rFonts w:ascii="Arial" w:hAnsi="Arial" w:cs="Arial"/>
          <w:sz w:val="22"/>
          <w:szCs w:val="22"/>
        </w:rPr>
        <w:t>8</w:t>
      </w:r>
      <w:r w:rsidRPr="00F0007D">
        <w:rPr>
          <w:rFonts w:ascii="Arial" w:hAnsi="Arial" w:cs="Arial"/>
          <w:sz w:val="22"/>
          <w:szCs w:val="22"/>
        </w:rPr>
        <w:t>-</w:t>
      </w:r>
      <w:r w:rsidR="00184CB7">
        <w:rPr>
          <w:rFonts w:ascii="Arial" w:hAnsi="Arial" w:cs="Arial"/>
          <w:sz w:val="22"/>
          <w:szCs w:val="22"/>
        </w:rPr>
        <w:t>a</w:t>
      </w:r>
      <w:r w:rsidRPr="00F0007D">
        <w:rPr>
          <w:rFonts w:ascii="Arial" w:hAnsi="Arial" w:cs="Arial"/>
          <w:sz w:val="22"/>
          <w:szCs w:val="22"/>
        </w:rPr>
        <w:t xml:space="preserve">s időszakra </w:t>
      </w:r>
      <w:r w:rsidR="00184CB7">
        <w:rPr>
          <w:rFonts w:ascii="Arial" w:hAnsi="Arial" w:cs="Arial"/>
          <w:sz w:val="22"/>
          <w:szCs w:val="22"/>
        </w:rPr>
        <w:t xml:space="preserve">a feladatellátás </w:t>
      </w:r>
      <w:r w:rsidR="00745290">
        <w:rPr>
          <w:rFonts w:ascii="Arial" w:hAnsi="Arial" w:cs="Arial"/>
          <w:sz w:val="22"/>
          <w:szCs w:val="22"/>
        </w:rPr>
        <w:t xml:space="preserve">finanszírozása </w:t>
      </w:r>
      <w:r w:rsidR="00184CB7">
        <w:rPr>
          <w:rFonts w:ascii="Arial" w:hAnsi="Arial" w:cs="Arial"/>
          <w:sz w:val="22"/>
          <w:szCs w:val="22"/>
        </w:rPr>
        <w:t>tekintetében külső forrás</w:t>
      </w:r>
      <w:r w:rsidR="00745290">
        <w:rPr>
          <w:rFonts w:ascii="Arial" w:hAnsi="Arial" w:cs="Arial"/>
          <w:sz w:val="22"/>
          <w:szCs w:val="22"/>
        </w:rPr>
        <w:t xml:space="preserve"> (hitel) igénybevételével</w:t>
      </w:r>
      <w:r w:rsidR="00184CB7">
        <w:rPr>
          <w:rFonts w:ascii="Arial" w:hAnsi="Arial" w:cs="Arial"/>
          <w:sz w:val="22"/>
          <w:szCs w:val="22"/>
        </w:rPr>
        <w:t xml:space="preserve"> nem számol.</w:t>
      </w:r>
    </w:p>
    <w:p w14:paraId="0D1F7A51" w14:textId="40B60E26" w:rsidR="006325C2" w:rsidRPr="00F671CE" w:rsidRDefault="006325C2" w:rsidP="006325C2">
      <w:pPr>
        <w:spacing w:line="276" w:lineRule="auto"/>
        <w:jc w:val="both"/>
        <w:rPr>
          <w:rFonts w:ascii="Arial" w:eastAsia="Calibri" w:hAnsi="Arial" w:cs="Arial"/>
          <w:sz w:val="22"/>
          <w:szCs w:val="22"/>
          <w:lang w:eastAsia="en-US"/>
        </w:rPr>
      </w:pPr>
      <w:r w:rsidRPr="00F671CE">
        <w:rPr>
          <w:rFonts w:ascii="Arial" w:eastAsia="Calibri" w:hAnsi="Arial" w:cs="Arial"/>
          <w:sz w:val="22"/>
          <w:szCs w:val="22"/>
          <w:lang w:eastAsia="en-US"/>
        </w:rPr>
        <w:t>A törvényi előírásoknak me</w:t>
      </w:r>
      <w:r w:rsidR="00917FFA">
        <w:rPr>
          <w:rFonts w:ascii="Arial" w:eastAsia="Calibri" w:hAnsi="Arial" w:cs="Arial"/>
          <w:sz w:val="22"/>
          <w:szCs w:val="22"/>
          <w:lang w:eastAsia="en-US"/>
        </w:rPr>
        <w:t>gfelelően a kötelező feladatok forrásszükségletét</w:t>
      </w:r>
      <w:r w:rsidRPr="00F671CE">
        <w:rPr>
          <w:rFonts w:ascii="Arial" w:eastAsia="Calibri" w:hAnsi="Arial" w:cs="Arial"/>
          <w:sz w:val="22"/>
          <w:szCs w:val="22"/>
          <w:lang w:eastAsia="en-US"/>
        </w:rPr>
        <w:t xml:space="preserve"> teljes mértékben beterveztük</w:t>
      </w:r>
      <w:r w:rsidR="00B377A7">
        <w:rPr>
          <w:rFonts w:ascii="Arial" w:eastAsia="Calibri" w:hAnsi="Arial" w:cs="Arial"/>
          <w:sz w:val="22"/>
          <w:szCs w:val="22"/>
          <w:lang w:eastAsia="en-US"/>
        </w:rPr>
        <w:t xml:space="preserve">, ugyanakkor </w:t>
      </w:r>
      <w:r w:rsidR="00F671CE" w:rsidRPr="00F671CE">
        <w:rPr>
          <w:rFonts w:ascii="Arial" w:eastAsia="Calibri" w:hAnsi="Arial" w:cs="Arial"/>
          <w:sz w:val="22"/>
          <w:szCs w:val="22"/>
          <w:lang w:eastAsia="en-US"/>
        </w:rPr>
        <w:t>a</w:t>
      </w:r>
      <w:r w:rsidR="00B377A7">
        <w:rPr>
          <w:rFonts w:ascii="Arial" w:eastAsia="Calibri" w:hAnsi="Arial" w:cs="Arial"/>
          <w:sz w:val="22"/>
          <w:szCs w:val="22"/>
          <w:lang w:eastAsia="en-US"/>
        </w:rPr>
        <w:t xml:space="preserve"> számba vett </w:t>
      </w:r>
      <w:r w:rsidR="00F671CE" w:rsidRPr="00F671CE">
        <w:rPr>
          <w:rFonts w:ascii="Arial" w:eastAsia="Calibri" w:hAnsi="Arial" w:cs="Arial"/>
          <w:sz w:val="22"/>
          <w:szCs w:val="22"/>
          <w:lang w:eastAsia="en-US"/>
        </w:rPr>
        <w:t>önké</w:t>
      </w:r>
      <w:r w:rsidR="00517357">
        <w:rPr>
          <w:rFonts w:ascii="Arial" w:eastAsia="Calibri" w:hAnsi="Arial" w:cs="Arial"/>
          <w:sz w:val="22"/>
          <w:szCs w:val="22"/>
          <w:lang w:eastAsia="en-US"/>
        </w:rPr>
        <w:t xml:space="preserve">nt vállalt feladatok </w:t>
      </w:r>
      <w:r w:rsidR="00745290">
        <w:rPr>
          <w:rFonts w:ascii="Arial" w:eastAsia="Calibri" w:hAnsi="Arial" w:cs="Arial"/>
          <w:sz w:val="22"/>
          <w:szCs w:val="22"/>
          <w:lang w:eastAsia="en-US"/>
        </w:rPr>
        <w:t xml:space="preserve">egy részének </w:t>
      </w:r>
      <w:r w:rsidR="00517357">
        <w:rPr>
          <w:rFonts w:ascii="Arial" w:eastAsia="Calibri" w:hAnsi="Arial" w:cs="Arial"/>
          <w:sz w:val="22"/>
          <w:szCs w:val="22"/>
          <w:lang w:eastAsia="en-US"/>
        </w:rPr>
        <w:t xml:space="preserve">fedezetét </w:t>
      </w:r>
      <w:r w:rsidR="00917FFA">
        <w:rPr>
          <w:rFonts w:ascii="Arial" w:eastAsia="Calibri" w:hAnsi="Arial" w:cs="Arial"/>
          <w:sz w:val="22"/>
          <w:szCs w:val="22"/>
          <w:lang w:eastAsia="en-US"/>
        </w:rPr>
        <w:t xml:space="preserve">a </w:t>
      </w:r>
      <w:r w:rsidR="00B377A7">
        <w:rPr>
          <w:rFonts w:ascii="Arial" w:eastAsia="Calibri" w:hAnsi="Arial" w:cs="Arial"/>
          <w:sz w:val="22"/>
          <w:szCs w:val="22"/>
          <w:lang w:eastAsia="en-US"/>
        </w:rPr>
        <w:t xml:space="preserve">saját </w:t>
      </w:r>
      <w:r w:rsidR="002B61CF">
        <w:rPr>
          <w:rFonts w:ascii="Arial" w:eastAsia="Calibri" w:hAnsi="Arial" w:cs="Arial"/>
          <w:sz w:val="22"/>
          <w:szCs w:val="22"/>
          <w:lang w:eastAsia="en-US"/>
        </w:rPr>
        <w:t xml:space="preserve">bevételek realizálódásához köti a </w:t>
      </w:r>
      <w:r w:rsidR="00917FFA">
        <w:rPr>
          <w:rFonts w:ascii="Arial" w:eastAsia="Calibri" w:hAnsi="Arial" w:cs="Arial"/>
          <w:sz w:val="22"/>
          <w:szCs w:val="22"/>
          <w:lang w:eastAsia="en-US"/>
        </w:rPr>
        <w:t>javaslat.</w:t>
      </w:r>
    </w:p>
    <w:p w14:paraId="0BA43BC9" w14:textId="77777777" w:rsidR="006325C2" w:rsidRPr="00F671CE" w:rsidRDefault="006325C2" w:rsidP="006325C2">
      <w:pPr>
        <w:spacing w:line="276" w:lineRule="auto"/>
        <w:rPr>
          <w:rFonts w:ascii="Arial" w:eastAsia="Calibri" w:hAnsi="Arial" w:cs="Arial"/>
          <w:sz w:val="22"/>
          <w:szCs w:val="22"/>
          <w:lang w:eastAsia="en-US"/>
        </w:rPr>
      </w:pPr>
    </w:p>
    <w:p w14:paraId="36965700" w14:textId="549E88F1" w:rsidR="006325C2" w:rsidRPr="00F671CE" w:rsidRDefault="006325C2" w:rsidP="006325C2">
      <w:pPr>
        <w:spacing w:after="160" w:line="276" w:lineRule="auto"/>
        <w:rPr>
          <w:rFonts w:ascii="Arial" w:eastAsia="Calibri" w:hAnsi="Arial" w:cs="Arial"/>
          <w:b/>
          <w:sz w:val="22"/>
          <w:szCs w:val="22"/>
          <w:lang w:eastAsia="en-US"/>
        </w:rPr>
      </w:pPr>
      <w:r w:rsidRPr="00F671CE">
        <w:rPr>
          <w:rFonts w:ascii="Arial" w:eastAsia="Calibri" w:hAnsi="Arial" w:cs="Arial"/>
          <w:b/>
          <w:sz w:val="22"/>
          <w:szCs w:val="22"/>
          <w:lang w:eastAsia="en-US"/>
        </w:rPr>
        <w:t>Az összeállított költségvetés egyensúlyban van</w:t>
      </w:r>
      <w:r w:rsidR="00A53C2B">
        <w:rPr>
          <w:rFonts w:ascii="Arial" w:eastAsia="Calibri" w:hAnsi="Arial" w:cs="Arial"/>
          <w:b/>
          <w:sz w:val="22"/>
          <w:szCs w:val="22"/>
          <w:lang w:eastAsia="en-US"/>
        </w:rPr>
        <w:t>.</w:t>
      </w:r>
    </w:p>
    <w:p w14:paraId="409471B1" w14:textId="63B649C3" w:rsidR="006325C2" w:rsidRPr="00F671CE" w:rsidRDefault="006325C2" w:rsidP="006325C2">
      <w:pPr>
        <w:spacing w:line="276" w:lineRule="auto"/>
        <w:rPr>
          <w:rFonts w:ascii="Arial" w:eastAsia="Calibri" w:hAnsi="Arial" w:cs="Arial"/>
          <w:b/>
          <w:sz w:val="22"/>
          <w:szCs w:val="22"/>
          <w:lang w:eastAsia="en-US"/>
        </w:rPr>
      </w:pPr>
      <w:r w:rsidRPr="00F671CE">
        <w:rPr>
          <w:rFonts w:ascii="Arial" w:eastAsia="Calibri" w:hAnsi="Arial" w:cs="Arial"/>
          <w:b/>
          <w:sz w:val="22"/>
          <w:szCs w:val="22"/>
          <w:lang w:eastAsia="en-US"/>
        </w:rPr>
        <w:tab/>
      </w:r>
      <w:r w:rsidRPr="00F671CE">
        <w:rPr>
          <w:rFonts w:ascii="Arial" w:eastAsia="Calibri" w:hAnsi="Arial" w:cs="Arial"/>
          <w:b/>
          <w:sz w:val="22"/>
          <w:szCs w:val="22"/>
          <w:lang w:eastAsia="en-US"/>
        </w:rPr>
        <w:tab/>
        <w:t>Bev</w:t>
      </w:r>
      <w:r w:rsidR="00F671CE" w:rsidRPr="00F671CE">
        <w:rPr>
          <w:rFonts w:ascii="Arial" w:eastAsia="Calibri" w:hAnsi="Arial" w:cs="Arial"/>
          <w:b/>
          <w:sz w:val="22"/>
          <w:szCs w:val="22"/>
          <w:lang w:eastAsia="en-US"/>
        </w:rPr>
        <w:t>ételek fő</w:t>
      </w:r>
      <w:r w:rsidR="000564D1">
        <w:rPr>
          <w:rFonts w:ascii="Arial" w:eastAsia="Calibri" w:hAnsi="Arial" w:cs="Arial"/>
          <w:b/>
          <w:sz w:val="22"/>
          <w:szCs w:val="22"/>
          <w:lang w:eastAsia="en-US"/>
        </w:rPr>
        <w:t xml:space="preserve"> </w:t>
      </w:r>
      <w:r w:rsidR="00F671CE" w:rsidRPr="00F671CE">
        <w:rPr>
          <w:rFonts w:ascii="Arial" w:eastAsia="Calibri" w:hAnsi="Arial" w:cs="Arial"/>
          <w:b/>
          <w:sz w:val="22"/>
          <w:szCs w:val="22"/>
          <w:lang w:eastAsia="en-US"/>
        </w:rPr>
        <w:t xml:space="preserve">összege </w:t>
      </w:r>
      <w:r w:rsidR="0088524F">
        <w:rPr>
          <w:rFonts w:ascii="Arial" w:eastAsia="Calibri" w:hAnsi="Arial" w:cs="Arial"/>
          <w:b/>
          <w:sz w:val="22"/>
          <w:szCs w:val="22"/>
          <w:lang w:eastAsia="en-US"/>
        </w:rPr>
        <w:t>2 774 766 303</w:t>
      </w:r>
      <w:r w:rsidR="00F671CE" w:rsidRPr="00F671CE">
        <w:rPr>
          <w:rFonts w:ascii="Arial" w:eastAsia="Calibri" w:hAnsi="Arial" w:cs="Arial"/>
          <w:b/>
          <w:sz w:val="22"/>
          <w:szCs w:val="22"/>
          <w:lang w:eastAsia="en-US"/>
        </w:rPr>
        <w:t xml:space="preserve"> </w:t>
      </w:r>
      <w:r w:rsidRPr="00F671CE">
        <w:rPr>
          <w:rFonts w:ascii="Arial" w:eastAsia="Calibri" w:hAnsi="Arial" w:cs="Arial"/>
          <w:b/>
          <w:sz w:val="22"/>
          <w:szCs w:val="22"/>
          <w:lang w:eastAsia="en-US"/>
        </w:rPr>
        <w:t>Ft</w:t>
      </w:r>
    </w:p>
    <w:p w14:paraId="6C82A546" w14:textId="569E7BAC" w:rsidR="006325C2" w:rsidRDefault="006325C2" w:rsidP="006325C2">
      <w:pPr>
        <w:spacing w:line="276" w:lineRule="auto"/>
        <w:rPr>
          <w:rFonts w:ascii="Arial" w:eastAsia="Calibri" w:hAnsi="Arial" w:cs="Arial"/>
          <w:b/>
          <w:sz w:val="22"/>
          <w:szCs w:val="22"/>
          <w:lang w:eastAsia="en-US"/>
        </w:rPr>
      </w:pPr>
      <w:r w:rsidRPr="00F671CE">
        <w:rPr>
          <w:rFonts w:ascii="Arial" w:eastAsia="Calibri" w:hAnsi="Arial" w:cs="Arial"/>
          <w:b/>
          <w:sz w:val="22"/>
          <w:szCs w:val="22"/>
          <w:lang w:eastAsia="en-US"/>
        </w:rPr>
        <w:tab/>
      </w:r>
      <w:r w:rsidR="00745290">
        <w:rPr>
          <w:rFonts w:ascii="Arial" w:eastAsia="Calibri" w:hAnsi="Arial" w:cs="Arial"/>
          <w:b/>
          <w:sz w:val="22"/>
          <w:szCs w:val="22"/>
          <w:lang w:eastAsia="en-US"/>
        </w:rPr>
        <w:t xml:space="preserve">          </w:t>
      </w:r>
      <w:r w:rsidR="0088524F">
        <w:rPr>
          <w:rFonts w:ascii="Arial" w:eastAsia="Calibri" w:hAnsi="Arial" w:cs="Arial"/>
          <w:b/>
          <w:sz w:val="22"/>
          <w:szCs w:val="22"/>
          <w:lang w:eastAsia="en-US"/>
        </w:rPr>
        <w:t xml:space="preserve"> </w:t>
      </w:r>
      <w:r w:rsidR="00A53C2B">
        <w:rPr>
          <w:rFonts w:ascii="Arial" w:eastAsia="Calibri" w:hAnsi="Arial" w:cs="Arial"/>
          <w:b/>
          <w:sz w:val="22"/>
          <w:szCs w:val="22"/>
          <w:lang w:eastAsia="en-US"/>
        </w:rPr>
        <w:t xml:space="preserve"> </w:t>
      </w:r>
      <w:r w:rsidRPr="00F671CE">
        <w:rPr>
          <w:rFonts w:ascii="Arial" w:eastAsia="Calibri" w:hAnsi="Arial" w:cs="Arial"/>
          <w:b/>
          <w:sz w:val="22"/>
          <w:szCs w:val="22"/>
          <w:lang w:eastAsia="en-US"/>
        </w:rPr>
        <w:t>K</w:t>
      </w:r>
      <w:r w:rsidR="00F671CE" w:rsidRPr="00F671CE">
        <w:rPr>
          <w:rFonts w:ascii="Arial" w:eastAsia="Calibri" w:hAnsi="Arial" w:cs="Arial"/>
          <w:b/>
          <w:sz w:val="22"/>
          <w:szCs w:val="22"/>
          <w:lang w:eastAsia="en-US"/>
        </w:rPr>
        <w:t>iadások fő</w:t>
      </w:r>
      <w:r w:rsidR="000564D1">
        <w:rPr>
          <w:rFonts w:ascii="Arial" w:eastAsia="Calibri" w:hAnsi="Arial" w:cs="Arial"/>
          <w:b/>
          <w:sz w:val="22"/>
          <w:szCs w:val="22"/>
          <w:lang w:eastAsia="en-US"/>
        </w:rPr>
        <w:t xml:space="preserve"> </w:t>
      </w:r>
      <w:r w:rsidR="00F671CE" w:rsidRPr="00F671CE">
        <w:rPr>
          <w:rFonts w:ascii="Arial" w:eastAsia="Calibri" w:hAnsi="Arial" w:cs="Arial"/>
          <w:b/>
          <w:sz w:val="22"/>
          <w:szCs w:val="22"/>
          <w:lang w:eastAsia="en-US"/>
        </w:rPr>
        <w:t>összege</w:t>
      </w:r>
      <w:r w:rsidR="00A53C2B">
        <w:rPr>
          <w:rFonts w:ascii="Arial" w:eastAsia="Calibri" w:hAnsi="Arial" w:cs="Arial"/>
          <w:b/>
          <w:sz w:val="22"/>
          <w:szCs w:val="22"/>
          <w:lang w:eastAsia="en-US"/>
        </w:rPr>
        <w:t xml:space="preserve"> </w:t>
      </w:r>
      <w:r w:rsidR="0088524F">
        <w:rPr>
          <w:rFonts w:ascii="Arial" w:eastAsia="Calibri" w:hAnsi="Arial" w:cs="Arial"/>
          <w:b/>
          <w:sz w:val="22"/>
          <w:szCs w:val="22"/>
          <w:lang w:eastAsia="en-US"/>
        </w:rPr>
        <w:t>2 774 766 303</w:t>
      </w:r>
      <w:r w:rsidRPr="00F671CE">
        <w:rPr>
          <w:rFonts w:ascii="Arial" w:eastAsia="Calibri" w:hAnsi="Arial" w:cs="Arial"/>
          <w:b/>
          <w:sz w:val="22"/>
          <w:szCs w:val="22"/>
          <w:lang w:eastAsia="en-US"/>
        </w:rPr>
        <w:t xml:space="preserve"> Ft.</w:t>
      </w:r>
    </w:p>
    <w:p w14:paraId="0B392138" w14:textId="77777777" w:rsidR="0084217A" w:rsidRDefault="0084217A" w:rsidP="00EF3458">
      <w:pPr>
        <w:spacing w:after="160" w:line="276" w:lineRule="auto"/>
        <w:jc w:val="both"/>
        <w:rPr>
          <w:rFonts w:ascii="Arial" w:eastAsia="Calibri" w:hAnsi="Arial" w:cs="Arial"/>
          <w:b/>
          <w:sz w:val="22"/>
          <w:szCs w:val="22"/>
          <w:lang w:eastAsia="en-US"/>
        </w:rPr>
      </w:pPr>
    </w:p>
    <w:p w14:paraId="2C86DDE1" w14:textId="2060F048" w:rsidR="006325C2" w:rsidRPr="00F671CE" w:rsidRDefault="006325C2" w:rsidP="00EF3458">
      <w:pPr>
        <w:spacing w:after="160" w:line="276" w:lineRule="auto"/>
        <w:jc w:val="both"/>
        <w:rPr>
          <w:rFonts w:ascii="Arial" w:eastAsia="Calibri" w:hAnsi="Arial" w:cs="Arial"/>
          <w:b/>
          <w:sz w:val="22"/>
          <w:szCs w:val="22"/>
          <w:lang w:eastAsia="en-US"/>
        </w:rPr>
      </w:pPr>
      <w:r w:rsidRPr="00F671CE">
        <w:rPr>
          <w:rFonts w:ascii="Arial" w:eastAsia="Calibri" w:hAnsi="Arial" w:cs="Arial"/>
          <w:b/>
          <w:sz w:val="22"/>
          <w:szCs w:val="22"/>
          <w:lang w:eastAsia="en-US"/>
        </w:rPr>
        <w:t>Az Önkormányzat kötelező és önként vállalt feladatai</w:t>
      </w:r>
    </w:p>
    <w:p w14:paraId="7F738955" w14:textId="026ACD6B" w:rsidR="00E62BE6" w:rsidRPr="00F57834" w:rsidRDefault="006325C2" w:rsidP="00F57834">
      <w:pPr>
        <w:spacing w:line="276" w:lineRule="auto"/>
        <w:jc w:val="both"/>
        <w:rPr>
          <w:rFonts w:ascii="Arial" w:hAnsi="Arial" w:cs="Arial"/>
          <w:sz w:val="22"/>
          <w:szCs w:val="22"/>
        </w:rPr>
      </w:pPr>
      <w:r w:rsidRPr="008A1398">
        <w:rPr>
          <w:rFonts w:ascii="Arial" w:hAnsi="Arial" w:cs="Arial"/>
          <w:sz w:val="22"/>
          <w:szCs w:val="22"/>
        </w:rPr>
        <w:t>Báta</w:t>
      </w:r>
      <w:r w:rsidR="0044466D" w:rsidRPr="008A1398">
        <w:rPr>
          <w:rFonts w:ascii="Arial" w:hAnsi="Arial" w:cs="Arial"/>
          <w:sz w:val="22"/>
          <w:szCs w:val="22"/>
        </w:rPr>
        <w:t xml:space="preserve">szék Város Önkormányzatának </w:t>
      </w:r>
      <w:r w:rsidR="008A1398">
        <w:rPr>
          <w:rFonts w:ascii="Arial" w:hAnsi="Arial" w:cs="Arial"/>
          <w:sz w:val="22"/>
          <w:szCs w:val="22"/>
        </w:rPr>
        <w:t xml:space="preserve">a </w:t>
      </w:r>
      <w:r w:rsidR="0044466D" w:rsidRPr="008A1398">
        <w:rPr>
          <w:rFonts w:ascii="Arial" w:hAnsi="Arial" w:cs="Arial"/>
          <w:sz w:val="22"/>
          <w:szCs w:val="22"/>
        </w:rPr>
        <w:t>202</w:t>
      </w:r>
      <w:r w:rsidR="000B3531">
        <w:rPr>
          <w:rFonts w:ascii="Arial" w:hAnsi="Arial" w:cs="Arial"/>
          <w:sz w:val="22"/>
          <w:szCs w:val="22"/>
        </w:rPr>
        <w:t>5</w:t>
      </w:r>
      <w:r w:rsidRPr="008A1398">
        <w:rPr>
          <w:rFonts w:ascii="Arial" w:hAnsi="Arial" w:cs="Arial"/>
          <w:sz w:val="22"/>
          <w:szCs w:val="22"/>
        </w:rPr>
        <w:t>. évi költségvetés</w:t>
      </w:r>
      <w:r w:rsidR="008A1398">
        <w:rPr>
          <w:rFonts w:ascii="Arial" w:hAnsi="Arial" w:cs="Arial"/>
          <w:sz w:val="22"/>
          <w:szCs w:val="22"/>
        </w:rPr>
        <w:t>i</w:t>
      </w:r>
      <w:r w:rsidRPr="008A1398">
        <w:rPr>
          <w:rFonts w:ascii="Arial" w:hAnsi="Arial" w:cs="Arial"/>
          <w:sz w:val="22"/>
          <w:szCs w:val="22"/>
        </w:rPr>
        <w:t xml:space="preserve"> tervezetében szereplő bevételek és kiadások a törvényi előírásnak megfelelően a</w:t>
      </w:r>
      <w:r w:rsidR="008A1398">
        <w:rPr>
          <w:rFonts w:ascii="Arial" w:hAnsi="Arial" w:cs="Arial"/>
          <w:sz w:val="22"/>
          <w:szCs w:val="22"/>
        </w:rPr>
        <w:t>z államháztartás számviteléről szóló</w:t>
      </w:r>
      <w:r w:rsidRPr="008A1398">
        <w:rPr>
          <w:rFonts w:ascii="Arial" w:hAnsi="Arial" w:cs="Arial"/>
          <w:sz w:val="22"/>
          <w:szCs w:val="22"/>
        </w:rPr>
        <w:t xml:space="preserve"> 4/2013. (I.11.) kormányrendelet</w:t>
      </w:r>
      <w:r w:rsidR="008A1398">
        <w:rPr>
          <w:rFonts w:ascii="Arial" w:hAnsi="Arial" w:cs="Arial"/>
          <w:sz w:val="22"/>
          <w:szCs w:val="22"/>
        </w:rPr>
        <w:t xml:space="preserve">ben </w:t>
      </w:r>
      <w:r w:rsidRPr="008A1398">
        <w:rPr>
          <w:rFonts w:ascii="Arial" w:hAnsi="Arial" w:cs="Arial"/>
          <w:sz w:val="22"/>
          <w:szCs w:val="22"/>
        </w:rPr>
        <w:t xml:space="preserve">meghatározott rovatrend szerint kerültek </w:t>
      </w:r>
      <w:r w:rsidR="0044466D" w:rsidRPr="008A1398">
        <w:rPr>
          <w:rFonts w:ascii="Arial" w:hAnsi="Arial" w:cs="Arial"/>
          <w:sz w:val="22"/>
          <w:szCs w:val="22"/>
        </w:rPr>
        <w:t>megtervezésre</w:t>
      </w:r>
      <w:r w:rsidR="00A53C2B" w:rsidRPr="008A1398">
        <w:rPr>
          <w:rFonts w:ascii="Arial" w:hAnsi="Arial" w:cs="Arial"/>
          <w:sz w:val="22"/>
          <w:szCs w:val="22"/>
        </w:rPr>
        <w:t>. A kiemelt előirányzatok szerint részletezett</w:t>
      </w:r>
      <w:r w:rsidR="00384BC9" w:rsidRPr="008A1398">
        <w:rPr>
          <w:rFonts w:ascii="Arial" w:hAnsi="Arial" w:cs="Arial"/>
          <w:sz w:val="22"/>
          <w:szCs w:val="22"/>
        </w:rPr>
        <w:t xml:space="preserve"> </w:t>
      </w:r>
      <w:r w:rsidR="00A53C2B" w:rsidRPr="008A1398">
        <w:rPr>
          <w:rFonts w:ascii="Arial" w:hAnsi="Arial" w:cs="Arial"/>
          <w:sz w:val="22"/>
          <w:szCs w:val="22"/>
        </w:rPr>
        <w:t>költségvetési adatokat</w:t>
      </w:r>
      <w:r w:rsidR="0044466D" w:rsidRPr="008A1398">
        <w:rPr>
          <w:rFonts w:ascii="Arial" w:hAnsi="Arial" w:cs="Arial"/>
          <w:sz w:val="22"/>
          <w:szCs w:val="22"/>
        </w:rPr>
        <w:t xml:space="preserve"> az 1. </w:t>
      </w:r>
      <w:r w:rsidRPr="008A1398">
        <w:rPr>
          <w:rFonts w:ascii="Arial" w:hAnsi="Arial" w:cs="Arial"/>
          <w:sz w:val="22"/>
          <w:szCs w:val="22"/>
        </w:rPr>
        <w:t>melléklet</w:t>
      </w:r>
      <w:r w:rsidR="00A53C2B" w:rsidRPr="008A1398">
        <w:rPr>
          <w:rFonts w:ascii="Arial" w:hAnsi="Arial" w:cs="Arial"/>
          <w:sz w:val="22"/>
          <w:szCs w:val="22"/>
        </w:rPr>
        <w:t>, az</w:t>
      </w:r>
      <w:r w:rsidRPr="008A1398">
        <w:rPr>
          <w:rFonts w:ascii="Arial" w:hAnsi="Arial" w:cs="Arial"/>
          <w:sz w:val="22"/>
          <w:szCs w:val="22"/>
        </w:rPr>
        <w:t xml:space="preserve"> 1.2, </w:t>
      </w:r>
      <w:r w:rsidR="00A53C2B" w:rsidRPr="008A1398">
        <w:rPr>
          <w:rFonts w:ascii="Arial" w:hAnsi="Arial" w:cs="Arial"/>
          <w:sz w:val="22"/>
          <w:szCs w:val="22"/>
        </w:rPr>
        <w:t xml:space="preserve">az </w:t>
      </w:r>
      <w:r w:rsidRPr="008A1398">
        <w:rPr>
          <w:rFonts w:ascii="Arial" w:hAnsi="Arial" w:cs="Arial"/>
          <w:sz w:val="22"/>
          <w:szCs w:val="22"/>
        </w:rPr>
        <w:t xml:space="preserve">1.3 és </w:t>
      </w:r>
      <w:r w:rsidR="00A53C2B" w:rsidRPr="008A1398">
        <w:rPr>
          <w:rFonts w:ascii="Arial" w:hAnsi="Arial" w:cs="Arial"/>
          <w:sz w:val="22"/>
          <w:szCs w:val="22"/>
        </w:rPr>
        <w:t xml:space="preserve">az </w:t>
      </w:r>
      <w:r w:rsidRPr="008A1398">
        <w:rPr>
          <w:rFonts w:ascii="Arial" w:hAnsi="Arial" w:cs="Arial"/>
          <w:sz w:val="22"/>
          <w:szCs w:val="22"/>
        </w:rPr>
        <w:t xml:space="preserve">1.4 </w:t>
      </w:r>
      <w:r w:rsidR="00A53C2B" w:rsidRPr="008A1398">
        <w:rPr>
          <w:rFonts w:ascii="Arial" w:hAnsi="Arial" w:cs="Arial"/>
          <w:sz w:val="22"/>
          <w:szCs w:val="22"/>
        </w:rPr>
        <w:t>melléklet</w:t>
      </w:r>
      <w:r w:rsidRPr="008A1398">
        <w:rPr>
          <w:rFonts w:ascii="Arial" w:hAnsi="Arial" w:cs="Arial"/>
          <w:sz w:val="22"/>
          <w:szCs w:val="22"/>
        </w:rPr>
        <w:t xml:space="preserve"> </w:t>
      </w:r>
      <w:r w:rsidR="00337B20">
        <w:rPr>
          <w:rFonts w:ascii="Arial" w:hAnsi="Arial" w:cs="Arial"/>
          <w:sz w:val="22"/>
          <w:szCs w:val="22"/>
        </w:rPr>
        <w:t>részletez</w:t>
      </w:r>
      <w:r w:rsidR="008A1398">
        <w:rPr>
          <w:rFonts w:ascii="Arial" w:hAnsi="Arial" w:cs="Arial"/>
          <w:sz w:val="22"/>
          <w:szCs w:val="22"/>
        </w:rPr>
        <w:t>. A</w:t>
      </w:r>
      <w:r w:rsidR="00850894">
        <w:rPr>
          <w:rFonts w:ascii="Arial" w:hAnsi="Arial" w:cs="Arial"/>
          <w:sz w:val="22"/>
          <w:szCs w:val="22"/>
        </w:rPr>
        <w:t xml:space="preserve"> </w:t>
      </w:r>
      <w:r w:rsidR="00337B20">
        <w:rPr>
          <w:rFonts w:ascii="Arial" w:hAnsi="Arial" w:cs="Arial"/>
          <w:sz w:val="22"/>
          <w:szCs w:val="22"/>
        </w:rPr>
        <w:t xml:space="preserve">tervezett előirányzatok </w:t>
      </w:r>
      <w:r w:rsidR="00337B20">
        <w:rPr>
          <w:rFonts w:ascii="Arial" w:eastAsia="Calibri" w:hAnsi="Arial" w:cs="Arial"/>
          <w:sz w:val="22"/>
          <w:szCs w:val="22"/>
          <w:lang w:eastAsia="en-US"/>
        </w:rPr>
        <w:t>k</w:t>
      </w:r>
      <w:r w:rsidRPr="00F671CE">
        <w:rPr>
          <w:rFonts w:ascii="Arial" w:eastAsia="Calibri" w:hAnsi="Arial" w:cs="Arial"/>
          <w:sz w:val="22"/>
          <w:szCs w:val="22"/>
          <w:lang w:eastAsia="en-US"/>
        </w:rPr>
        <w:t>ö</w:t>
      </w:r>
      <w:r w:rsidR="0044466D">
        <w:rPr>
          <w:rFonts w:ascii="Arial" w:eastAsia="Calibri" w:hAnsi="Arial" w:cs="Arial"/>
          <w:sz w:val="22"/>
          <w:szCs w:val="22"/>
          <w:lang w:eastAsia="en-US"/>
        </w:rPr>
        <w:t>telező feladatok</w:t>
      </w:r>
      <w:r w:rsidR="00337B20">
        <w:rPr>
          <w:rFonts w:ascii="Arial" w:eastAsia="Calibri" w:hAnsi="Arial" w:cs="Arial"/>
          <w:sz w:val="22"/>
          <w:szCs w:val="22"/>
          <w:lang w:eastAsia="en-US"/>
        </w:rPr>
        <w:t>,</w:t>
      </w:r>
      <w:r w:rsidR="0044466D">
        <w:rPr>
          <w:rFonts w:ascii="Arial" w:eastAsia="Calibri" w:hAnsi="Arial" w:cs="Arial"/>
          <w:sz w:val="22"/>
          <w:szCs w:val="22"/>
          <w:lang w:eastAsia="en-US"/>
        </w:rPr>
        <w:t xml:space="preserve"> </w:t>
      </w:r>
      <w:r w:rsidR="00337B20">
        <w:rPr>
          <w:rFonts w:ascii="Arial" w:eastAsia="Calibri" w:hAnsi="Arial" w:cs="Arial"/>
          <w:sz w:val="22"/>
          <w:szCs w:val="22"/>
          <w:lang w:eastAsia="en-US"/>
        </w:rPr>
        <w:t>ö</w:t>
      </w:r>
      <w:r w:rsidR="0044466D">
        <w:rPr>
          <w:rFonts w:ascii="Arial" w:eastAsia="Calibri" w:hAnsi="Arial" w:cs="Arial"/>
          <w:sz w:val="22"/>
          <w:szCs w:val="22"/>
          <w:lang w:eastAsia="en-US"/>
        </w:rPr>
        <w:t>nként vállalt feladatok</w:t>
      </w:r>
      <w:r w:rsidR="00E62BE6">
        <w:rPr>
          <w:rFonts w:ascii="Arial" w:eastAsia="Calibri" w:hAnsi="Arial" w:cs="Arial"/>
          <w:sz w:val="22"/>
          <w:szCs w:val="22"/>
          <w:lang w:eastAsia="en-US"/>
        </w:rPr>
        <w:t>, valamint á</w:t>
      </w:r>
      <w:r w:rsidRPr="00F671CE">
        <w:rPr>
          <w:rFonts w:ascii="Arial" w:eastAsia="Calibri" w:hAnsi="Arial" w:cs="Arial"/>
          <w:sz w:val="22"/>
          <w:szCs w:val="22"/>
          <w:lang w:eastAsia="en-US"/>
        </w:rPr>
        <w:t>l</w:t>
      </w:r>
      <w:r w:rsidR="0044466D">
        <w:rPr>
          <w:rFonts w:ascii="Arial" w:eastAsia="Calibri" w:hAnsi="Arial" w:cs="Arial"/>
          <w:sz w:val="22"/>
          <w:szCs w:val="22"/>
          <w:lang w:eastAsia="en-US"/>
        </w:rPr>
        <w:t xml:space="preserve">lamigazgatási feladatok </w:t>
      </w:r>
      <w:r w:rsidR="00E62BE6">
        <w:rPr>
          <w:rFonts w:ascii="Arial" w:eastAsia="Calibri" w:hAnsi="Arial" w:cs="Arial"/>
          <w:sz w:val="22"/>
          <w:szCs w:val="22"/>
          <w:lang w:eastAsia="en-US"/>
        </w:rPr>
        <w:t>bontásban</w:t>
      </w:r>
      <w:r w:rsidR="008A1398">
        <w:rPr>
          <w:rFonts w:ascii="Arial" w:eastAsia="Calibri" w:hAnsi="Arial" w:cs="Arial"/>
          <w:sz w:val="22"/>
          <w:szCs w:val="22"/>
          <w:lang w:eastAsia="en-US"/>
        </w:rPr>
        <w:t xml:space="preserve"> is bemutatásra kerülnek.</w:t>
      </w:r>
    </w:p>
    <w:p w14:paraId="5AC62C34" w14:textId="4115F935" w:rsidR="00E62BE6" w:rsidRDefault="00E62BE6" w:rsidP="00EF3458">
      <w:pPr>
        <w:spacing w:after="160" w:line="276" w:lineRule="auto"/>
        <w:rPr>
          <w:rFonts w:ascii="Arial" w:eastAsia="Calibri" w:hAnsi="Arial" w:cs="Arial"/>
          <w:b/>
          <w:sz w:val="22"/>
          <w:szCs w:val="22"/>
          <w:lang w:eastAsia="en-US"/>
        </w:rPr>
      </w:pPr>
    </w:p>
    <w:p w14:paraId="03062B0B" w14:textId="1EADEEBC" w:rsidR="00343350" w:rsidRDefault="00343350" w:rsidP="00EF3458">
      <w:pPr>
        <w:spacing w:after="160" w:line="276" w:lineRule="auto"/>
        <w:rPr>
          <w:rFonts w:ascii="Arial" w:eastAsia="Calibri" w:hAnsi="Arial" w:cs="Arial"/>
          <w:b/>
          <w:sz w:val="22"/>
          <w:szCs w:val="22"/>
          <w:lang w:eastAsia="en-US"/>
        </w:rPr>
      </w:pPr>
    </w:p>
    <w:p w14:paraId="11AC5C72" w14:textId="425B6347" w:rsidR="00343350" w:rsidRDefault="00343350" w:rsidP="00EF3458">
      <w:pPr>
        <w:spacing w:after="160" w:line="276" w:lineRule="auto"/>
        <w:rPr>
          <w:rFonts w:ascii="Arial" w:eastAsia="Calibri" w:hAnsi="Arial" w:cs="Arial"/>
          <w:b/>
          <w:sz w:val="22"/>
          <w:szCs w:val="22"/>
          <w:lang w:eastAsia="en-US"/>
        </w:rPr>
      </w:pPr>
    </w:p>
    <w:p w14:paraId="46FC83FE" w14:textId="77777777" w:rsidR="00704B8B" w:rsidRDefault="00704B8B" w:rsidP="00EF3458">
      <w:pPr>
        <w:spacing w:after="160" w:line="276" w:lineRule="auto"/>
        <w:rPr>
          <w:rFonts w:ascii="Arial" w:eastAsia="Calibri" w:hAnsi="Arial" w:cs="Arial"/>
          <w:b/>
          <w:sz w:val="22"/>
          <w:szCs w:val="22"/>
          <w:lang w:eastAsia="en-US"/>
        </w:rPr>
      </w:pPr>
    </w:p>
    <w:p w14:paraId="644078C5" w14:textId="538ACCD5" w:rsidR="006325C2" w:rsidRPr="00FA172D" w:rsidRDefault="006325C2" w:rsidP="00EF3458">
      <w:pPr>
        <w:spacing w:after="160" w:line="276" w:lineRule="auto"/>
        <w:rPr>
          <w:rFonts w:ascii="Arial" w:eastAsia="Calibri" w:hAnsi="Arial" w:cs="Arial"/>
          <w:b/>
          <w:sz w:val="22"/>
          <w:szCs w:val="22"/>
          <w:u w:val="single"/>
          <w:lang w:eastAsia="en-US"/>
        </w:rPr>
      </w:pPr>
      <w:r w:rsidRPr="00FA172D">
        <w:rPr>
          <w:rFonts w:ascii="Arial" w:eastAsia="Calibri" w:hAnsi="Arial" w:cs="Arial"/>
          <w:b/>
          <w:sz w:val="22"/>
          <w:szCs w:val="22"/>
          <w:u w:val="single"/>
          <w:lang w:eastAsia="en-US"/>
        </w:rPr>
        <w:t xml:space="preserve">Az Önkormányzat </w:t>
      </w:r>
      <w:proofErr w:type="gramStart"/>
      <w:r w:rsidR="00C02C27">
        <w:rPr>
          <w:rFonts w:ascii="Arial" w:eastAsia="Calibri" w:hAnsi="Arial" w:cs="Arial"/>
          <w:b/>
          <w:sz w:val="22"/>
          <w:szCs w:val="22"/>
          <w:u w:val="single"/>
          <w:lang w:eastAsia="en-US"/>
        </w:rPr>
        <w:t>konszolidált</w:t>
      </w:r>
      <w:proofErr w:type="gramEnd"/>
      <w:r w:rsidR="00C02C27">
        <w:rPr>
          <w:rFonts w:ascii="Arial" w:eastAsia="Calibri" w:hAnsi="Arial" w:cs="Arial"/>
          <w:b/>
          <w:sz w:val="22"/>
          <w:szCs w:val="22"/>
          <w:u w:val="single"/>
          <w:lang w:eastAsia="en-US"/>
        </w:rPr>
        <w:t xml:space="preserve"> adatai szerinti </w:t>
      </w:r>
      <w:r w:rsidRPr="00FA172D">
        <w:rPr>
          <w:rFonts w:ascii="Arial" w:eastAsia="Calibri" w:hAnsi="Arial" w:cs="Arial"/>
          <w:b/>
          <w:sz w:val="22"/>
          <w:szCs w:val="22"/>
          <w:u w:val="single"/>
          <w:lang w:eastAsia="en-US"/>
        </w:rPr>
        <w:t>költségvetés</w:t>
      </w:r>
      <w:r w:rsidR="00C02C27">
        <w:rPr>
          <w:rFonts w:ascii="Arial" w:eastAsia="Calibri" w:hAnsi="Arial" w:cs="Arial"/>
          <w:b/>
          <w:sz w:val="22"/>
          <w:szCs w:val="22"/>
          <w:u w:val="single"/>
          <w:lang w:eastAsia="en-US"/>
        </w:rPr>
        <w:t xml:space="preserve"> </w:t>
      </w:r>
      <w:r w:rsidRPr="00FA172D">
        <w:rPr>
          <w:rFonts w:ascii="Arial" w:eastAsia="Calibri" w:hAnsi="Arial" w:cs="Arial"/>
          <w:b/>
          <w:sz w:val="22"/>
          <w:szCs w:val="22"/>
          <w:u w:val="single"/>
          <w:lang w:eastAsia="en-US"/>
        </w:rPr>
        <w:t>előirányzata</w:t>
      </w:r>
      <w:r w:rsidR="00E62BE6" w:rsidRPr="00FA172D">
        <w:rPr>
          <w:rFonts w:ascii="Arial" w:eastAsia="Calibri" w:hAnsi="Arial" w:cs="Arial"/>
          <w:b/>
          <w:sz w:val="22"/>
          <w:szCs w:val="22"/>
          <w:u w:val="single"/>
          <w:lang w:eastAsia="en-US"/>
        </w:rPr>
        <w:t>i</w:t>
      </w:r>
    </w:p>
    <w:p w14:paraId="186608CB" w14:textId="77777777" w:rsidR="006325C2" w:rsidRPr="00E40A56" w:rsidRDefault="006325C2" w:rsidP="006325C2">
      <w:pPr>
        <w:spacing w:after="160" w:line="276" w:lineRule="auto"/>
        <w:rPr>
          <w:rFonts w:ascii="Arial" w:eastAsia="Calibri" w:hAnsi="Arial" w:cs="Arial"/>
          <w:b/>
          <w:sz w:val="22"/>
          <w:szCs w:val="22"/>
          <w:lang w:eastAsia="en-US"/>
        </w:rPr>
      </w:pPr>
      <w:r w:rsidRPr="00E40A56">
        <w:rPr>
          <w:rFonts w:ascii="Arial" w:eastAsia="Calibri" w:hAnsi="Arial" w:cs="Arial"/>
          <w:b/>
          <w:sz w:val="22"/>
          <w:szCs w:val="22"/>
          <w:lang w:eastAsia="en-US"/>
        </w:rPr>
        <w:t>BEVÉTELEK:</w:t>
      </w:r>
    </w:p>
    <w:p w14:paraId="1D6C0474" w14:textId="77777777" w:rsidR="006325C2" w:rsidRDefault="006325C2" w:rsidP="006325C2">
      <w:pPr>
        <w:spacing w:before="120" w:line="276" w:lineRule="auto"/>
        <w:jc w:val="both"/>
        <w:rPr>
          <w:rFonts w:ascii="Arial" w:hAnsi="Arial" w:cs="Arial"/>
          <w:sz w:val="22"/>
          <w:szCs w:val="22"/>
        </w:rPr>
      </w:pPr>
      <w:r w:rsidRPr="00E40A56">
        <w:rPr>
          <w:rFonts w:ascii="Arial" w:hAnsi="Arial" w:cs="Arial"/>
          <w:sz w:val="22"/>
          <w:szCs w:val="22"/>
        </w:rPr>
        <w:t>A költségvetési rendeletben szereplő bevételi jogcímek részletezése:</w:t>
      </w:r>
    </w:p>
    <w:p w14:paraId="07462768" w14:textId="5918EFEA" w:rsidR="000B3531" w:rsidRPr="00E40A56" w:rsidRDefault="000B3531" w:rsidP="006325C2">
      <w:pPr>
        <w:spacing w:before="120" w:line="276" w:lineRule="auto"/>
        <w:jc w:val="both"/>
        <w:rPr>
          <w:rFonts w:ascii="Arial" w:hAnsi="Arial" w:cs="Arial"/>
          <w:sz w:val="22"/>
          <w:szCs w:val="22"/>
        </w:rPr>
      </w:pPr>
      <w:r>
        <w:rPr>
          <w:rFonts w:ascii="Arial" w:hAnsi="Arial" w:cs="Arial"/>
          <w:sz w:val="22"/>
          <w:szCs w:val="22"/>
        </w:rPr>
        <w:t xml:space="preserve">                                                                                                         </w:t>
      </w:r>
      <w:r w:rsidR="00CA5CB1">
        <w:rPr>
          <w:rFonts w:ascii="Arial" w:hAnsi="Arial" w:cs="Arial"/>
          <w:sz w:val="22"/>
          <w:szCs w:val="22"/>
        </w:rPr>
        <w:t xml:space="preserve">               </w:t>
      </w:r>
      <w:r>
        <w:rPr>
          <w:rFonts w:ascii="Arial" w:hAnsi="Arial" w:cs="Arial"/>
          <w:sz w:val="22"/>
          <w:szCs w:val="22"/>
        </w:rPr>
        <w:t xml:space="preserve">    Ft-ban</w:t>
      </w:r>
    </w:p>
    <w:p w14:paraId="53F38C2A" w14:textId="77777777" w:rsidR="006325C2" w:rsidRPr="00AE7B18" w:rsidRDefault="006325C2" w:rsidP="006325C2">
      <w:pPr>
        <w:spacing w:before="120" w:line="276" w:lineRule="auto"/>
        <w:jc w:val="both"/>
        <w:rPr>
          <w:rFonts w:ascii="Arial" w:hAnsi="Arial" w:cs="Arial"/>
          <w:b/>
          <w:sz w:val="22"/>
          <w:szCs w:val="22"/>
          <w:highlight w:val="yellow"/>
          <w:u w:val="single"/>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3016"/>
      </w:tblGrid>
      <w:tr w:rsidR="006325C2" w:rsidRPr="00AE7B18" w14:paraId="02CF0296" w14:textId="77777777" w:rsidTr="006325C2">
        <w:tc>
          <w:tcPr>
            <w:tcW w:w="4605" w:type="dxa"/>
            <w:tcBorders>
              <w:top w:val="single" w:sz="4" w:space="0" w:color="auto"/>
              <w:left w:val="single" w:sz="4" w:space="0" w:color="auto"/>
              <w:bottom w:val="single" w:sz="4" w:space="0" w:color="auto"/>
              <w:right w:val="single" w:sz="4" w:space="0" w:color="auto"/>
            </w:tcBorders>
            <w:hideMark/>
          </w:tcPr>
          <w:p w14:paraId="4154FFAC" w14:textId="77777777" w:rsidR="006325C2" w:rsidRPr="00740B27" w:rsidRDefault="006325C2">
            <w:pPr>
              <w:spacing w:line="276" w:lineRule="auto"/>
              <w:rPr>
                <w:rFonts w:ascii="Arial" w:hAnsi="Arial" w:cs="Arial"/>
                <w:b/>
                <w:sz w:val="22"/>
                <w:szCs w:val="22"/>
                <w:u w:val="single"/>
              </w:rPr>
            </w:pPr>
            <w:r w:rsidRPr="00740B27">
              <w:rPr>
                <w:rFonts w:ascii="Arial" w:hAnsi="Arial" w:cs="Arial"/>
                <w:sz w:val="22"/>
                <w:szCs w:val="22"/>
              </w:rPr>
              <w:t>Működési célú támogatások államháztartáson belülről</w:t>
            </w:r>
          </w:p>
        </w:tc>
        <w:tc>
          <w:tcPr>
            <w:tcW w:w="3016" w:type="dxa"/>
            <w:tcBorders>
              <w:top w:val="single" w:sz="4" w:space="0" w:color="auto"/>
              <w:left w:val="single" w:sz="4" w:space="0" w:color="auto"/>
              <w:bottom w:val="single" w:sz="4" w:space="0" w:color="auto"/>
              <w:right w:val="single" w:sz="4" w:space="0" w:color="auto"/>
            </w:tcBorders>
            <w:hideMark/>
          </w:tcPr>
          <w:p w14:paraId="74E15035" w14:textId="42011636" w:rsidR="006325C2" w:rsidRPr="00740B27" w:rsidRDefault="000B3531" w:rsidP="000B3531">
            <w:pPr>
              <w:spacing w:line="276" w:lineRule="auto"/>
              <w:jc w:val="right"/>
              <w:rPr>
                <w:rFonts w:ascii="Arial" w:hAnsi="Arial" w:cs="Arial"/>
                <w:sz w:val="22"/>
                <w:szCs w:val="22"/>
              </w:rPr>
            </w:pPr>
            <w:r w:rsidRPr="000B3531">
              <w:rPr>
                <w:rFonts w:ascii="Arial" w:hAnsi="Arial" w:cs="Arial"/>
                <w:sz w:val="22"/>
                <w:szCs w:val="22"/>
              </w:rPr>
              <w:t>1 106 665</w:t>
            </w:r>
            <w:r>
              <w:rPr>
                <w:rFonts w:ascii="Arial" w:hAnsi="Arial" w:cs="Arial"/>
                <w:sz w:val="22"/>
                <w:szCs w:val="22"/>
              </w:rPr>
              <w:t> </w:t>
            </w:r>
            <w:r w:rsidRPr="000B3531">
              <w:rPr>
                <w:rFonts w:ascii="Arial" w:hAnsi="Arial" w:cs="Arial"/>
                <w:sz w:val="22"/>
                <w:szCs w:val="22"/>
              </w:rPr>
              <w:t>269</w:t>
            </w:r>
            <w:r>
              <w:rPr>
                <w:rFonts w:ascii="Arial" w:hAnsi="Arial" w:cs="Arial"/>
                <w:sz w:val="22"/>
                <w:szCs w:val="22"/>
              </w:rPr>
              <w:t xml:space="preserve"> </w:t>
            </w:r>
          </w:p>
        </w:tc>
      </w:tr>
      <w:tr w:rsidR="006325C2" w:rsidRPr="00AE7B18" w14:paraId="5AD048B6" w14:textId="77777777" w:rsidTr="006325C2">
        <w:tc>
          <w:tcPr>
            <w:tcW w:w="4605" w:type="dxa"/>
            <w:tcBorders>
              <w:top w:val="single" w:sz="4" w:space="0" w:color="auto"/>
              <w:left w:val="single" w:sz="4" w:space="0" w:color="auto"/>
              <w:bottom w:val="single" w:sz="4" w:space="0" w:color="auto"/>
              <w:right w:val="single" w:sz="4" w:space="0" w:color="auto"/>
            </w:tcBorders>
            <w:hideMark/>
          </w:tcPr>
          <w:p w14:paraId="5AA2D562" w14:textId="77777777" w:rsidR="006325C2" w:rsidRPr="00740B27" w:rsidRDefault="006325C2">
            <w:pPr>
              <w:spacing w:line="276" w:lineRule="auto"/>
              <w:rPr>
                <w:rFonts w:ascii="Arial" w:hAnsi="Arial" w:cs="Arial"/>
                <w:b/>
                <w:sz w:val="22"/>
                <w:szCs w:val="22"/>
                <w:u w:val="single"/>
              </w:rPr>
            </w:pPr>
            <w:r w:rsidRPr="00740B27">
              <w:rPr>
                <w:rFonts w:ascii="Arial" w:hAnsi="Arial" w:cs="Arial"/>
                <w:sz w:val="22"/>
                <w:szCs w:val="22"/>
              </w:rPr>
              <w:t>Felhalmozási célú támogatások államháztartáson belülről</w:t>
            </w:r>
          </w:p>
        </w:tc>
        <w:tc>
          <w:tcPr>
            <w:tcW w:w="3016" w:type="dxa"/>
            <w:tcBorders>
              <w:top w:val="single" w:sz="4" w:space="0" w:color="auto"/>
              <w:left w:val="single" w:sz="4" w:space="0" w:color="auto"/>
              <w:bottom w:val="single" w:sz="4" w:space="0" w:color="auto"/>
              <w:right w:val="single" w:sz="4" w:space="0" w:color="auto"/>
            </w:tcBorders>
            <w:hideMark/>
          </w:tcPr>
          <w:p w14:paraId="33E106D8" w14:textId="64E437B9" w:rsidR="006325C2" w:rsidRPr="00740B27" w:rsidRDefault="000B3531" w:rsidP="002A7949">
            <w:pPr>
              <w:spacing w:line="276" w:lineRule="auto"/>
              <w:jc w:val="right"/>
              <w:rPr>
                <w:rFonts w:ascii="Arial" w:hAnsi="Arial" w:cs="Arial"/>
                <w:sz w:val="22"/>
                <w:szCs w:val="22"/>
              </w:rPr>
            </w:pPr>
            <w:r w:rsidRPr="000B3531">
              <w:rPr>
                <w:rFonts w:ascii="Arial" w:hAnsi="Arial" w:cs="Arial"/>
                <w:sz w:val="22"/>
                <w:szCs w:val="22"/>
              </w:rPr>
              <w:t>270 939 249</w:t>
            </w:r>
          </w:p>
        </w:tc>
      </w:tr>
      <w:tr w:rsidR="006325C2" w:rsidRPr="00AE7B18" w14:paraId="5C8A330D" w14:textId="77777777" w:rsidTr="006325C2">
        <w:tc>
          <w:tcPr>
            <w:tcW w:w="4605" w:type="dxa"/>
            <w:tcBorders>
              <w:top w:val="single" w:sz="4" w:space="0" w:color="auto"/>
              <w:left w:val="single" w:sz="4" w:space="0" w:color="auto"/>
              <w:bottom w:val="single" w:sz="4" w:space="0" w:color="auto"/>
              <w:right w:val="single" w:sz="4" w:space="0" w:color="auto"/>
            </w:tcBorders>
            <w:hideMark/>
          </w:tcPr>
          <w:p w14:paraId="03824975" w14:textId="77777777" w:rsidR="006325C2" w:rsidRPr="00740B27" w:rsidRDefault="006325C2">
            <w:pPr>
              <w:spacing w:line="276" w:lineRule="auto"/>
              <w:rPr>
                <w:rFonts w:ascii="Arial" w:hAnsi="Arial" w:cs="Arial"/>
                <w:b/>
                <w:sz w:val="22"/>
                <w:szCs w:val="22"/>
                <w:u w:val="single"/>
              </w:rPr>
            </w:pPr>
            <w:r w:rsidRPr="00740B27">
              <w:rPr>
                <w:rFonts w:ascii="Arial" w:hAnsi="Arial" w:cs="Arial"/>
                <w:sz w:val="22"/>
                <w:szCs w:val="22"/>
              </w:rPr>
              <w:t>Közhatalmi bevételek</w:t>
            </w:r>
          </w:p>
        </w:tc>
        <w:tc>
          <w:tcPr>
            <w:tcW w:w="3016" w:type="dxa"/>
            <w:tcBorders>
              <w:top w:val="single" w:sz="4" w:space="0" w:color="auto"/>
              <w:left w:val="single" w:sz="4" w:space="0" w:color="auto"/>
              <w:bottom w:val="single" w:sz="4" w:space="0" w:color="auto"/>
              <w:right w:val="single" w:sz="4" w:space="0" w:color="auto"/>
            </w:tcBorders>
            <w:hideMark/>
          </w:tcPr>
          <w:p w14:paraId="3848D117" w14:textId="7B1A554D" w:rsidR="006325C2" w:rsidRPr="00740B27" w:rsidRDefault="000B3531">
            <w:pPr>
              <w:spacing w:line="276" w:lineRule="auto"/>
              <w:jc w:val="right"/>
              <w:rPr>
                <w:rFonts w:ascii="Arial" w:hAnsi="Arial" w:cs="Arial"/>
                <w:sz w:val="22"/>
                <w:szCs w:val="22"/>
              </w:rPr>
            </w:pPr>
            <w:r w:rsidRPr="000B3531">
              <w:rPr>
                <w:rFonts w:ascii="Arial" w:hAnsi="Arial" w:cs="Arial"/>
                <w:sz w:val="22"/>
                <w:szCs w:val="22"/>
              </w:rPr>
              <w:t>459 600 000</w:t>
            </w:r>
          </w:p>
        </w:tc>
      </w:tr>
      <w:tr w:rsidR="006325C2" w:rsidRPr="00AE7B18" w14:paraId="0F53B8F4" w14:textId="77777777" w:rsidTr="006325C2">
        <w:tc>
          <w:tcPr>
            <w:tcW w:w="4605" w:type="dxa"/>
            <w:tcBorders>
              <w:top w:val="single" w:sz="4" w:space="0" w:color="auto"/>
              <w:left w:val="single" w:sz="4" w:space="0" w:color="auto"/>
              <w:bottom w:val="single" w:sz="4" w:space="0" w:color="auto"/>
              <w:right w:val="single" w:sz="4" w:space="0" w:color="auto"/>
            </w:tcBorders>
            <w:hideMark/>
          </w:tcPr>
          <w:p w14:paraId="3CD54F71" w14:textId="77777777" w:rsidR="006325C2" w:rsidRPr="00740B27" w:rsidRDefault="006325C2">
            <w:pPr>
              <w:spacing w:line="276" w:lineRule="auto"/>
              <w:rPr>
                <w:rFonts w:ascii="Arial" w:hAnsi="Arial" w:cs="Arial"/>
                <w:b/>
                <w:sz w:val="22"/>
                <w:szCs w:val="22"/>
                <w:u w:val="single"/>
              </w:rPr>
            </w:pPr>
            <w:r w:rsidRPr="00740B27">
              <w:rPr>
                <w:rFonts w:ascii="Arial" w:hAnsi="Arial" w:cs="Arial"/>
                <w:sz w:val="22"/>
                <w:szCs w:val="22"/>
              </w:rPr>
              <w:t>Működési bevételek</w:t>
            </w:r>
          </w:p>
        </w:tc>
        <w:tc>
          <w:tcPr>
            <w:tcW w:w="3016" w:type="dxa"/>
            <w:tcBorders>
              <w:top w:val="single" w:sz="4" w:space="0" w:color="auto"/>
              <w:left w:val="single" w:sz="4" w:space="0" w:color="auto"/>
              <w:bottom w:val="single" w:sz="4" w:space="0" w:color="auto"/>
              <w:right w:val="single" w:sz="4" w:space="0" w:color="auto"/>
            </w:tcBorders>
            <w:hideMark/>
          </w:tcPr>
          <w:p w14:paraId="5E557419" w14:textId="098C4F0D" w:rsidR="006325C2" w:rsidRPr="00740B27" w:rsidRDefault="0088524F" w:rsidP="0088524F">
            <w:pPr>
              <w:spacing w:line="276" w:lineRule="auto"/>
              <w:jc w:val="center"/>
              <w:rPr>
                <w:rFonts w:ascii="Arial" w:hAnsi="Arial" w:cs="Arial"/>
                <w:sz w:val="22"/>
                <w:szCs w:val="22"/>
              </w:rPr>
            </w:pPr>
            <w:r>
              <w:rPr>
                <w:rFonts w:ascii="Arial" w:hAnsi="Arial" w:cs="Arial"/>
                <w:sz w:val="22"/>
                <w:szCs w:val="22"/>
              </w:rPr>
              <w:t xml:space="preserve">                           98 845 158</w:t>
            </w:r>
          </w:p>
        </w:tc>
      </w:tr>
      <w:tr w:rsidR="006325C2" w:rsidRPr="00AE7B18" w14:paraId="261FB177" w14:textId="77777777" w:rsidTr="006325C2">
        <w:tc>
          <w:tcPr>
            <w:tcW w:w="4605" w:type="dxa"/>
            <w:tcBorders>
              <w:top w:val="single" w:sz="4" w:space="0" w:color="auto"/>
              <w:left w:val="single" w:sz="4" w:space="0" w:color="auto"/>
              <w:bottom w:val="single" w:sz="4" w:space="0" w:color="auto"/>
              <w:right w:val="single" w:sz="4" w:space="0" w:color="auto"/>
            </w:tcBorders>
            <w:hideMark/>
          </w:tcPr>
          <w:p w14:paraId="19EB2243" w14:textId="77777777" w:rsidR="006325C2" w:rsidRPr="00740B27" w:rsidRDefault="006325C2">
            <w:pPr>
              <w:spacing w:line="276" w:lineRule="auto"/>
              <w:rPr>
                <w:rFonts w:ascii="Arial" w:hAnsi="Arial" w:cs="Arial"/>
                <w:b/>
                <w:sz w:val="22"/>
                <w:szCs w:val="22"/>
                <w:u w:val="single"/>
              </w:rPr>
            </w:pPr>
            <w:r w:rsidRPr="00740B27">
              <w:rPr>
                <w:rFonts w:ascii="Arial" w:hAnsi="Arial" w:cs="Arial"/>
                <w:sz w:val="22"/>
                <w:szCs w:val="22"/>
              </w:rPr>
              <w:t>Felhalmozási bevételek</w:t>
            </w:r>
          </w:p>
        </w:tc>
        <w:tc>
          <w:tcPr>
            <w:tcW w:w="3016" w:type="dxa"/>
            <w:tcBorders>
              <w:top w:val="single" w:sz="4" w:space="0" w:color="auto"/>
              <w:left w:val="single" w:sz="4" w:space="0" w:color="auto"/>
              <w:bottom w:val="single" w:sz="4" w:space="0" w:color="auto"/>
              <w:right w:val="single" w:sz="4" w:space="0" w:color="auto"/>
            </w:tcBorders>
            <w:hideMark/>
          </w:tcPr>
          <w:p w14:paraId="6C8E31F7" w14:textId="55FD6626" w:rsidR="006325C2" w:rsidRPr="00740B27" w:rsidRDefault="000B3531">
            <w:pPr>
              <w:spacing w:line="276" w:lineRule="auto"/>
              <w:jc w:val="right"/>
              <w:rPr>
                <w:rFonts w:ascii="Arial" w:hAnsi="Arial" w:cs="Arial"/>
                <w:color w:val="000000"/>
                <w:sz w:val="22"/>
                <w:szCs w:val="22"/>
              </w:rPr>
            </w:pPr>
            <w:r w:rsidRPr="000B3531">
              <w:rPr>
                <w:rFonts w:ascii="Arial" w:hAnsi="Arial" w:cs="Arial"/>
                <w:color w:val="000000"/>
                <w:sz w:val="22"/>
                <w:szCs w:val="22"/>
              </w:rPr>
              <w:t>131 987 333</w:t>
            </w:r>
          </w:p>
        </w:tc>
      </w:tr>
      <w:tr w:rsidR="006325C2" w:rsidRPr="00AE7B18" w14:paraId="5E16DCFF" w14:textId="77777777" w:rsidTr="006325C2">
        <w:tc>
          <w:tcPr>
            <w:tcW w:w="4605" w:type="dxa"/>
            <w:tcBorders>
              <w:top w:val="single" w:sz="4" w:space="0" w:color="auto"/>
              <w:left w:val="single" w:sz="4" w:space="0" w:color="auto"/>
              <w:bottom w:val="single" w:sz="4" w:space="0" w:color="auto"/>
              <w:right w:val="single" w:sz="4" w:space="0" w:color="auto"/>
            </w:tcBorders>
            <w:hideMark/>
          </w:tcPr>
          <w:p w14:paraId="28E7E8E4" w14:textId="77777777" w:rsidR="006325C2" w:rsidRPr="00740B27" w:rsidRDefault="006325C2">
            <w:pPr>
              <w:spacing w:line="276" w:lineRule="auto"/>
              <w:rPr>
                <w:rFonts w:ascii="Arial" w:hAnsi="Arial" w:cs="Arial"/>
                <w:b/>
                <w:sz w:val="22"/>
                <w:szCs w:val="22"/>
                <w:u w:val="single"/>
              </w:rPr>
            </w:pPr>
            <w:r w:rsidRPr="00740B27">
              <w:rPr>
                <w:rFonts w:ascii="Arial" w:hAnsi="Arial" w:cs="Arial"/>
                <w:sz w:val="22"/>
                <w:szCs w:val="22"/>
              </w:rPr>
              <w:t>Működési célú átvett pénzeszközök</w:t>
            </w:r>
          </w:p>
        </w:tc>
        <w:tc>
          <w:tcPr>
            <w:tcW w:w="3016" w:type="dxa"/>
            <w:tcBorders>
              <w:top w:val="single" w:sz="4" w:space="0" w:color="auto"/>
              <w:left w:val="single" w:sz="4" w:space="0" w:color="auto"/>
              <w:bottom w:val="single" w:sz="4" w:space="0" w:color="auto"/>
              <w:right w:val="single" w:sz="4" w:space="0" w:color="auto"/>
            </w:tcBorders>
            <w:hideMark/>
          </w:tcPr>
          <w:p w14:paraId="63DE3151" w14:textId="77777777" w:rsidR="006325C2" w:rsidRPr="00740B27" w:rsidRDefault="00740B27">
            <w:pPr>
              <w:spacing w:line="276" w:lineRule="auto"/>
              <w:jc w:val="right"/>
              <w:rPr>
                <w:rFonts w:ascii="Arial" w:hAnsi="Arial" w:cs="Arial"/>
                <w:sz w:val="22"/>
                <w:szCs w:val="22"/>
              </w:rPr>
            </w:pPr>
            <w:r w:rsidRPr="00740B27">
              <w:rPr>
                <w:rFonts w:ascii="Arial" w:hAnsi="Arial" w:cs="Arial"/>
                <w:sz w:val="22"/>
                <w:szCs w:val="22"/>
              </w:rPr>
              <w:t>0</w:t>
            </w:r>
          </w:p>
        </w:tc>
      </w:tr>
      <w:tr w:rsidR="006325C2" w:rsidRPr="00AE7B18" w14:paraId="1936A19F" w14:textId="77777777" w:rsidTr="006325C2">
        <w:tc>
          <w:tcPr>
            <w:tcW w:w="4605" w:type="dxa"/>
            <w:tcBorders>
              <w:top w:val="single" w:sz="4" w:space="0" w:color="auto"/>
              <w:left w:val="single" w:sz="4" w:space="0" w:color="auto"/>
              <w:bottom w:val="single" w:sz="4" w:space="0" w:color="auto"/>
              <w:right w:val="single" w:sz="4" w:space="0" w:color="auto"/>
            </w:tcBorders>
            <w:hideMark/>
          </w:tcPr>
          <w:p w14:paraId="2E29040B" w14:textId="77777777" w:rsidR="006325C2" w:rsidRPr="00740B27" w:rsidRDefault="006325C2">
            <w:pPr>
              <w:spacing w:line="276" w:lineRule="auto"/>
              <w:rPr>
                <w:rFonts w:ascii="Arial" w:hAnsi="Arial" w:cs="Arial"/>
                <w:b/>
                <w:sz w:val="22"/>
                <w:szCs w:val="22"/>
                <w:u w:val="single"/>
              </w:rPr>
            </w:pPr>
            <w:r w:rsidRPr="00740B27">
              <w:rPr>
                <w:rFonts w:ascii="Arial" w:hAnsi="Arial" w:cs="Arial"/>
                <w:sz w:val="22"/>
                <w:szCs w:val="22"/>
              </w:rPr>
              <w:t>Felhalmozási célú átvett pénzeszközök</w:t>
            </w:r>
          </w:p>
        </w:tc>
        <w:tc>
          <w:tcPr>
            <w:tcW w:w="3016" w:type="dxa"/>
            <w:tcBorders>
              <w:top w:val="single" w:sz="4" w:space="0" w:color="auto"/>
              <w:left w:val="single" w:sz="4" w:space="0" w:color="auto"/>
              <w:bottom w:val="single" w:sz="4" w:space="0" w:color="auto"/>
              <w:right w:val="single" w:sz="4" w:space="0" w:color="auto"/>
            </w:tcBorders>
            <w:hideMark/>
          </w:tcPr>
          <w:p w14:paraId="768CF8ED" w14:textId="77777777" w:rsidR="006325C2" w:rsidRPr="00740B27" w:rsidRDefault="00740B27">
            <w:pPr>
              <w:spacing w:line="276" w:lineRule="auto"/>
              <w:jc w:val="right"/>
              <w:rPr>
                <w:rFonts w:ascii="Arial" w:hAnsi="Arial" w:cs="Arial"/>
                <w:sz w:val="22"/>
                <w:szCs w:val="22"/>
              </w:rPr>
            </w:pPr>
            <w:r w:rsidRPr="00740B27">
              <w:rPr>
                <w:rFonts w:ascii="Arial" w:hAnsi="Arial" w:cs="Arial"/>
                <w:sz w:val="22"/>
                <w:szCs w:val="22"/>
              </w:rPr>
              <w:t>0</w:t>
            </w:r>
          </w:p>
        </w:tc>
      </w:tr>
      <w:tr w:rsidR="006325C2" w:rsidRPr="00AE7B18" w14:paraId="34888348" w14:textId="77777777" w:rsidTr="006325C2">
        <w:tc>
          <w:tcPr>
            <w:tcW w:w="4605" w:type="dxa"/>
            <w:tcBorders>
              <w:top w:val="single" w:sz="4" w:space="0" w:color="auto"/>
              <w:left w:val="single" w:sz="4" w:space="0" w:color="auto"/>
              <w:bottom w:val="single" w:sz="4" w:space="0" w:color="auto"/>
              <w:right w:val="single" w:sz="4" w:space="0" w:color="auto"/>
            </w:tcBorders>
            <w:hideMark/>
          </w:tcPr>
          <w:p w14:paraId="5FE31E9C" w14:textId="77777777" w:rsidR="006325C2" w:rsidRPr="00693739" w:rsidRDefault="006325C2">
            <w:pPr>
              <w:spacing w:line="276" w:lineRule="auto"/>
              <w:rPr>
                <w:rFonts w:ascii="Arial" w:hAnsi="Arial" w:cs="Arial"/>
                <w:b/>
                <w:sz w:val="22"/>
                <w:szCs w:val="22"/>
              </w:rPr>
            </w:pPr>
            <w:r w:rsidRPr="00693739">
              <w:rPr>
                <w:rFonts w:ascii="Arial" w:hAnsi="Arial" w:cs="Arial"/>
                <w:b/>
                <w:sz w:val="22"/>
                <w:szCs w:val="22"/>
              </w:rPr>
              <w:t>Költségvetési bevételek összesen:</w:t>
            </w:r>
          </w:p>
        </w:tc>
        <w:tc>
          <w:tcPr>
            <w:tcW w:w="3016" w:type="dxa"/>
            <w:tcBorders>
              <w:top w:val="single" w:sz="4" w:space="0" w:color="auto"/>
              <w:left w:val="single" w:sz="4" w:space="0" w:color="auto"/>
              <w:bottom w:val="single" w:sz="4" w:space="0" w:color="auto"/>
              <w:right w:val="single" w:sz="4" w:space="0" w:color="auto"/>
            </w:tcBorders>
            <w:hideMark/>
          </w:tcPr>
          <w:p w14:paraId="271A3C50" w14:textId="71649DF9" w:rsidR="006325C2" w:rsidRPr="00AE7B18" w:rsidRDefault="0088524F">
            <w:pPr>
              <w:spacing w:line="276" w:lineRule="auto"/>
              <w:jc w:val="right"/>
              <w:rPr>
                <w:rFonts w:ascii="Arial" w:hAnsi="Arial" w:cs="Arial"/>
                <w:b/>
                <w:sz w:val="22"/>
                <w:szCs w:val="22"/>
                <w:highlight w:val="yellow"/>
              </w:rPr>
            </w:pPr>
            <w:r>
              <w:rPr>
                <w:rFonts w:ascii="Arial" w:hAnsi="Arial" w:cs="Arial"/>
                <w:b/>
                <w:sz w:val="22"/>
                <w:szCs w:val="22"/>
              </w:rPr>
              <w:t>2 068 037 009</w:t>
            </w:r>
          </w:p>
        </w:tc>
      </w:tr>
      <w:tr w:rsidR="006325C2" w:rsidRPr="00AE7B18" w14:paraId="44B5AC9F" w14:textId="77777777" w:rsidTr="006325C2">
        <w:tc>
          <w:tcPr>
            <w:tcW w:w="4605" w:type="dxa"/>
            <w:tcBorders>
              <w:top w:val="single" w:sz="4" w:space="0" w:color="auto"/>
              <w:left w:val="single" w:sz="4" w:space="0" w:color="auto"/>
              <w:bottom w:val="single" w:sz="4" w:space="0" w:color="auto"/>
              <w:right w:val="single" w:sz="4" w:space="0" w:color="auto"/>
            </w:tcBorders>
            <w:hideMark/>
          </w:tcPr>
          <w:p w14:paraId="7421402A" w14:textId="77777777" w:rsidR="006325C2" w:rsidRPr="00693739" w:rsidRDefault="006325C2">
            <w:pPr>
              <w:spacing w:line="276" w:lineRule="auto"/>
              <w:jc w:val="both"/>
              <w:rPr>
                <w:rFonts w:ascii="Arial" w:hAnsi="Arial" w:cs="Arial"/>
                <w:sz w:val="22"/>
                <w:szCs w:val="22"/>
              </w:rPr>
            </w:pPr>
            <w:r w:rsidRPr="00693739">
              <w:rPr>
                <w:rFonts w:ascii="Arial" w:hAnsi="Arial" w:cs="Arial"/>
                <w:sz w:val="22"/>
                <w:szCs w:val="22"/>
              </w:rPr>
              <w:t>Költségvetési maradvány igénybevétele</w:t>
            </w:r>
          </w:p>
        </w:tc>
        <w:tc>
          <w:tcPr>
            <w:tcW w:w="3016" w:type="dxa"/>
            <w:tcBorders>
              <w:top w:val="single" w:sz="4" w:space="0" w:color="auto"/>
              <w:left w:val="single" w:sz="4" w:space="0" w:color="auto"/>
              <w:bottom w:val="single" w:sz="4" w:space="0" w:color="auto"/>
              <w:right w:val="single" w:sz="4" w:space="0" w:color="auto"/>
            </w:tcBorders>
            <w:hideMark/>
          </w:tcPr>
          <w:p w14:paraId="3AA77163" w14:textId="7FF41203" w:rsidR="006325C2" w:rsidRPr="00AE7B18" w:rsidRDefault="000B3531">
            <w:pPr>
              <w:spacing w:line="276" w:lineRule="auto"/>
              <w:jc w:val="right"/>
              <w:rPr>
                <w:rFonts w:ascii="Arial" w:hAnsi="Arial" w:cs="Arial"/>
                <w:sz w:val="22"/>
                <w:szCs w:val="22"/>
                <w:highlight w:val="yellow"/>
              </w:rPr>
            </w:pPr>
            <w:r w:rsidRPr="000B3531">
              <w:rPr>
                <w:rFonts w:ascii="Arial" w:hAnsi="Arial" w:cs="Arial"/>
                <w:sz w:val="22"/>
                <w:szCs w:val="22"/>
              </w:rPr>
              <w:t>706 729 294</w:t>
            </w:r>
          </w:p>
        </w:tc>
      </w:tr>
      <w:tr w:rsidR="006325C2" w:rsidRPr="00AE7B18" w14:paraId="26A12FD4" w14:textId="77777777" w:rsidTr="006325C2">
        <w:tc>
          <w:tcPr>
            <w:tcW w:w="4605" w:type="dxa"/>
            <w:tcBorders>
              <w:top w:val="single" w:sz="4" w:space="0" w:color="auto"/>
              <w:left w:val="single" w:sz="4" w:space="0" w:color="auto"/>
              <w:bottom w:val="single" w:sz="4" w:space="0" w:color="auto"/>
              <w:right w:val="single" w:sz="4" w:space="0" w:color="auto"/>
            </w:tcBorders>
            <w:hideMark/>
          </w:tcPr>
          <w:p w14:paraId="08AC1872" w14:textId="77777777" w:rsidR="006325C2" w:rsidRPr="00AE7B18" w:rsidRDefault="006325C2">
            <w:pPr>
              <w:spacing w:line="276" w:lineRule="auto"/>
              <w:jc w:val="both"/>
              <w:rPr>
                <w:rFonts w:ascii="Arial" w:hAnsi="Arial" w:cs="Arial"/>
                <w:b/>
                <w:sz w:val="22"/>
                <w:szCs w:val="22"/>
                <w:highlight w:val="yellow"/>
              </w:rPr>
            </w:pPr>
            <w:r w:rsidRPr="00693739">
              <w:rPr>
                <w:rFonts w:ascii="Arial" w:hAnsi="Arial" w:cs="Arial"/>
                <w:b/>
                <w:sz w:val="22"/>
                <w:szCs w:val="22"/>
              </w:rPr>
              <w:t>Finanszírozási bevételek összesen:</w:t>
            </w:r>
          </w:p>
        </w:tc>
        <w:tc>
          <w:tcPr>
            <w:tcW w:w="3016" w:type="dxa"/>
            <w:tcBorders>
              <w:top w:val="single" w:sz="4" w:space="0" w:color="auto"/>
              <w:left w:val="single" w:sz="4" w:space="0" w:color="auto"/>
              <w:bottom w:val="single" w:sz="4" w:space="0" w:color="auto"/>
              <w:right w:val="single" w:sz="4" w:space="0" w:color="auto"/>
            </w:tcBorders>
            <w:hideMark/>
          </w:tcPr>
          <w:p w14:paraId="4D32883B" w14:textId="3414C1B2" w:rsidR="006325C2" w:rsidRPr="00AE7B18" w:rsidRDefault="00FA172D" w:rsidP="00FA172D">
            <w:pPr>
              <w:spacing w:line="276" w:lineRule="auto"/>
              <w:jc w:val="center"/>
              <w:rPr>
                <w:rFonts w:ascii="Arial" w:hAnsi="Arial" w:cs="Arial"/>
                <w:b/>
                <w:sz w:val="22"/>
                <w:szCs w:val="22"/>
                <w:highlight w:val="yellow"/>
              </w:rPr>
            </w:pPr>
            <w:r>
              <w:rPr>
                <w:rFonts w:ascii="Arial" w:hAnsi="Arial" w:cs="Arial"/>
                <w:b/>
                <w:sz w:val="22"/>
                <w:szCs w:val="22"/>
              </w:rPr>
              <w:t xml:space="preserve">               </w:t>
            </w:r>
            <w:r w:rsidR="000B3531">
              <w:rPr>
                <w:rFonts w:ascii="Arial" w:hAnsi="Arial" w:cs="Arial"/>
                <w:b/>
                <w:sz w:val="22"/>
                <w:szCs w:val="22"/>
              </w:rPr>
              <w:t xml:space="preserve">       </w:t>
            </w:r>
            <w:r>
              <w:rPr>
                <w:rFonts w:ascii="Arial" w:hAnsi="Arial" w:cs="Arial"/>
                <w:b/>
                <w:sz w:val="22"/>
                <w:szCs w:val="22"/>
              </w:rPr>
              <w:t xml:space="preserve"> </w:t>
            </w:r>
            <w:r w:rsidR="009040D4">
              <w:rPr>
                <w:rFonts w:ascii="Arial" w:hAnsi="Arial" w:cs="Arial"/>
                <w:b/>
                <w:sz w:val="22"/>
                <w:szCs w:val="22"/>
              </w:rPr>
              <w:t xml:space="preserve">  </w:t>
            </w:r>
            <w:r w:rsidR="000B3531" w:rsidRPr="000B3531">
              <w:rPr>
                <w:rFonts w:ascii="Arial" w:hAnsi="Arial" w:cs="Arial"/>
                <w:b/>
                <w:sz w:val="22"/>
                <w:szCs w:val="22"/>
              </w:rPr>
              <w:t>706 729 294</w:t>
            </w:r>
            <w:r w:rsidR="009040D4">
              <w:rPr>
                <w:rFonts w:ascii="Arial" w:hAnsi="Arial" w:cs="Arial"/>
                <w:b/>
                <w:sz w:val="22"/>
                <w:szCs w:val="22"/>
              </w:rPr>
              <w:t xml:space="preserve">     </w:t>
            </w:r>
            <w:r>
              <w:rPr>
                <w:rFonts w:ascii="Arial" w:hAnsi="Arial" w:cs="Arial"/>
                <w:b/>
                <w:sz w:val="22"/>
                <w:szCs w:val="22"/>
              </w:rPr>
              <w:t xml:space="preserve">         </w:t>
            </w:r>
          </w:p>
        </w:tc>
      </w:tr>
      <w:tr w:rsidR="006325C2" w:rsidRPr="00AE7B18" w14:paraId="707DB6FF" w14:textId="77777777" w:rsidTr="006325C2">
        <w:tc>
          <w:tcPr>
            <w:tcW w:w="4605" w:type="dxa"/>
            <w:tcBorders>
              <w:top w:val="single" w:sz="4" w:space="0" w:color="auto"/>
              <w:left w:val="single" w:sz="4" w:space="0" w:color="auto"/>
              <w:bottom w:val="single" w:sz="4" w:space="0" w:color="auto"/>
              <w:right w:val="single" w:sz="4" w:space="0" w:color="auto"/>
            </w:tcBorders>
            <w:hideMark/>
          </w:tcPr>
          <w:p w14:paraId="10B49D2D" w14:textId="77777777" w:rsidR="006325C2" w:rsidRPr="00AE7B18" w:rsidRDefault="006325C2">
            <w:pPr>
              <w:spacing w:line="276" w:lineRule="auto"/>
              <w:jc w:val="both"/>
              <w:rPr>
                <w:rFonts w:ascii="Arial" w:hAnsi="Arial" w:cs="Arial"/>
                <w:b/>
                <w:sz w:val="22"/>
                <w:szCs w:val="22"/>
                <w:highlight w:val="yellow"/>
              </w:rPr>
            </w:pPr>
            <w:r w:rsidRPr="00693739">
              <w:rPr>
                <w:rFonts w:ascii="Arial" w:hAnsi="Arial" w:cs="Arial"/>
                <w:b/>
                <w:sz w:val="22"/>
                <w:szCs w:val="22"/>
              </w:rPr>
              <w:t>BEVÉTELEK ÖSSZESEN:</w:t>
            </w:r>
          </w:p>
        </w:tc>
        <w:tc>
          <w:tcPr>
            <w:tcW w:w="3016" w:type="dxa"/>
            <w:tcBorders>
              <w:top w:val="single" w:sz="4" w:space="0" w:color="auto"/>
              <w:left w:val="single" w:sz="4" w:space="0" w:color="auto"/>
              <w:bottom w:val="single" w:sz="4" w:space="0" w:color="auto"/>
              <w:right w:val="single" w:sz="4" w:space="0" w:color="auto"/>
            </w:tcBorders>
            <w:hideMark/>
          </w:tcPr>
          <w:p w14:paraId="7BFE93EC" w14:textId="2C8CAB81" w:rsidR="006325C2" w:rsidRPr="00AE7B18" w:rsidRDefault="0088524F">
            <w:pPr>
              <w:spacing w:line="276" w:lineRule="auto"/>
              <w:jc w:val="right"/>
              <w:rPr>
                <w:rFonts w:ascii="Arial" w:hAnsi="Arial" w:cs="Arial"/>
                <w:b/>
                <w:sz w:val="22"/>
                <w:szCs w:val="22"/>
                <w:highlight w:val="yellow"/>
              </w:rPr>
            </w:pPr>
            <w:r>
              <w:rPr>
                <w:rFonts w:ascii="Arial" w:hAnsi="Arial" w:cs="Arial"/>
                <w:b/>
                <w:sz w:val="22"/>
                <w:szCs w:val="22"/>
              </w:rPr>
              <w:t>2 774 766 303</w:t>
            </w:r>
          </w:p>
        </w:tc>
      </w:tr>
    </w:tbl>
    <w:p w14:paraId="21E254FE" w14:textId="77777777" w:rsidR="006325C2" w:rsidRPr="00AE7B18" w:rsidRDefault="006325C2" w:rsidP="006325C2">
      <w:pPr>
        <w:spacing w:line="276" w:lineRule="auto"/>
        <w:jc w:val="both"/>
        <w:rPr>
          <w:rFonts w:ascii="Arial" w:hAnsi="Arial" w:cs="Arial"/>
          <w:sz w:val="22"/>
          <w:szCs w:val="22"/>
          <w:highlight w:val="yellow"/>
        </w:rPr>
      </w:pPr>
    </w:p>
    <w:p w14:paraId="02E34D99" w14:textId="77777777" w:rsidR="006325C2" w:rsidRPr="00AE7B18" w:rsidRDefault="006325C2" w:rsidP="006325C2">
      <w:pPr>
        <w:spacing w:after="160" w:line="276" w:lineRule="auto"/>
        <w:jc w:val="both"/>
        <w:rPr>
          <w:rFonts w:ascii="Arial" w:eastAsia="Calibri" w:hAnsi="Arial" w:cs="Arial"/>
          <w:sz w:val="22"/>
          <w:szCs w:val="22"/>
          <w:highlight w:val="yellow"/>
          <w:lang w:eastAsia="en-US"/>
        </w:rPr>
      </w:pPr>
    </w:p>
    <w:p w14:paraId="65249855" w14:textId="77777777" w:rsidR="006325C2" w:rsidRPr="00E40A56" w:rsidRDefault="006325C2" w:rsidP="006325C2">
      <w:pPr>
        <w:spacing w:after="160" w:line="276" w:lineRule="auto"/>
        <w:jc w:val="both"/>
        <w:rPr>
          <w:rFonts w:ascii="Arial" w:eastAsia="Calibri" w:hAnsi="Arial" w:cs="Arial"/>
          <w:sz w:val="22"/>
          <w:szCs w:val="22"/>
          <w:lang w:eastAsia="en-US"/>
        </w:rPr>
      </w:pPr>
      <w:r w:rsidRPr="00E40A56">
        <w:rPr>
          <w:rFonts w:ascii="Arial" w:eastAsia="Calibri" w:hAnsi="Arial" w:cs="Arial"/>
          <w:sz w:val="22"/>
          <w:szCs w:val="22"/>
          <w:lang w:eastAsia="en-US"/>
        </w:rPr>
        <w:t>A táblázat tartalmának részletezése:</w:t>
      </w:r>
    </w:p>
    <w:p w14:paraId="47F4E619" w14:textId="5C634631" w:rsidR="006325C2" w:rsidRPr="00E40A56" w:rsidRDefault="00E40A56" w:rsidP="006325C2">
      <w:pPr>
        <w:spacing w:line="276" w:lineRule="auto"/>
        <w:jc w:val="both"/>
        <w:rPr>
          <w:rFonts w:ascii="Arial" w:hAnsi="Arial" w:cs="Arial"/>
          <w:sz w:val="22"/>
          <w:szCs w:val="22"/>
        </w:rPr>
      </w:pPr>
      <w:r w:rsidRPr="00E40A56">
        <w:rPr>
          <w:rFonts w:ascii="Arial" w:hAnsi="Arial" w:cs="Arial"/>
          <w:sz w:val="22"/>
          <w:szCs w:val="22"/>
        </w:rPr>
        <w:t>A 202</w:t>
      </w:r>
      <w:r w:rsidR="00F92175">
        <w:rPr>
          <w:rFonts w:ascii="Arial" w:hAnsi="Arial" w:cs="Arial"/>
          <w:sz w:val="22"/>
          <w:szCs w:val="22"/>
        </w:rPr>
        <w:t>5</w:t>
      </w:r>
      <w:r w:rsidR="006325C2" w:rsidRPr="00E40A56">
        <w:rPr>
          <w:rFonts w:ascii="Arial" w:hAnsi="Arial" w:cs="Arial"/>
          <w:sz w:val="22"/>
          <w:szCs w:val="22"/>
        </w:rPr>
        <w:t>. évi központi költségvetéséről szóló</w:t>
      </w:r>
      <w:r w:rsidRPr="00E40A56">
        <w:rPr>
          <w:rFonts w:ascii="Arial" w:hAnsi="Arial" w:cs="Arial"/>
          <w:bCs/>
          <w:iCs/>
          <w:sz w:val="22"/>
          <w:szCs w:val="22"/>
        </w:rPr>
        <w:t xml:space="preserve"> 202</w:t>
      </w:r>
      <w:r w:rsidR="00F92175">
        <w:rPr>
          <w:rFonts w:ascii="Arial" w:hAnsi="Arial" w:cs="Arial"/>
          <w:bCs/>
          <w:iCs/>
          <w:sz w:val="22"/>
          <w:szCs w:val="22"/>
        </w:rPr>
        <w:t>4</w:t>
      </w:r>
      <w:r w:rsidRPr="00E40A56">
        <w:rPr>
          <w:rFonts w:ascii="Arial" w:hAnsi="Arial" w:cs="Arial"/>
          <w:bCs/>
          <w:iCs/>
          <w:sz w:val="22"/>
          <w:szCs w:val="22"/>
        </w:rPr>
        <w:t xml:space="preserve">. évi </w:t>
      </w:r>
      <w:r w:rsidR="00F92175">
        <w:rPr>
          <w:rFonts w:ascii="Arial" w:hAnsi="Arial" w:cs="Arial"/>
          <w:bCs/>
          <w:iCs/>
          <w:sz w:val="22"/>
          <w:szCs w:val="22"/>
        </w:rPr>
        <w:t>XC</w:t>
      </w:r>
      <w:r w:rsidR="006325C2" w:rsidRPr="00E40A56">
        <w:rPr>
          <w:rFonts w:ascii="Arial" w:hAnsi="Arial" w:cs="Arial"/>
          <w:bCs/>
          <w:iCs/>
          <w:sz w:val="22"/>
          <w:szCs w:val="22"/>
        </w:rPr>
        <w:t xml:space="preserve">. </w:t>
      </w:r>
      <w:r w:rsidRPr="00E40A56">
        <w:rPr>
          <w:rFonts w:ascii="Arial" w:hAnsi="Arial" w:cs="Arial"/>
          <w:sz w:val="22"/>
          <w:szCs w:val="22"/>
        </w:rPr>
        <w:t xml:space="preserve">törvény 2. mellékletének </w:t>
      </w:r>
      <w:r w:rsidR="006325C2" w:rsidRPr="00E40A56">
        <w:rPr>
          <w:rFonts w:ascii="Arial" w:hAnsi="Arial" w:cs="Arial"/>
          <w:sz w:val="22"/>
          <w:szCs w:val="22"/>
        </w:rPr>
        <w:t>megfelelően igényelhető állami tám</w:t>
      </w:r>
      <w:r w:rsidR="00710636">
        <w:rPr>
          <w:rFonts w:ascii="Arial" w:hAnsi="Arial" w:cs="Arial"/>
          <w:sz w:val="22"/>
          <w:szCs w:val="22"/>
        </w:rPr>
        <w:t xml:space="preserve">ogatások figyelembevételével </w:t>
      </w:r>
      <w:r w:rsidR="006325C2" w:rsidRPr="00E40A56">
        <w:rPr>
          <w:rFonts w:ascii="Arial" w:hAnsi="Arial" w:cs="Arial"/>
          <w:sz w:val="22"/>
          <w:szCs w:val="22"/>
        </w:rPr>
        <w:t xml:space="preserve">terveztük </w:t>
      </w:r>
      <w:r w:rsidR="00710636">
        <w:rPr>
          <w:rFonts w:ascii="Arial" w:hAnsi="Arial" w:cs="Arial"/>
          <w:sz w:val="22"/>
          <w:szCs w:val="22"/>
        </w:rPr>
        <w:t xml:space="preserve">meg </w:t>
      </w:r>
      <w:r w:rsidR="006325C2" w:rsidRPr="00E40A56">
        <w:rPr>
          <w:rFonts w:ascii="Arial" w:hAnsi="Arial" w:cs="Arial"/>
          <w:sz w:val="22"/>
          <w:szCs w:val="22"/>
        </w:rPr>
        <w:t>Bátaszék Város Önkormányzat</w:t>
      </w:r>
      <w:r w:rsidR="00710636">
        <w:rPr>
          <w:rFonts w:ascii="Arial" w:hAnsi="Arial" w:cs="Arial"/>
          <w:sz w:val="22"/>
          <w:szCs w:val="22"/>
        </w:rPr>
        <w:t>ának költségvetését.</w:t>
      </w:r>
    </w:p>
    <w:p w14:paraId="192C292C" w14:textId="77777777" w:rsidR="006325C2" w:rsidRPr="00AE7B18" w:rsidRDefault="006325C2" w:rsidP="006325C2">
      <w:pPr>
        <w:spacing w:line="276" w:lineRule="auto"/>
        <w:ind w:left="1080"/>
        <w:jc w:val="both"/>
        <w:rPr>
          <w:rFonts w:ascii="Arial" w:hAnsi="Arial" w:cs="Arial"/>
          <w:sz w:val="22"/>
          <w:szCs w:val="22"/>
          <w:highlight w:val="yellow"/>
        </w:rPr>
      </w:pPr>
    </w:p>
    <w:p w14:paraId="4E343987" w14:textId="46BAD467" w:rsidR="00E40A56" w:rsidRDefault="00E40A56" w:rsidP="006325C2">
      <w:pPr>
        <w:spacing w:line="276" w:lineRule="auto"/>
        <w:jc w:val="both"/>
        <w:rPr>
          <w:rFonts w:ascii="Arial" w:hAnsi="Arial" w:cs="Arial"/>
          <w:sz w:val="22"/>
          <w:szCs w:val="22"/>
        </w:rPr>
      </w:pPr>
      <w:r w:rsidRPr="00E40A56">
        <w:rPr>
          <w:rFonts w:ascii="Arial" w:hAnsi="Arial" w:cs="Arial"/>
          <w:sz w:val="22"/>
          <w:szCs w:val="22"/>
        </w:rPr>
        <w:t xml:space="preserve">Az állami támogatások igénylésének rendje nem változott, </w:t>
      </w:r>
      <w:r w:rsidR="006325C2" w:rsidRPr="00E40A56">
        <w:rPr>
          <w:rFonts w:ascii="Arial" w:hAnsi="Arial" w:cs="Arial"/>
          <w:sz w:val="22"/>
          <w:szCs w:val="22"/>
        </w:rPr>
        <w:t>a tárgyévet megel</w:t>
      </w:r>
      <w:r w:rsidRPr="00E40A56">
        <w:rPr>
          <w:rFonts w:ascii="Arial" w:hAnsi="Arial" w:cs="Arial"/>
          <w:sz w:val="22"/>
          <w:szCs w:val="22"/>
        </w:rPr>
        <w:t>őző év novemberében történik, a tárgyévben két</w:t>
      </w:r>
      <w:r w:rsidR="006325C2" w:rsidRPr="00E40A56">
        <w:rPr>
          <w:rFonts w:ascii="Arial" w:hAnsi="Arial" w:cs="Arial"/>
          <w:sz w:val="22"/>
          <w:szCs w:val="22"/>
        </w:rPr>
        <w:t xml:space="preserve"> alkalommal van lehetőség (májusban és októberben) a mutatószámok módosítására, a tényleges létszámhoz való igazítására.</w:t>
      </w:r>
      <w:r w:rsidR="00FD496E">
        <w:rPr>
          <w:rFonts w:ascii="Arial" w:hAnsi="Arial" w:cs="Arial"/>
          <w:sz w:val="22"/>
          <w:szCs w:val="22"/>
        </w:rPr>
        <w:t xml:space="preserve"> Ez évben eredeti előirányzatként rendelkezésre áll a központi béremelések fedezete is.</w:t>
      </w:r>
      <w:r w:rsidR="00F92175">
        <w:rPr>
          <w:rFonts w:ascii="Arial" w:hAnsi="Arial" w:cs="Arial"/>
          <w:sz w:val="22"/>
          <w:szCs w:val="22"/>
        </w:rPr>
        <w:t xml:space="preserve"> (Kivéve KÖH finanszírozás.)</w:t>
      </w:r>
    </w:p>
    <w:p w14:paraId="448FC0E4" w14:textId="77777777" w:rsidR="00E40A56" w:rsidRDefault="00E40A56" w:rsidP="006325C2">
      <w:pPr>
        <w:spacing w:line="276" w:lineRule="auto"/>
        <w:jc w:val="both"/>
        <w:rPr>
          <w:rFonts w:ascii="Arial" w:hAnsi="Arial" w:cs="Arial"/>
          <w:sz w:val="22"/>
          <w:szCs w:val="22"/>
        </w:rPr>
      </w:pPr>
    </w:p>
    <w:p w14:paraId="59E7C44B" w14:textId="3BF66410" w:rsidR="006325C2" w:rsidRDefault="006325C2" w:rsidP="006325C2">
      <w:pPr>
        <w:spacing w:line="276" w:lineRule="auto"/>
        <w:jc w:val="both"/>
        <w:rPr>
          <w:rFonts w:ascii="Arial" w:hAnsi="Arial" w:cs="Arial"/>
          <w:sz w:val="22"/>
          <w:szCs w:val="22"/>
        </w:rPr>
      </w:pPr>
      <w:r w:rsidRPr="00E40A56">
        <w:rPr>
          <w:rFonts w:ascii="Arial" w:hAnsi="Arial" w:cs="Arial"/>
          <w:b/>
          <w:sz w:val="22"/>
          <w:szCs w:val="22"/>
        </w:rPr>
        <w:t xml:space="preserve">Az </w:t>
      </w:r>
      <w:r w:rsidRPr="00E40A56">
        <w:rPr>
          <w:rFonts w:ascii="Arial" w:hAnsi="Arial" w:cs="Arial"/>
          <w:b/>
          <w:sz w:val="22"/>
          <w:szCs w:val="22"/>
          <w:u w:val="single"/>
        </w:rPr>
        <w:t>Önkormányzat működési támogatása</w:t>
      </w:r>
      <w:r w:rsidR="00E40A56">
        <w:rPr>
          <w:rFonts w:ascii="Arial" w:hAnsi="Arial" w:cs="Arial"/>
          <w:b/>
          <w:sz w:val="22"/>
          <w:szCs w:val="22"/>
          <w:u w:val="single"/>
        </w:rPr>
        <w:t>i</w:t>
      </w:r>
      <w:r w:rsidR="00E40A56" w:rsidRPr="00E40A56">
        <w:rPr>
          <w:rFonts w:ascii="Arial" w:hAnsi="Arial" w:cs="Arial"/>
          <w:b/>
          <w:sz w:val="22"/>
          <w:szCs w:val="22"/>
          <w:u w:val="single"/>
        </w:rPr>
        <w:t xml:space="preserve"> előirányzat</w:t>
      </w:r>
      <w:r w:rsidR="00E40A56" w:rsidRPr="00E40A56">
        <w:rPr>
          <w:rFonts w:ascii="Arial" w:hAnsi="Arial" w:cs="Arial"/>
          <w:b/>
          <w:sz w:val="22"/>
          <w:szCs w:val="22"/>
        </w:rPr>
        <w:t xml:space="preserve"> összege: </w:t>
      </w:r>
      <w:r w:rsidR="00F92175" w:rsidRPr="00F92175">
        <w:rPr>
          <w:rFonts w:ascii="Arial" w:hAnsi="Arial" w:cs="Arial"/>
          <w:b/>
          <w:sz w:val="22"/>
          <w:szCs w:val="22"/>
        </w:rPr>
        <w:t>917 563 002</w:t>
      </w:r>
      <w:r w:rsidR="00E40A56" w:rsidRPr="00E40A56">
        <w:rPr>
          <w:rFonts w:ascii="Arial" w:hAnsi="Arial" w:cs="Arial"/>
          <w:b/>
          <w:sz w:val="22"/>
          <w:szCs w:val="22"/>
        </w:rPr>
        <w:t xml:space="preserve"> </w:t>
      </w:r>
      <w:r w:rsidRPr="00E40A56">
        <w:rPr>
          <w:rFonts w:ascii="Arial" w:hAnsi="Arial" w:cs="Arial"/>
          <w:b/>
          <w:sz w:val="22"/>
          <w:szCs w:val="22"/>
        </w:rPr>
        <w:t>Ft</w:t>
      </w:r>
      <w:r w:rsidR="00E40A56">
        <w:rPr>
          <w:rFonts w:ascii="Arial" w:hAnsi="Arial" w:cs="Arial"/>
          <w:b/>
          <w:sz w:val="22"/>
          <w:szCs w:val="22"/>
        </w:rPr>
        <w:t>,</w:t>
      </w:r>
      <w:r w:rsidRPr="00E40A56">
        <w:rPr>
          <w:rFonts w:ascii="Arial" w:hAnsi="Arial" w:cs="Arial"/>
          <w:sz w:val="22"/>
          <w:szCs w:val="22"/>
        </w:rPr>
        <w:t xml:space="preserve"> </w:t>
      </w:r>
      <w:r w:rsidR="00E40A56" w:rsidRPr="00E40A56">
        <w:rPr>
          <w:rFonts w:ascii="Arial" w:hAnsi="Arial" w:cs="Arial"/>
          <w:sz w:val="22"/>
          <w:szCs w:val="22"/>
        </w:rPr>
        <w:t xml:space="preserve">ami a kötelező feladataink </w:t>
      </w:r>
      <w:r w:rsidRPr="00E40A56">
        <w:rPr>
          <w:rFonts w:ascii="Arial" w:hAnsi="Arial" w:cs="Arial"/>
          <w:sz w:val="22"/>
          <w:szCs w:val="22"/>
        </w:rPr>
        <w:t>ellátásához nyújtott állami támogatás</w:t>
      </w:r>
      <w:r w:rsidR="00FD496E">
        <w:rPr>
          <w:rFonts w:ascii="Arial" w:hAnsi="Arial" w:cs="Arial"/>
          <w:sz w:val="22"/>
          <w:szCs w:val="22"/>
        </w:rPr>
        <w:t>t jelenti</w:t>
      </w:r>
      <w:r w:rsidRPr="00E40A56">
        <w:rPr>
          <w:rFonts w:ascii="Arial" w:hAnsi="Arial" w:cs="Arial"/>
          <w:sz w:val="22"/>
          <w:szCs w:val="22"/>
        </w:rPr>
        <w:t xml:space="preserve">. </w:t>
      </w:r>
      <w:r w:rsidR="00C06B54">
        <w:rPr>
          <w:rFonts w:ascii="Arial" w:hAnsi="Arial" w:cs="Arial"/>
          <w:sz w:val="22"/>
          <w:szCs w:val="22"/>
        </w:rPr>
        <w:t>(</w:t>
      </w:r>
      <w:r w:rsidRPr="00E40A56">
        <w:rPr>
          <w:rFonts w:ascii="Arial" w:hAnsi="Arial" w:cs="Arial"/>
          <w:i/>
          <w:sz w:val="22"/>
          <w:szCs w:val="22"/>
        </w:rPr>
        <w:t>Részletesen a 11. melléklet tartalmazza</w:t>
      </w:r>
      <w:r w:rsidRPr="00E40A56">
        <w:rPr>
          <w:rFonts w:ascii="Arial" w:hAnsi="Arial" w:cs="Arial"/>
          <w:sz w:val="22"/>
          <w:szCs w:val="22"/>
        </w:rPr>
        <w:t>.</w:t>
      </w:r>
      <w:r w:rsidR="00C06B54">
        <w:rPr>
          <w:rFonts w:ascii="Arial" w:hAnsi="Arial" w:cs="Arial"/>
          <w:sz w:val="22"/>
          <w:szCs w:val="22"/>
        </w:rPr>
        <w:t xml:space="preserve">) </w:t>
      </w:r>
      <w:r w:rsidR="00CC2779">
        <w:rPr>
          <w:rFonts w:ascii="Arial" w:hAnsi="Arial" w:cs="Arial"/>
          <w:sz w:val="22"/>
          <w:szCs w:val="22"/>
        </w:rPr>
        <w:t>S</w:t>
      </w:r>
      <w:r w:rsidRPr="00C06B54">
        <w:rPr>
          <w:rFonts w:ascii="Arial" w:hAnsi="Arial" w:cs="Arial"/>
          <w:sz w:val="22"/>
          <w:szCs w:val="22"/>
        </w:rPr>
        <w:t>zolidaritási hozzájár</w:t>
      </w:r>
      <w:r w:rsidR="00C06B54" w:rsidRPr="00C06B54">
        <w:rPr>
          <w:rFonts w:ascii="Arial" w:hAnsi="Arial" w:cs="Arial"/>
          <w:sz w:val="22"/>
          <w:szCs w:val="22"/>
        </w:rPr>
        <w:t>ulás</w:t>
      </w:r>
      <w:r w:rsidR="009A2F59">
        <w:rPr>
          <w:rFonts w:ascii="Arial" w:hAnsi="Arial" w:cs="Arial"/>
          <w:sz w:val="22"/>
          <w:szCs w:val="22"/>
        </w:rPr>
        <w:t xml:space="preserve">ként </w:t>
      </w:r>
      <w:r w:rsidR="00CC2779">
        <w:rPr>
          <w:rFonts w:ascii="Arial" w:hAnsi="Arial" w:cs="Arial"/>
          <w:sz w:val="22"/>
          <w:szCs w:val="22"/>
        </w:rPr>
        <w:t>az előző évi összeggel számolunk, tekintettel arra, hogy a konkrét fizetendő összegről még nincs jogszabályban megjelent információnk.</w:t>
      </w:r>
    </w:p>
    <w:p w14:paraId="2B624671" w14:textId="77777777" w:rsidR="00C06B54" w:rsidRPr="00C06B54" w:rsidRDefault="00C06B54" w:rsidP="006325C2">
      <w:pPr>
        <w:spacing w:line="276" w:lineRule="auto"/>
        <w:jc w:val="both"/>
        <w:rPr>
          <w:rFonts w:ascii="Arial" w:hAnsi="Arial" w:cs="Arial"/>
          <w:sz w:val="22"/>
          <w:szCs w:val="22"/>
        </w:rPr>
      </w:pPr>
    </w:p>
    <w:p w14:paraId="743524AE" w14:textId="47A5DDA4" w:rsidR="00C06B54" w:rsidRPr="00343BC1" w:rsidRDefault="00FD496E" w:rsidP="006325C2">
      <w:pPr>
        <w:spacing w:line="276" w:lineRule="auto"/>
        <w:jc w:val="both"/>
        <w:rPr>
          <w:rFonts w:ascii="Arial" w:hAnsi="Arial" w:cs="Arial"/>
          <w:sz w:val="22"/>
          <w:szCs w:val="22"/>
        </w:rPr>
      </w:pPr>
      <w:r w:rsidRPr="00343BC1">
        <w:rPr>
          <w:rFonts w:ascii="Arial" w:hAnsi="Arial" w:cs="Arial"/>
          <w:sz w:val="22"/>
          <w:szCs w:val="22"/>
        </w:rPr>
        <w:t xml:space="preserve">Az </w:t>
      </w:r>
      <w:r w:rsidR="00710636" w:rsidRPr="00343BC1">
        <w:rPr>
          <w:rFonts w:ascii="Arial" w:hAnsi="Arial" w:cs="Arial"/>
          <w:sz w:val="22"/>
          <w:szCs w:val="22"/>
        </w:rPr>
        <w:t>Ö</w:t>
      </w:r>
      <w:r w:rsidR="00C06B54" w:rsidRPr="00343BC1">
        <w:rPr>
          <w:rFonts w:ascii="Arial" w:hAnsi="Arial" w:cs="Arial"/>
          <w:sz w:val="22"/>
          <w:szCs w:val="22"/>
        </w:rPr>
        <w:t>nkormányza</w:t>
      </w:r>
      <w:r w:rsidR="00E83AA0" w:rsidRPr="00343BC1">
        <w:rPr>
          <w:rFonts w:ascii="Arial" w:hAnsi="Arial" w:cs="Arial"/>
          <w:sz w:val="22"/>
          <w:szCs w:val="22"/>
        </w:rPr>
        <w:t xml:space="preserve">tunk </w:t>
      </w:r>
      <w:r w:rsidR="00E83AA0" w:rsidRPr="00343BC1">
        <w:rPr>
          <w:rFonts w:ascii="Arial" w:hAnsi="Arial" w:cs="Arial"/>
          <w:b/>
          <w:bCs/>
          <w:sz w:val="22"/>
          <w:szCs w:val="22"/>
        </w:rPr>
        <w:t>legnagyobb bevételi</w:t>
      </w:r>
      <w:r w:rsidR="00C06B54" w:rsidRPr="00343BC1">
        <w:rPr>
          <w:rFonts w:ascii="Arial" w:hAnsi="Arial" w:cs="Arial"/>
          <w:b/>
          <w:bCs/>
          <w:sz w:val="22"/>
          <w:szCs w:val="22"/>
        </w:rPr>
        <w:t xml:space="preserve"> forrásá</w:t>
      </w:r>
      <w:r w:rsidR="00E83AA0" w:rsidRPr="00343BC1">
        <w:rPr>
          <w:rFonts w:ascii="Arial" w:hAnsi="Arial" w:cs="Arial"/>
          <w:b/>
          <w:bCs/>
          <w:sz w:val="22"/>
          <w:szCs w:val="22"/>
        </w:rPr>
        <w:t>t jelentő állami támogatást</w:t>
      </w:r>
      <w:r w:rsidR="00E83AA0" w:rsidRPr="00343BC1">
        <w:rPr>
          <w:rFonts w:ascii="Arial" w:hAnsi="Arial" w:cs="Arial"/>
          <w:sz w:val="22"/>
          <w:szCs w:val="22"/>
        </w:rPr>
        <w:t xml:space="preserve"> </w:t>
      </w:r>
      <w:r w:rsidR="00C06B54" w:rsidRPr="00343BC1">
        <w:rPr>
          <w:rFonts w:ascii="Arial" w:hAnsi="Arial" w:cs="Arial"/>
          <w:sz w:val="22"/>
          <w:szCs w:val="22"/>
        </w:rPr>
        <w:t>az előző évvel összehasonlítva az alábbi táblázat szemlélteti:</w:t>
      </w:r>
    </w:p>
    <w:p w14:paraId="35CD19ED" w14:textId="5BC23E3A" w:rsidR="006325C2" w:rsidRPr="00CC2779" w:rsidRDefault="009A2EC2" w:rsidP="006325C2">
      <w:pPr>
        <w:spacing w:line="276" w:lineRule="auto"/>
        <w:jc w:val="both"/>
        <w:rPr>
          <w:rFonts w:ascii="Arial" w:hAnsi="Arial" w:cs="Arial"/>
          <w:sz w:val="22"/>
          <w:szCs w:val="22"/>
          <w:highlight w:val="yellow"/>
        </w:rPr>
      </w:pPr>
      <w:r w:rsidRPr="009A2EC2">
        <w:rPr>
          <w:noProof/>
          <w:lang w:eastAsia="hu-HU"/>
        </w:rPr>
        <w:drawing>
          <wp:inline distT="0" distB="0" distL="0" distR="0" wp14:anchorId="53F82264" wp14:editId="6B44EFAB">
            <wp:extent cx="5760720" cy="2894965"/>
            <wp:effectExtent l="0" t="0" r="0" b="635"/>
            <wp:docPr id="106239850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894965"/>
                    </a:xfrm>
                    <a:prstGeom prst="rect">
                      <a:avLst/>
                    </a:prstGeom>
                    <a:noFill/>
                    <a:ln>
                      <a:noFill/>
                    </a:ln>
                  </pic:spPr>
                </pic:pic>
              </a:graphicData>
            </a:graphic>
          </wp:inline>
        </w:drawing>
      </w:r>
    </w:p>
    <w:p w14:paraId="18687689" w14:textId="7592CE49" w:rsidR="006325C2" w:rsidRPr="00CC2779" w:rsidRDefault="006325C2" w:rsidP="004C1694">
      <w:pPr>
        <w:spacing w:line="276" w:lineRule="auto"/>
        <w:jc w:val="both"/>
        <w:rPr>
          <w:rFonts w:ascii="Arial" w:hAnsi="Arial" w:cs="Arial"/>
          <w:sz w:val="22"/>
          <w:szCs w:val="22"/>
          <w:highlight w:val="yellow"/>
        </w:rPr>
      </w:pPr>
    </w:p>
    <w:p w14:paraId="49210034" w14:textId="77777777" w:rsidR="00C4594F" w:rsidRDefault="006B1FA7" w:rsidP="004C1694">
      <w:pPr>
        <w:spacing w:line="276" w:lineRule="auto"/>
        <w:jc w:val="both"/>
        <w:rPr>
          <w:rFonts w:ascii="Arial" w:hAnsi="Arial" w:cs="Arial"/>
          <w:sz w:val="22"/>
          <w:szCs w:val="22"/>
        </w:rPr>
      </w:pPr>
      <w:r w:rsidRPr="00990DD5">
        <w:rPr>
          <w:rFonts w:ascii="Arial" w:hAnsi="Arial" w:cs="Arial"/>
          <w:sz w:val="22"/>
          <w:szCs w:val="22"/>
        </w:rPr>
        <w:t>Az eredeti előirányzatokat tekintve Önkormányzatunk a 202</w:t>
      </w:r>
      <w:r w:rsidR="00FF7144" w:rsidRPr="00990DD5">
        <w:rPr>
          <w:rFonts w:ascii="Arial" w:hAnsi="Arial" w:cs="Arial"/>
          <w:sz w:val="22"/>
          <w:szCs w:val="22"/>
        </w:rPr>
        <w:t>5</w:t>
      </w:r>
      <w:r w:rsidR="008519DF" w:rsidRPr="00990DD5">
        <w:rPr>
          <w:rFonts w:ascii="Arial" w:hAnsi="Arial" w:cs="Arial"/>
          <w:sz w:val="22"/>
          <w:szCs w:val="22"/>
        </w:rPr>
        <w:t xml:space="preserve">. évben </w:t>
      </w:r>
      <w:r w:rsidRPr="00990DD5">
        <w:rPr>
          <w:rFonts w:ascii="Arial" w:hAnsi="Arial" w:cs="Arial"/>
          <w:sz w:val="22"/>
          <w:szCs w:val="22"/>
        </w:rPr>
        <w:t xml:space="preserve">közel </w:t>
      </w:r>
      <w:r w:rsidR="00FF7144" w:rsidRPr="00990DD5">
        <w:rPr>
          <w:rFonts w:ascii="Arial" w:hAnsi="Arial" w:cs="Arial"/>
          <w:sz w:val="22"/>
          <w:szCs w:val="22"/>
        </w:rPr>
        <w:t>62,5</w:t>
      </w:r>
      <w:r w:rsidRPr="00990DD5">
        <w:rPr>
          <w:rFonts w:ascii="Arial" w:hAnsi="Arial" w:cs="Arial"/>
          <w:sz w:val="22"/>
          <w:szCs w:val="22"/>
        </w:rPr>
        <w:t xml:space="preserve"> millió Ft-tal</w:t>
      </w:r>
      <w:r w:rsidR="00581F5C" w:rsidRPr="00990DD5">
        <w:rPr>
          <w:rFonts w:ascii="Arial" w:hAnsi="Arial" w:cs="Arial"/>
          <w:sz w:val="22"/>
          <w:szCs w:val="22"/>
        </w:rPr>
        <w:t xml:space="preserve"> több állami támogatási bevétellel számolhat</w:t>
      </w:r>
      <w:r w:rsidR="006618D1" w:rsidRPr="00990DD5">
        <w:rPr>
          <w:rFonts w:ascii="Arial" w:hAnsi="Arial" w:cs="Arial"/>
          <w:sz w:val="22"/>
          <w:szCs w:val="22"/>
        </w:rPr>
        <w:t xml:space="preserve"> a kötelező feladatok finanszírozásához</w:t>
      </w:r>
      <w:r w:rsidRPr="00990DD5">
        <w:rPr>
          <w:rFonts w:ascii="Arial" w:hAnsi="Arial" w:cs="Arial"/>
          <w:sz w:val="22"/>
          <w:szCs w:val="22"/>
        </w:rPr>
        <w:t xml:space="preserve">, </w:t>
      </w:r>
      <w:r w:rsidR="006618D1" w:rsidRPr="00990DD5">
        <w:rPr>
          <w:rFonts w:ascii="Arial" w:hAnsi="Arial" w:cs="Arial"/>
          <w:sz w:val="22"/>
          <w:szCs w:val="22"/>
        </w:rPr>
        <w:t xml:space="preserve">mint az előző évi költségvetés összeállításánál. </w:t>
      </w:r>
    </w:p>
    <w:p w14:paraId="4ADDD79E" w14:textId="77777777" w:rsidR="00C4594F" w:rsidRDefault="00C4594F" w:rsidP="004C1694">
      <w:pPr>
        <w:spacing w:line="276" w:lineRule="auto"/>
        <w:jc w:val="both"/>
        <w:rPr>
          <w:rFonts w:ascii="Arial" w:hAnsi="Arial" w:cs="Arial"/>
          <w:sz w:val="22"/>
          <w:szCs w:val="22"/>
        </w:rPr>
      </w:pPr>
    </w:p>
    <w:p w14:paraId="3AF5D610" w14:textId="1211AB1B" w:rsidR="00CF0C39" w:rsidRPr="00990DD5" w:rsidRDefault="00581F5C" w:rsidP="004C1694">
      <w:pPr>
        <w:spacing w:line="276" w:lineRule="auto"/>
        <w:jc w:val="both"/>
        <w:rPr>
          <w:rFonts w:ascii="Arial" w:hAnsi="Arial" w:cs="Arial"/>
          <w:sz w:val="22"/>
          <w:szCs w:val="22"/>
        </w:rPr>
      </w:pPr>
      <w:r w:rsidRPr="00990DD5">
        <w:rPr>
          <w:rFonts w:ascii="Arial" w:hAnsi="Arial" w:cs="Arial"/>
          <w:sz w:val="22"/>
          <w:szCs w:val="22"/>
        </w:rPr>
        <w:t>A szoli</w:t>
      </w:r>
      <w:r w:rsidR="006B1FA7" w:rsidRPr="00990DD5">
        <w:rPr>
          <w:rFonts w:ascii="Arial" w:hAnsi="Arial" w:cs="Arial"/>
          <w:sz w:val="22"/>
          <w:szCs w:val="22"/>
        </w:rPr>
        <w:t>daritási hozzájárulás</w:t>
      </w:r>
      <w:r w:rsidR="006618D1" w:rsidRPr="00990DD5">
        <w:rPr>
          <w:rFonts w:ascii="Arial" w:hAnsi="Arial" w:cs="Arial"/>
          <w:sz w:val="22"/>
          <w:szCs w:val="22"/>
        </w:rPr>
        <w:t>t az előző évi szinten tartalmazza a javaslat.</w:t>
      </w:r>
      <w:r w:rsidR="006B1FA7" w:rsidRPr="00990DD5">
        <w:rPr>
          <w:rFonts w:ascii="Arial" w:hAnsi="Arial" w:cs="Arial"/>
          <w:sz w:val="22"/>
          <w:szCs w:val="22"/>
        </w:rPr>
        <w:t xml:space="preserve"> </w:t>
      </w:r>
    </w:p>
    <w:p w14:paraId="04220419" w14:textId="77777777" w:rsidR="003F0C3C" w:rsidRPr="00990DD5" w:rsidRDefault="003F0C3C" w:rsidP="004C1694">
      <w:pPr>
        <w:spacing w:line="276" w:lineRule="auto"/>
        <w:jc w:val="both"/>
        <w:rPr>
          <w:rFonts w:ascii="Arial" w:hAnsi="Arial" w:cs="Arial"/>
          <w:sz w:val="22"/>
          <w:szCs w:val="22"/>
        </w:rPr>
      </w:pPr>
    </w:p>
    <w:p w14:paraId="24DE122B" w14:textId="0F3DE223" w:rsidR="004653FF" w:rsidRPr="00E83EB3" w:rsidRDefault="003F0C3C" w:rsidP="004653FF">
      <w:pPr>
        <w:spacing w:line="276" w:lineRule="auto"/>
        <w:jc w:val="both"/>
        <w:rPr>
          <w:rFonts w:ascii="Arial" w:hAnsi="Arial" w:cs="Arial"/>
          <w:sz w:val="22"/>
          <w:szCs w:val="22"/>
        </w:rPr>
      </w:pPr>
      <w:r w:rsidRPr="00990DD5">
        <w:rPr>
          <w:rFonts w:ascii="Arial" w:hAnsi="Arial" w:cs="Arial"/>
          <w:sz w:val="22"/>
          <w:szCs w:val="22"/>
        </w:rPr>
        <w:t>A műkö</w:t>
      </w:r>
      <w:r w:rsidR="008375FF" w:rsidRPr="00990DD5">
        <w:rPr>
          <w:rFonts w:ascii="Arial" w:hAnsi="Arial" w:cs="Arial"/>
          <w:sz w:val="22"/>
          <w:szCs w:val="22"/>
        </w:rPr>
        <w:t xml:space="preserve">désünk általános támogatására </w:t>
      </w:r>
      <w:r w:rsidR="006618D1" w:rsidRPr="00990DD5">
        <w:rPr>
          <w:rFonts w:ascii="Arial" w:hAnsi="Arial" w:cs="Arial"/>
          <w:sz w:val="22"/>
          <w:szCs w:val="22"/>
        </w:rPr>
        <w:t>7,2</w:t>
      </w:r>
      <w:r w:rsidRPr="00990DD5">
        <w:rPr>
          <w:rFonts w:ascii="Arial" w:hAnsi="Arial" w:cs="Arial"/>
          <w:sz w:val="22"/>
          <w:szCs w:val="22"/>
        </w:rPr>
        <w:t xml:space="preserve"> millió Ft-ta</w:t>
      </w:r>
      <w:r w:rsidR="004653FF" w:rsidRPr="00990DD5">
        <w:rPr>
          <w:rFonts w:ascii="Arial" w:hAnsi="Arial" w:cs="Arial"/>
          <w:sz w:val="22"/>
          <w:szCs w:val="22"/>
        </w:rPr>
        <w:t>l több központi forrás szerepel</w:t>
      </w:r>
      <w:r w:rsidRPr="00990DD5">
        <w:rPr>
          <w:rFonts w:ascii="Arial" w:hAnsi="Arial" w:cs="Arial"/>
          <w:sz w:val="22"/>
          <w:szCs w:val="22"/>
        </w:rPr>
        <w:t xml:space="preserve">, mint az előző évben. </w:t>
      </w:r>
      <w:r w:rsidR="004653FF" w:rsidRPr="00990DD5">
        <w:rPr>
          <w:rFonts w:ascii="Arial" w:hAnsi="Arial" w:cs="Arial"/>
          <w:sz w:val="22"/>
          <w:szCs w:val="22"/>
        </w:rPr>
        <w:t>Ez az összeg több jogcímet (Önkormányzati hivatal működésének támogatása, településüzemeltetés támogatása,</w:t>
      </w:r>
      <w:r w:rsidR="004653FF" w:rsidRPr="00990DD5">
        <w:t xml:space="preserve"> </w:t>
      </w:r>
      <w:r w:rsidR="004653FF" w:rsidRPr="00990DD5">
        <w:rPr>
          <w:rFonts w:ascii="Arial" w:hAnsi="Arial" w:cs="Arial"/>
          <w:sz w:val="22"/>
          <w:szCs w:val="22"/>
        </w:rPr>
        <w:t>egyéb önkormányzati feladatok támogatása,</w:t>
      </w:r>
      <w:r w:rsidR="004653FF" w:rsidRPr="00990DD5">
        <w:t xml:space="preserve"> </w:t>
      </w:r>
      <w:r w:rsidR="004653FF" w:rsidRPr="00990DD5">
        <w:rPr>
          <w:rFonts w:ascii="Arial" w:hAnsi="Arial" w:cs="Arial"/>
          <w:sz w:val="22"/>
          <w:szCs w:val="22"/>
        </w:rPr>
        <w:t>lakott külterülettel kapcsolatos feladatok támogatása</w:t>
      </w:r>
      <w:r w:rsidR="00067881" w:rsidRPr="00990DD5">
        <w:rPr>
          <w:rFonts w:ascii="Arial" w:hAnsi="Arial" w:cs="Arial"/>
          <w:sz w:val="22"/>
          <w:szCs w:val="22"/>
        </w:rPr>
        <w:t>, közvilágítási üzemeltetési kiadásokra nyújtott támogatás</w:t>
      </w:r>
      <w:r w:rsidR="00204800" w:rsidRPr="00990DD5">
        <w:rPr>
          <w:rFonts w:ascii="Arial" w:hAnsi="Arial" w:cs="Arial"/>
          <w:sz w:val="22"/>
          <w:szCs w:val="22"/>
        </w:rPr>
        <w:t>) ér</w:t>
      </w:r>
      <w:r w:rsidR="00067881" w:rsidRPr="00990DD5">
        <w:rPr>
          <w:rFonts w:ascii="Arial" w:hAnsi="Arial" w:cs="Arial"/>
          <w:sz w:val="22"/>
          <w:szCs w:val="22"/>
        </w:rPr>
        <w:t xml:space="preserve">int. </w:t>
      </w:r>
      <w:r w:rsidR="00067881" w:rsidRPr="00B84896">
        <w:rPr>
          <w:rFonts w:ascii="Arial" w:hAnsi="Arial" w:cs="Arial"/>
          <w:b/>
          <w:bCs/>
          <w:sz w:val="22"/>
          <w:szCs w:val="22"/>
        </w:rPr>
        <w:t xml:space="preserve">A KÖH fenntartására </w:t>
      </w:r>
      <w:r w:rsidR="00990DD5" w:rsidRPr="00B84896">
        <w:rPr>
          <w:rFonts w:ascii="Arial" w:hAnsi="Arial" w:cs="Arial"/>
          <w:b/>
          <w:bCs/>
          <w:sz w:val="22"/>
          <w:szCs w:val="22"/>
        </w:rPr>
        <w:t>eredeti előirányzatként biztosított állami támogatás 179 172 578 Ft, ami azonos összegű az előző évivel.  Nem tartalmazza ez az összeg az elfogadott központi költségvetésben már szerepeltetett normatív támogatásból adódó bevételi többletet, a kiegészítő állami támogatás összegét, valamint Várdomb Község csatlakozása miatti forrásbővülést sem</w:t>
      </w:r>
      <w:r w:rsidR="00990DD5" w:rsidRPr="00990DD5">
        <w:rPr>
          <w:rFonts w:ascii="Arial" w:hAnsi="Arial" w:cs="Arial"/>
          <w:sz w:val="22"/>
          <w:szCs w:val="22"/>
        </w:rPr>
        <w:t>. A</w:t>
      </w:r>
      <w:r w:rsidR="00204800" w:rsidRPr="00990DD5">
        <w:rPr>
          <w:rFonts w:ascii="Arial" w:hAnsi="Arial" w:cs="Arial"/>
          <w:sz w:val="22"/>
          <w:szCs w:val="22"/>
        </w:rPr>
        <w:t xml:space="preserve"> többi jogcím esetén </w:t>
      </w:r>
      <w:r w:rsidR="00067881" w:rsidRPr="00990DD5">
        <w:rPr>
          <w:rFonts w:ascii="Arial" w:hAnsi="Arial" w:cs="Arial"/>
          <w:sz w:val="22"/>
          <w:szCs w:val="22"/>
        </w:rPr>
        <w:t>közel azonos nagyságrendű az állami támogatá</w:t>
      </w:r>
      <w:r w:rsidR="00990DD5" w:rsidRPr="00990DD5">
        <w:rPr>
          <w:rFonts w:ascii="Arial" w:hAnsi="Arial" w:cs="Arial"/>
          <w:sz w:val="22"/>
          <w:szCs w:val="22"/>
        </w:rPr>
        <w:t xml:space="preserve">s. </w:t>
      </w:r>
      <w:r w:rsidR="00990DD5">
        <w:rPr>
          <w:rFonts w:ascii="Arial" w:hAnsi="Arial" w:cs="Arial"/>
          <w:sz w:val="22"/>
          <w:szCs w:val="22"/>
        </w:rPr>
        <w:t>Új finanszírozási jogcímként van jelen a p</w:t>
      </w:r>
      <w:r w:rsidR="00990DD5" w:rsidRPr="00990DD5">
        <w:rPr>
          <w:rFonts w:ascii="Arial" w:hAnsi="Arial" w:cs="Arial"/>
          <w:sz w:val="22"/>
          <w:szCs w:val="22"/>
        </w:rPr>
        <w:t>olgármesteri illetményhez és költségtérítéshez nyújtott támogatás</w:t>
      </w:r>
      <w:r w:rsidR="00067881" w:rsidRPr="00E83EB3">
        <w:rPr>
          <w:rFonts w:ascii="Arial" w:hAnsi="Arial" w:cs="Arial"/>
          <w:sz w:val="22"/>
          <w:szCs w:val="22"/>
        </w:rPr>
        <w:t xml:space="preserve">, </w:t>
      </w:r>
      <w:r w:rsidR="00990DD5" w:rsidRPr="00E83EB3">
        <w:rPr>
          <w:rFonts w:ascii="Arial" w:hAnsi="Arial" w:cs="Arial"/>
          <w:sz w:val="22"/>
          <w:szCs w:val="22"/>
        </w:rPr>
        <w:t xml:space="preserve">melynek összege 7 341 849 Ft. (Ez az összeg </w:t>
      </w:r>
      <w:r w:rsidR="00E83EB3">
        <w:rPr>
          <w:rFonts w:ascii="Arial" w:hAnsi="Arial" w:cs="Arial"/>
          <w:sz w:val="22"/>
          <w:szCs w:val="22"/>
        </w:rPr>
        <w:t xml:space="preserve">az előző év két </w:t>
      </w:r>
      <w:r w:rsidR="00990DD5" w:rsidRPr="00E83EB3">
        <w:rPr>
          <w:rFonts w:ascii="Arial" w:hAnsi="Arial" w:cs="Arial"/>
          <w:sz w:val="22"/>
          <w:szCs w:val="22"/>
        </w:rPr>
        <w:t xml:space="preserve">havi és </w:t>
      </w:r>
      <w:r w:rsidR="00E83EB3" w:rsidRPr="00E83EB3">
        <w:rPr>
          <w:rFonts w:ascii="Arial" w:hAnsi="Arial" w:cs="Arial"/>
          <w:sz w:val="22"/>
          <w:szCs w:val="22"/>
        </w:rPr>
        <w:t>az idei év hét</w:t>
      </w:r>
      <w:r w:rsidR="00990DD5" w:rsidRPr="00E83EB3">
        <w:rPr>
          <w:rFonts w:ascii="Arial" w:hAnsi="Arial" w:cs="Arial"/>
          <w:sz w:val="22"/>
          <w:szCs w:val="22"/>
        </w:rPr>
        <w:t xml:space="preserve"> havi többletteher ellentételezés</w:t>
      </w:r>
      <w:r w:rsidR="00540853" w:rsidRPr="00E83EB3">
        <w:rPr>
          <w:rFonts w:ascii="Arial" w:hAnsi="Arial" w:cs="Arial"/>
          <w:sz w:val="22"/>
          <w:szCs w:val="22"/>
        </w:rPr>
        <w:t>e</w:t>
      </w:r>
      <w:r w:rsidR="00990DD5" w:rsidRPr="00E83EB3">
        <w:rPr>
          <w:rFonts w:ascii="Arial" w:hAnsi="Arial" w:cs="Arial"/>
          <w:sz w:val="22"/>
          <w:szCs w:val="22"/>
        </w:rPr>
        <w:t>k</w:t>
      </w:r>
      <w:r w:rsidR="00540853" w:rsidRPr="00E83EB3">
        <w:rPr>
          <w:rFonts w:ascii="Arial" w:hAnsi="Arial" w:cs="Arial"/>
          <w:sz w:val="22"/>
          <w:szCs w:val="22"/>
        </w:rPr>
        <w:t>é</w:t>
      </w:r>
      <w:r w:rsidR="00990DD5" w:rsidRPr="00E83EB3">
        <w:rPr>
          <w:rFonts w:ascii="Arial" w:hAnsi="Arial" w:cs="Arial"/>
          <w:sz w:val="22"/>
          <w:szCs w:val="22"/>
        </w:rPr>
        <w:t>nt van jelen.)</w:t>
      </w:r>
    </w:p>
    <w:p w14:paraId="3B099298" w14:textId="4F6EFBDB" w:rsidR="00CF0C39" w:rsidRPr="00CC2779" w:rsidRDefault="00CF0C39" w:rsidP="003F0C3C">
      <w:pPr>
        <w:spacing w:line="276" w:lineRule="auto"/>
        <w:jc w:val="both"/>
        <w:rPr>
          <w:rFonts w:ascii="Arial" w:hAnsi="Arial" w:cs="Arial"/>
          <w:sz w:val="22"/>
          <w:szCs w:val="22"/>
          <w:highlight w:val="yellow"/>
        </w:rPr>
      </w:pPr>
    </w:p>
    <w:p w14:paraId="7949994C" w14:textId="616DCB81" w:rsidR="00CF0C39" w:rsidRPr="00EB743D" w:rsidRDefault="00733F5A" w:rsidP="004C1694">
      <w:pPr>
        <w:spacing w:line="276" w:lineRule="auto"/>
        <w:jc w:val="both"/>
        <w:rPr>
          <w:rFonts w:ascii="Arial" w:hAnsi="Arial" w:cs="Arial"/>
          <w:sz w:val="22"/>
          <w:szCs w:val="22"/>
        </w:rPr>
      </w:pPr>
      <w:r w:rsidRPr="00EB743D">
        <w:rPr>
          <w:rFonts w:ascii="Arial" w:hAnsi="Arial" w:cs="Arial"/>
          <w:sz w:val="22"/>
          <w:szCs w:val="22"/>
        </w:rPr>
        <w:t xml:space="preserve">Az egyes köznevelési feladataink támogatása </w:t>
      </w:r>
      <w:r w:rsidR="00990DD5" w:rsidRPr="00EB743D">
        <w:rPr>
          <w:rFonts w:ascii="Arial" w:hAnsi="Arial" w:cs="Arial"/>
          <w:sz w:val="22"/>
          <w:szCs w:val="22"/>
        </w:rPr>
        <w:t xml:space="preserve">közel 33 </w:t>
      </w:r>
      <w:r w:rsidRPr="00EB743D">
        <w:rPr>
          <w:rFonts w:ascii="Arial" w:hAnsi="Arial" w:cs="Arial"/>
          <w:sz w:val="22"/>
          <w:szCs w:val="22"/>
        </w:rPr>
        <w:t xml:space="preserve">millió Ft-tal növekedett az előző évi tényszámhoz képest, </w:t>
      </w:r>
      <w:r w:rsidR="003C2235" w:rsidRPr="00EB743D">
        <w:rPr>
          <w:rFonts w:ascii="Arial" w:hAnsi="Arial" w:cs="Arial"/>
          <w:sz w:val="22"/>
          <w:szCs w:val="22"/>
        </w:rPr>
        <w:t xml:space="preserve">ami </w:t>
      </w:r>
      <w:r w:rsidRPr="00EB743D">
        <w:rPr>
          <w:rFonts w:ascii="Arial" w:hAnsi="Arial" w:cs="Arial"/>
          <w:sz w:val="22"/>
          <w:szCs w:val="22"/>
        </w:rPr>
        <w:t>alapvetően a</w:t>
      </w:r>
      <w:r w:rsidR="006F65D1" w:rsidRPr="00EB743D">
        <w:rPr>
          <w:rFonts w:ascii="Arial" w:hAnsi="Arial" w:cs="Arial"/>
          <w:sz w:val="22"/>
          <w:szCs w:val="22"/>
        </w:rPr>
        <w:t xml:space="preserve"> pedagógus életpálya bevezetésével összefüggő béremelés fedezetének biztosítását jelenti.</w:t>
      </w:r>
    </w:p>
    <w:p w14:paraId="77F83D0B" w14:textId="77777777" w:rsidR="00EB743D" w:rsidRPr="00EB743D" w:rsidRDefault="00EB743D" w:rsidP="004C1694">
      <w:pPr>
        <w:spacing w:line="276" w:lineRule="auto"/>
        <w:jc w:val="both"/>
        <w:rPr>
          <w:rFonts w:ascii="Arial" w:hAnsi="Arial" w:cs="Arial"/>
          <w:sz w:val="22"/>
          <w:szCs w:val="22"/>
        </w:rPr>
      </w:pPr>
    </w:p>
    <w:p w14:paraId="6140E926" w14:textId="547A3B15" w:rsidR="00C75570" w:rsidRPr="00EB743D" w:rsidRDefault="00EB743D" w:rsidP="004C1694">
      <w:pPr>
        <w:spacing w:line="276" w:lineRule="auto"/>
        <w:jc w:val="both"/>
        <w:rPr>
          <w:rFonts w:ascii="Arial" w:hAnsi="Arial" w:cs="Arial"/>
          <w:sz w:val="22"/>
          <w:szCs w:val="22"/>
        </w:rPr>
      </w:pPr>
      <w:r w:rsidRPr="00EB743D">
        <w:rPr>
          <w:rFonts w:ascii="Arial" w:hAnsi="Arial" w:cs="Arial"/>
          <w:sz w:val="22"/>
          <w:szCs w:val="22"/>
        </w:rPr>
        <w:t xml:space="preserve">A család- és gyermekjóléti szolgálattal összefüggő feladatokra rendelkezésre álló fedezet közel 11,3 millió Ft-ot tesz ki, mely összeg azonos az előző évivel. </w:t>
      </w:r>
    </w:p>
    <w:p w14:paraId="12D6CD7D" w14:textId="77777777" w:rsidR="00EB743D" w:rsidRPr="00EB743D" w:rsidRDefault="00EB743D" w:rsidP="004C1694">
      <w:pPr>
        <w:spacing w:line="276" w:lineRule="auto"/>
        <w:jc w:val="both"/>
        <w:rPr>
          <w:rFonts w:ascii="Arial" w:hAnsi="Arial" w:cs="Arial"/>
          <w:sz w:val="22"/>
          <w:szCs w:val="22"/>
        </w:rPr>
      </w:pPr>
    </w:p>
    <w:p w14:paraId="178AEEC6" w14:textId="094676AE" w:rsidR="00CF0C39" w:rsidRPr="00EB743D" w:rsidRDefault="00C75570" w:rsidP="004C1694">
      <w:pPr>
        <w:spacing w:line="276" w:lineRule="auto"/>
        <w:jc w:val="both"/>
        <w:rPr>
          <w:rFonts w:ascii="Arial" w:hAnsi="Arial" w:cs="Arial"/>
          <w:sz w:val="22"/>
          <w:szCs w:val="22"/>
        </w:rPr>
      </w:pPr>
      <w:r w:rsidRPr="00EB743D">
        <w:rPr>
          <w:rFonts w:ascii="Arial" w:hAnsi="Arial" w:cs="Arial"/>
          <w:sz w:val="22"/>
          <w:szCs w:val="22"/>
        </w:rPr>
        <w:t>Szociális feladatellátás</w:t>
      </w:r>
      <w:r w:rsidR="006F65D1" w:rsidRPr="00EB743D">
        <w:rPr>
          <w:rFonts w:ascii="Arial" w:hAnsi="Arial" w:cs="Arial"/>
          <w:sz w:val="22"/>
          <w:szCs w:val="22"/>
        </w:rPr>
        <w:t xml:space="preserve">ra közel </w:t>
      </w:r>
      <w:r w:rsidR="00990DD5" w:rsidRPr="00EB743D">
        <w:rPr>
          <w:rFonts w:ascii="Arial" w:hAnsi="Arial" w:cs="Arial"/>
          <w:sz w:val="22"/>
          <w:szCs w:val="22"/>
        </w:rPr>
        <w:t>6</w:t>
      </w:r>
      <w:r w:rsidR="00EB743D" w:rsidRPr="00EB743D">
        <w:rPr>
          <w:rFonts w:ascii="Arial" w:hAnsi="Arial" w:cs="Arial"/>
          <w:sz w:val="22"/>
          <w:szCs w:val="22"/>
        </w:rPr>
        <w:t>,3 millió Ft-</w:t>
      </w:r>
      <w:r w:rsidR="00324F0B" w:rsidRPr="00EB743D">
        <w:rPr>
          <w:rFonts w:ascii="Arial" w:hAnsi="Arial" w:cs="Arial"/>
          <w:sz w:val="22"/>
          <w:szCs w:val="22"/>
        </w:rPr>
        <w:t xml:space="preserve">tal </w:t>
      </w:r>
      <w:r w:rsidR="00EB743D" w:rsidRPr="00EB743D">
        <w:rPr>
          <w:rFonts w:ascii="Arial" w:hAnsi="Arial" w:cs="Arial"/>
          <w:sz w:val="22"/>
          <w:szCs w:val="22"/>
        </w:rPr>
        <w:t>tö</w:t>
      </w:r>
      <w:r w:rsidR="00324F0B" w:rsidRPr="00EB743D">
        <w:rPr>
          <w:rFonts w:ascii="Arial" w:hAnsi="Arial" w:cs="Arial"/>
          <w:sz w:val="22"/>
          <w:szCs w:val="22"/>
        </w:rPr>
        <w:t>bb forrással számolhatunk</w:t>
      </w:r>
      <w:r w:rsidR="00EB743D" w:rsidRPr="00EB743D">
        <w:rPr>
          <w:rFonts w:ascii="Arial" w:hAnsi="Arial" w:cs="Arial"/>
          <w:sz w:val="22"/>
          <w:szCs w:val="22"/>
        </w:rPr>
        <w:t xml:space="preserve"> az előző évi eredeti előirányzathoz képest.</w:t>
      </w:r>
      <w:r w:rsidR="00324F0B" w:rsidRPr="00EB743D">
        <w:rPr>
          <w:rFonts w:ascii="Arial" w:hAnsi="Arial" w:cs="Arial"/>
          <w:sz w:val="22"/>
          <w:szCs w:val="22"/>
        </w:rPr>
        <w:t xml:space="preserve"> </w:t>
      </w:r>
    </w:p>
    <w:p w14:paraId="4996592E" w14:textId="77777777" w:rsidR="00324F0B" w:rsidRPr="00EB743D" w:rsidRDefault="00324F0B" w:rsidP="00324F0B">
      <w:pPr>
        <w:spacing w:line="276" w:lineRule="auto"/>
        <w:jc w:val="both"/>
        <w:rPr>
          <w:rFonts w:ascii="Arial" w:hAnsi="Arial" w:cs="Arial"/>
          <w:sz w:val="22"/>
          <w:szCs w:val="22"/>
        </w:rPr>
      </w:pPr>
    </w:p>
    <w:p w14:paraId="3AADEBAA" w14:textId="3922C210" w:rsidR="00324F0B" w:rsidRPr="00EB743D" w:rsidRDefault="00324F0B" w:rsidP="00324F0B">
      <w:pPr>
        <w:spacing w:line="276" w:lineRule="auto"/>
        <w:jc w:val="both"/>
        <w:rPr>
          <w:rFonts w:ascii="Arial" w:hAnsi="Arial" w:cs="Arial"/>
          <w:sz w:val="22"/>
          <w:szCs w:val="22"/>
        </w:rPr>
      </w:pPr>
      <w:r w:rsidRPr="00EB743D">
        <w:rPr>
          <w:rFonts w:ascii="Arial" w:hAnsi="Arial" w:cs="Arial"/>
          <w:sz w:val="22"/>
          <w:szCs w:val="22"/>
        </w:rPr>
        <w:t xml:space="preserve">Bölcsődei feladatellátásra mintegy </w:t>
      </w:r>
      <w:r w:rsidR="00EB743D" w:rsidRPr="00EB743D">
        <w:rPr>
          <w:rFonts w:ascii="Arial" w:hAnsi="Arial" w:cs="Arial"/>
          <w:sz w:val="22"/>
          <w:szCs w:val="22"/>
        </w:rPr>
        <w:t>1,5</w:t>
      </w:r>
      <w:r w:rsidRPr="00EB743D">
        <w:rPr>
          <w:rFonts w:ascii="Arial" w:hAnsi="Arial" w:cs="Arial"/>
          <w:sz w:val="22"/>
          <w:szCs w:val="22"/>
        </w:rPr>
        <w:t xml:space="preserve"> millió Ft az emelkedés, mely </w:t>
      </w:r>
      <w:r w:rsidR="006F65D1" w:rsidRPr="00EB743D">
        <w:rPr>
          <w:rFonts w:ascii="Arial" w:hAnsi="Arial" w:cs="Arial"/>
          <w:sz w:val="22"/>
          <w:szCs w:val="22"/>
        </w:rPr>
        <w:t xml:space="preserve">alapvetően bértámogatáshoz </w:t>
      </w:r>
      <w:r w:rsidRPr="00EB743D">
        <w:rPr>
          <w:rFonts w:ascii="Arial" w:hAnsi="Arial" w:cs="Arial"/>
          <w:sz w:val="22"/>
          <w:szCs w:val="22"/>
        </w:rPr>
        <w:t>kapcsolódik.</w:t>
      </w:r>
    </w:p>
    <w:p w14:paraId="0AFBED55" w14:textId="7DCC7AF7" w:rsidR="003B2D24" w:rsidRPr="00EB743D" w:rsidRDefault="003B2D24" w:rsidP="00324F0B">
      <w:pPr>
        <w:spacing w:line="276" w:lineRule="auto"/>
        <w:jc w:val="both"/>
        <w:rPr>
          <w:rFonts w:ascii="Arial" w:hAnsi="Arial" w:cs="Arial"/>
          <w:sz w:val="22"/>
          <w:szCs w:val="22"/>
        </w:rPr>
      </w:pPr>
    </w:p>
    <w:p w14:paraId="28965290" w14:textId="23EE983D" w:rsidR="003B2D24" w:rsidRPr="00EB743D" w:rsidRDefault="003B2D24" w:rsidP="00324F0B">
      <w:pPr>
        <w:spacing w:line="276" w:lineRule="auto"/>
        <w:jc w:val="both"/>
        <w:rPr>
          <w:rFonts w:ascii="Arial" w:hAnsi="Arial" w:cs="Arial"/>
          <w:sz w:val="22"/>
          <w:szCs w:val="22"/>
        </w:rPr>
      </w:pPr>
      <w:r w:rsidRPr="00EB743D">
        <w:rPr>
          <w:rFonts w:ascii="Arial" w:hAnsi="Arial" w:cs="Arial"/>
          <w:sz w:val="22"/>
          <w:szCs w:val="22"/>
        </w:rPr>
        <w:t>A gyermekétkeztet</w:t>
      </w:r>
      <w:r w:rsidR="0060691B" w:rsidRPr="00EB743D">
        <w:rPr>
          <w:rFonts w:ascii="Arial" w:hAnsi="Arial" w:cs="Arial"/>
          <w:sz w:val="22"/>
          <w:szCs w:val="22"/>
        </w:rPr>
        <w:t xml:space="preserve">ési feladataink támogatására </w:t>
      </w:r>
      <w:r w:rsidR="00EB743D" w:rsidRPr="00EB743D">
        <w:rPr>
          <w:rFonts w:ascii="Arial" w:hAnsi="Arial" w:cs="Arial"/>
          <w:sz w:val="22"/>
          <w:szCs w:val="22"/>
        </w:rPr>
        <w:t xml:space="preserve">közel </w:t>
      </w:r>
      <w:r w:rsidR="0060691B" w:rsidRPr="00EB743D">
        <w:rPr>
          <w:rFonts w:ascii="Arial" w:hAnsi="Arial" w:cs="Arial"/>
          <w:sz w:val="22"/>
          <w:szCs w:val="22"/>
        </w:rPr>
        <w:t>1</w:t>
      </w:r>
      <w:r w:rsidR="00EB743D" w:rsidRPr="00EB743D">
        <w:rPr>
          <w:rFonts w:ascii="Arial" w:hAnsi="Arial" w:cs="Arial"/>
          <w:sz w:val="22"/>
          <w:szCs w:val="22"/>
        </w:rPr>
        <w:t>43</w:t>
      </w:r>
      <w:r w:rsidRPr="00EB743D">
        <w:rPr>
          <w:rFonts w:ascii="Arial" w:hAnsi="Arial" w:cs="Arial"/>
          <w:sz w:val="22"/>
          <w:szCs w:val="22"/>
        </w:rPr>
        <w:t xml:space="preserve"> millió Ft-ot a normatív támogatás, </w:t>
      </w:r>
      <w:r w:rsidR="0060691B" w:rsidRPr="00EB743D">
        <w:rPr>
          <w:rFonts w:ascii="Arial" w:hAnsi="Arial" w:cs="Arial"/>
          <w:sz w:val="22"/>
          <w:szCs w:val="22"/>
        </w:rPr>
        <w:t xml:space="preserve">itt is alapvetően bértámogatásokhoz köthető a jelentkező többlet. </w:t>
      </w:r>
    </w:p>
    <w:p w14:paraId="0AA6F903" w14:textId="42AB9E0A" w:rsidR="007945B3" w:rsidRPr="00CC2779" w:rsidRDefault="007945B3" w:rsidP="00324F0B">
      <w:pPr>
        <w:spacing w:line="276" w:lineRule="auto"/>
        <w:jc w:val="both"/>
        <w:rPr>
          <w:rFonts w:ascii="Arial" w:hAnsi="Arial" w:cs="Arial"/>
          <w:sz w:val="22"/>
          <w:szCs w:val="22"/>
          <w:highlight w:val="yellow"/>
        </w:rPr>
      </w:pPr>
    </w:p>
    <w:p w14:paraId="4CDAB714" w14:textId="184A5299" w:rsidR="007945B3" w:rsidRPr="005161F2" w:rsidRDefault="007945B3" w:rsidP="00324F0B">
      <w:pPr>
        <w:spacing w:line="276" w:lineRule="auto"/>
        <w:jc w:val="both"/>
        <w:rPr>
          <w:rFonts w:ascii="Arial" w:hAnsi="Arial" w:cs="Arial"/>
          <w:sz w:val="22"/>
          <w:szCs w:val="22"/>
        </w:rPr>
      </w:pPr>
      <w:r w:rsidRPr="005161F2">
        <w:rPr>
          <w:rFonts w:ascii="Arial" w:hAnsi="Arial" w:cs="Arial"/>
          <w:sz w:val="22"/>
          <w:szCs w:val="22"/>
        </w:rPr>
        <w:t>Kulturális fel</w:t>
      </w:r>
      <w:r w:rsidR="0060691B" w:rsidRPr="005161F2">
        <w:rPr>
          <w:rFonts w:ascii="Arial" w:hAnsi="Arial" w:cs="Arial"/>
          <w:sz w:val="22"/>
          <w:szCs w:val="22"/>
        </w:rPr>
        <w:t xml:space="preserve">adataink támogatására </w:t>
      </w:r>
      <w:r w:rsidR="00CB4F3B" w:rsidRPr="005161F2">
        <w:rPr>
          <w:rFonts w:ascii="Arial" w:hAnsi="Arial" w:cs="Arial"/>
          <w:sz w:val="22"/>
          <w:szCs w:val="22"/>
        </w:rPr>
        <w:t>13 853</w:t>
      </w:r>
      <w:r w:rsidR="005161F2" w:rsidRPr="005161F2">
        <w:rPr>
          <w:rFonts w:ascii="Arial" w:hAnsi="Arial" w:cs="Arial"/>
          <w:sz w:val="22"/>
          <w:szCs w:val="22"/>
        </w:rPr>
        <w:t> </w:t>
      </w:r>
      <w:r w:rsidR="00CB4F3B" w:rsidRPr="005161F2">
        <w:rPr>
          <w:rFonts w:ascii="Arial" w:hAnsi="Arial" w:cs="Arial"/>
          <w:sz w:val="22"/>
          <w:szCs w:val="22"/>
        </w:rPr>
        <w:t>380</w:t>
      </w:r>
      <w:r w:rsidR="005161F2" w:rsidRPr="005161F2">
        <w:rPr>
          <w:rFonts w:ascii="Arial" w:hAnsi="Arial" w:cs="Arial"/>
          <w:sz w:val="22"/>
          <w:szCs w:val="22"/>
        </w:rPr>
        <w:t xml:space="preserve"> Ft</w:t>
      </w:r>
      <w:r w:rsidR="00CB4F3B" w:rsidRPr="005161F2">
        <w:rPr>
          <w:rFonts w:ascii="Arial" w:hAnsi="Arial" w:cs="Arial"/>
          <w:sz w:val="22"/>
          <w:szCs w:val="22"/>
        </w:rPr>
        <w:t xml:space="preserve"> </w:t>
      </w:r>
      <w:r w:rsidRPr="005161F2">
        <w:rPr>
          <w:rFonts w:ascii="Arial" w:hAnsi="Arial" w:cs="Arial"/>
          <w:sz w:val="22"/>
          <w:szCs w:val="22"/>
        </w:rPr>
        <w:t>központi költségvetési fedezet áll rendelkezésünkre,</w:t>
      </w:r>
      <w:r w:rsidR="0060691B" w:rsidRPr="005161F2">
        <w:rPr>
          <w:rFonts w:ascii="Arial" w:hAnsi="Arial" w:cs="Arial"/>
          <w:sz w:val="22"/>
          <w:szCs w:val="22"/>
        </w:rPr>
        <w:t xml:space="preserve"> ez az összeg közel </w:t>
      </w:r>
      <w:r w:rsidR="00CB4F3B" w:rsidRPr="005161F2">
        <w:rPr>
          <w:rFonts w:ascii="Arial" w:hAnsi="Arial" w:cs="Arial"/>
          <w:sz w:val="22"/>
          <w:szCs w:val="22"/>
        </w:rPr>
        <w:t xml:space="preserve">4 millió Ft-tal alacsonyabb összegű </w:t>
      </w:r>
      <w:r w:rsidR="0060691B" w:rsidRPr="005161F2">
        <w:rPr>
          <w:rFonts w:ascii="Arial" w:hAnsi="Arial" w:cs="Arial"/>
          <w:sz w:val="22"/>
          <w:szCs w:val="22"/>
        </w:rPr>
        <w:t>az előző évi előirányzathoz viszonyítva.</w:t>
      </w:r>
    </w:p>
    <w:p w14:paraId="735481E7" w14:textId="2A3CEEBD" w:rsidR="00C06B54" w:rsidRPr="00CC2779" w:rsidRDefault="00C06B54" w:rsidP="00110DD6">
      <w:pPr>
        <w:spacing w:line="276" w:lineRule="auto"/>
        <w:jc w:val="both"/>
        <w:rPr>
          <w:rFonts w:ascii="Arial" w:hAnsi="Arial" w:cs="Arial"/>
          <w:sz w:val="22"/>
          <w:szCs w:val="22"/>
          <w:highlight w:val="yellow"/>
        </w:rPr>
      </w:pPr>
    </w:p>
    <w:p w14:paraId="1C7BE4B1" w14:textId="6842A4BF" w:rsidR="00884C78" w:rsidRPr="00C4594F" w:rsidRDefault="00110DD6" w:rsidP="006325C2">
      <w:pPr>
        <w:spacing w:line="276" w:lineRule="auto"/>
        <w:jc w:val="both"/>
        <w:rPr>
          <w:rFonts w:ascii="Arial" w:hAnsi="Arial" w:cs="Arial"/>
          <w:bCs/>
          <w:iCs/>
          <w:sz w:val="22"/>
          <w:szCs w:val="22"/>
        </w:rPr>
      </w:pPr>
      <w:r w:rsidRPr="007F2E54">
        <w:rPr>
          <w:rFonts w:ascii="Arial" w:hAnsi="Arial" w:cs="Arial"/>
          <w:b/>
          <w:i/>
          <w:sz w:val="22"/>
          <w:szCs w:val="22"/>
          <w:u w:val="single"/>
        </w:rPr>
        <w:t>Az e</w:t>
      </w:r>
      <w:r w:rsidR="006325C2" w:rsidRPr="007F2E54">
        <w:rPr>
          <w:rFonts w:ascii="Arial" w:hAnsi="Arial" w:cs="Arial"/>
          <w:b/>
          <w:i/>
          <w:sz w:val="22"/>
          <w:szCs w:val="22"/>
          <w:u w:val="single"/>
        </w:rPr>
        <w:t>gyéb műkö</w:t>
      </w:r>
      <w:r w:rsidRPr="007F2E54">
        <w:rPr>
          <w:rFonts w:ascii="Arial" w:hAnsi="Arial" w:cs="Arial"/>
          <w:b/>
          <w:i/>
          <w:sz w:val="22"/>
          <w:szCs w:val="22"/>
          <w:u w:val="single"/>
        </w:rPr>
        <w:t>dési célú támogatások bevételei</w:t>
      </w:r>
      <w:r w:rsidRPr="005F74F7">
        <w:rPr>
          <w:rFonts w:ascii="Arial" w:hAnsi="Arial" w:cs="Arial"/>
          <w:i/>
          <w:sz w:val="22"/>
          <w:szCs w:val="22"/>
        </w:rPr>
        <w:t xml:space="preserve"> </w:t>
      </w:r>
      <w:r w:rsidRPr="00C4594F">
        <w:rPr>
          <w:rFonts w:ascii="Arial" w:hAnsi="Arial" w:cs="Arial"/>
          <w:iCs/>
          <w:sz w:val="22"/>
          <w:szCs w:val="22"/>
        </w:rPr>
        <w:t xml:space="preserve">előirányzat összege </w:t>
      </w:r>
      <w:r w:rsidR="00CC2779" w:rsidRPr="00C4594F">
        <w:rPr>
          <w:rFonts w:ascii="Arial" w:hAnsi="Arial" w:cs="Arial"/>
          <w:iCs/>
          <w:sz w:val="22"/>
          <w:szCs w:val="22"/>
        </w:rPr>
        <w:t>189 102 267</w:t>
      </w:r>
      <w:r w:rsidRPr="00232A21">
        <w:rPr>
          <w:rFonts w:ascii="Arial" w:hAnsi="Arial" w:cs="Arial"/>
          <w:b/>
          <w:i/>
          <w:sz w:val="22"/>
          <w:szCs w:val="22"/>
        </w:rPr>
        <w:t xml:space="preserve"> </w:t>
      </w:r>
      <w:r w:rsidRPr="00C4594F">
        <w:rPr>
          <w:rFonts w:ascii="Arial" w:hAnsi="Arial" w:cs="Arial"/>
          <w:bCs/>
          <w:iCs/>
          <w:sz w:val="22"/>
          <w:szCs w:val="22"/>
        </w:rPr>
        <w:t xml:space="preserve">Ft. </w:t>
      </w:r>
    </w:p>
    <w:p w14:paraId="0C08726F" w14:textId="08ABEE48" w:rsidR="006325C2" w:rsidRPr="00232A21" w:rsidRDefault="005F74F7" w:rsidP="006325C2">
      <w:pPr>
        <w:spacing w:line="276" w:lineRule="auto"/>
        <w:jc w:val="both"/>
        <w:rPr>
          <w:rFonts w:ascii="Arial" w:hAnsi="Arial" w:cs="Arial"/>
          <w:sz w:val="22"/>
          <w:szCs w:val="22"/>
        </w:rPr>
      </w:pPr>
      <w:r w:rsidRPr="005F74F7">
        <w:rPr>
          <w:rFonts w:ascii="Arial" w:hAnsi="Arial" w:cs="Arial"/>
          <w:sz w:val="22"/>
          <w:szCs w:val="22"/>
        </w:rPr>
        <w:t>Itt jelenik meg a</w:t>
      </w:r>
      <w:r w:rsidR="00F671CE">
        <w:rPr>
          <w:rFonts w:ascii="Arial" w:hAnsi="Arial" w:cs="Arial"/>
          <w:sz w:val="22"/>
          <w:szCs w:val="22"/>
        </w:rPr>
        <w:t>z önkormányzatnál a</w:t>
      </w:r>
      <w:r w:rsidRPr="005F74F7">
        <w:rPr>
          <w:rFonts w:ascii="Arial" w:hAnsi="Arial" w:cs="Arial"/>
          <w:sz w:val="22"/>
          <w:szCs w:val="22"/>
        </w:rPr>
        <w:t xml:space="preserve"> TETT-</w:t>
      </w:r>
      <w:proofErr w:type="spellStart"/>
      <w:r w:rsidRPr="005F74F7">
        <w:rPr>
          <w:rFonts w:ascii="Arial" w:hAnsi="Arial" w:cs="Arial"/>
          <w:sz w:val="22"/>
          <w:szCs w:val="22"/>
        </w:rPr>
        <w:t>től</w:t>
      </w:r>
      <w:proofErr w:type="spellEnd"/>
      <w:r w:rsidRPr="005F74F7">
        <w:rPr>
          <w:rFonts w:ascii="Arial" w:hAnsi="Arial" w:cs="Arial"/>
          <w:sz w:val="22"/>
          <w:szCs w:val="22"/>
        </w:rPr>
        <w:t xml:space="preserve"> a </w:t>
      </w:r>
      <w:r w:rsidR="006325C2" w:rsidRPr="005F74F7">
        <w:rPr>
          <w:rFonts w:ascii="Arial" w:hAnsi="Arial" w:cs="Arial"/>
          <w:sz w:val="22"/>
          <w:szCs w:val="22"/>
        </w:rPr>
        <w:t>működési</w:t>
      </w:r>
      <w:r w:rsidR="007F7A97">
        <w:rPr>
          <w:rFonts w:ascii="Arial" w:hAnsi="Arial" w:cs="Arial"/>
          <w:sz w:val="22"/>
          <w:szCs w:val="22"/>
        </w:rPr>
        <w:t xml:space="preserve"> kiadásokra biztosított </w:t>
      </w:r>
      <w:r w:rsidR="00CC2779" w:rsidRPr="00CC2779">
        <w:rPr>
          <w:rFonts w:ascii="Arial" w:hAnsi="Arial" w:cs="Arial"/>
          <w:sz w:val="22"/>
          <w:szCs w:val="22"/>
        </w:rPr>
        <w:t>79 158 000</w:t>
      </w:r>
      <w:r w:rsidR="006325C2" w:rsidRPr="005F74F7">
        <w:rPr>
          <w:rFonts w:ascii="Arial" w:hAnsi="Arial" w:cs="Arial"/>
          <w:sz w:val="22"/>
          <w:szCs w:val="22"/>
        </w:rPr>
        <w:t xml:space="preserve">Ft </w:t>
      </w:r>
      <w:r w:rsidRPr="005F74F7">
        <w:rPr>
          <w:rFonts w:ascii="Arial" w:hAnsi="Arial" w:cs="Arial"/>
          <w:sz w:val="22"/>
          <w:szCs w:val="22"/>
        </w:rPr>
        <w:t>támogatás,</w:t>
      </w:r>
      <w:r w:rsidR="006325C2" w:rsidRPr="005F74F7">
        <w:rPr>
          <w:rFonts w:ascii="Arial" w:hAnsi="Arial" w:cs="Arial"/>
          <w:sz w:val="22"/>
          <w:szCs w:val="22"/>
        </w:rPr>
        <w:t xml:space="preserve"> mely</w:t>
      </w:r>
      <w:r w:rsidR="007F2E54">
        <w:rPr>
          <w:rFonts w:ascii="Arial" w:hAnsi="Arial" w:cs="Arial"/>
          <w:sz w:val="22"/>
          <w:szCs w:val="22"/>
        </w:rPr>
        <w:t xml:space="preserve">nek </w:t>
      </w:r>
      <w:r w:rsidRPr="005F74F7">
        <w:rPr>
          <w:rFonts w:ascii="Arial" w:hAnsi="Arial" w:cs="Arial"/>
          <w:sz w:val="22"/>
          <w:szCs w:val="22"/>
        </w:rPr>
        <w:t xml:space="preserve">összege </w:t>
      </w:r>
      <w:r w:rsidR="00CC2779">
        <w:rPr>
          <w:rFonts w:ascii="Arial" w:hAnsi="Arial" w:cs="Arial"/>
          <w:sz w:val="22"/>
          <w:szCs w:val="22"/>
        </w:rPr>
        <w:t>minimális mértékben csökkent</w:t>
      </w:r>
      <w:r w:rsidRPr="005F74F7">
        <w:rPr>
          <w:rFonts w:ascii="Arial" w:hAnsi="Arial" w:cs="Arial"/>
          <w:sz w:val="22"/>
          <w:szCs w:val="22"/>
        </w:rPr>
        <w:t xml:space="preserve"> az előző évhez képest. Az orvosi rendelőre a NEAK támogatás</w:t>
      </w:r>
      <w:r w:rsidR="00CC2779">
        <w:rPr>
          <w:rFonts w:ascii="Arial" w:hAnsi="Arial" w:cs="Arial"/>
          <w:sz w:val="22"/>
          <w:szCs w:val="22"/>
        </w:rPr>
        <w:t xml:space="preserve"> duplájára emelkedett a saját foglalkoztatás miatt, összege 44 millió Ft. </w:t>
      </w:r>
      <w:r w:rsidRPr="005F74F7">
        <w:rPr>
          <w:rFonts w:ascii="Arial" w:hAnsi="Arial" w:cs="Arial"/>
          <w:i/>
          <w:sz w:val="22"/>
          <w:szCs w:val="22"/>
        </w:rPr>
        <w:t>A</w:t>
      </w:r>
      <w:r w:rsidR="006325C2" w:rsidRPr="005F74F7">
        <w:rPr>
          <w:rFonts w:ascii="Arial" w:hAnsi="Arial" w:cs="Arial"/>
          <w:sz w:val="22"/>
          <w:szCs w:val="22"/>
        </w:rPr>
        <w:t xml:space="preserve"> foly</w:t>
      </w:r>
      <w:r w:rsidRPr="005F74F7">
        <w:rPr>
          <w:rFonts w:ascii="Arial" w:hAnsi="Arial" w:cs="Arial"/>
          <w:sz w:val="22"/>
          <w:szCs w:val="22"/>
        </w:rPr>
        <w:t>amatban lévő közfoglalkoztatáshoz</w:t>
      </w:r>
      <w:r w:rsidR="00CC2779">
        <w:rPr>
          <w:rFonts w:ascii="Arial" w:hAnsi="Arial" w:cs="Arial"/>
          <w:sz w:val="22"/>
          <w:szCs w:val="22"/>
        </w:rPr>
        <w:t xml:space="preserve"> </w:t>
      </w:r>
      <w:r w:rsidR="00CC2779" w:rsidRPr="00CC2779">
        <w:rPr>
          <w:rFonts w:ascii="Arial" w:hAnsi="Arial" w:cs="Arial"/>
          <w:sz w:val="22"/>
          <w:szCs w:val="22"/>
        </w:rPr>
        <w:t>3 100 000</w:t>
      </w:r>
      <w:r>
        <w:rPr>
          <w:rFonts w:ascii="Arial" w:hAnsi="Arial" w:cs="Arial"/>
          <w:sz w:val="22"/>
          <w:szCs w:val="22"/>
        </w:rPr>
        <w:t xml:space="preserve"> </w:t>
      </w:r>
      <w:r w:rsidR="007F2E54">
        <w:rPr>
          <w:rFonts w:ascii="Arial" w:hAnsi="Arial" w:cs="Arial"/>
          <w:sz w:val="22"/>
          <w:szCs w:val="22"/>
        </w:rPr>
        <w:t>Ft forrással</w:t>
      </w:r>
      <w:r w:rsidR="00120872">
        <w:rPr>
          <w:rFonts w:ascii="Arial" w:hAnsi="Arial" w:cs="Arial"/>
          <w:sz w:val="22"/>
          <w:szCs w:val="22"/>
        </w:rPr>
        <w:t xml:space="preserve"> </w:t>
      </w:r>
      <w:r w:rsidR="00232A21">
        <w:rPr>
          <w:rFonts w:ascii="Arial" w:hAnsi="Arial" w:cs="Arial"/>
          <w:sz w:val="22"/>
          <w:szCs w:val="22"/>
        </w:rPr>
        <w:t xml:space="preserve">kalkulálhatunk. </w:t>
      </w:r>
      <w:r w:rsidR="00232A21" w:rsidRPr="00232A21">
        <w:rPr>
          <w:rFonts w:ascii="Arial" w:hAnsi="Arial" w:cs="Arial"/>
          <w:sz w:val="22"/>
          <w:szCs w:val="22"/>
        </w:rPr>
        <w:t xml:space="preserve">A </w:t>
      </w:r>
      <w:r w:rsidR="006325C2" w:rsidRPr="00232A21">
        <w:rPr>
          <w:rFonts w:ascii="Arial" w:hAnsi="Arial" w:cs="Arial"/>
          <w:sz w:val="22"/>
          <w:szCs w:val="22"/>
        </w:rPr>
        <w:t xml:space="preserve">Bátaszéki Közös Önkormányzati Hivatal </w:t>
      </w:r>
      <w:r w:rsidR="00232A21" w:rsidRPr="00232A21">
        <w:rPr>
          <w:rFonts w:ascii="Arial" w:hAnsi="Arial" w:cs="Arial"/>
          <w:sz w:val="22"/>
          <w:szCs w:val="22"/>
        </w:rPr>
        <w:t>vonatkozásában itt kerül megtervezésre</w:t>
      </w:r>
      <w:r w:rsidR="006325C2" w:rsidRPr="00232A21">
        <w:rPr>
          <w:rFonts w:ascii="Arial" w:hAnsi="Arial" w:cs="Arial"/>
          <w:sz w:val="22"/>
          <w:szCs w:val="22"/>
        </w:rPr>
        <w:t xml:space="preserve"> a </w:t>
      </w:r>
      <w:r w:rsidR="006325C2" w:rsidRPr="00D13891">
        <w:rPr>
          <w:rFonts w:ascii="Arial" w:hAnsi="Arial" w:cs="Arial"/>
          <w:sz w:val="22"/>
          <w:szCs w:val="22"/>
        </w:rPr>
        <w:t>társtelepülések által vállalt</w:t>
      </w:r>
      <w:r w:rsidR="00232A21" w:rsidRPr="00D13891">
        <w:rPr>
          <w:rFonts w:ascii="Arial" w:hAnsi="Arial" w:cs="Arial"/>
          <w:sz w:val="22"/>
          <w:szCs w:val="22"/>
        </w:rPr>
        <w:t xml:space="preserve"> hozzájárulás </w:t>
      </w:r>
      <w:r w:rsidR="00A82F71" w:rsidRPr="00D13891">
        <w:rPr>
          <w:rFonts w:ascii="Arial" w:hAnsi="Arial" w:cs="Arial"/>
          <w:sz w:val="22"/>
          <w:szCs w:val="22"/>
        </w:rPr>
        <w:t xml:space="preserve">mintegy 36 millió Ft </w:t>
      </w:r>
      <w:r w:rsidR="00232A21" w:rsidRPr="00D13891">
        <w:rPr>
          <w:rFonts w:ascii="Arial" w:hAnsi="Arial" w:cs="Arial"/>
          <w:sz w:val="22"/>
          <w:szCs w:val="22"/>
        </w:rPr>
        <w:t>összegben, valamint a két</w:t>
      </w:r>
      <w:r w:rsidR="006325C2" w:rsidRPr="00D13891">
        <w:rPr>
          <w:rFonts w:ascii="Arial" w:hAnsi="Arial" w:cs="Arial"/>
          <w:sz w:val="22"/>
          <w:szCs w:val="22"/>
        </w:rPr>
        <w:t xml:space="preserve"> Társulás</w:t>
      </w:r>
      <w:r w:rsidR="00232A21" w:rsidRPr="00D13891">
        <w:rPr>
          <w:rFonts w:ascii="Arial" w:hAnsi="Arial" w:cs="Arial"/>
          <w:sz w:val="22"/>
          <w:szCs w:val="22"/>
        </w:rPr>
        <w:t xml:space="preserve">tól átvett hozzájárulás. Az ESZGY </w:t>
      </w:r>
      <w:r w:rsidR="00FB3395" w:rsidRPr="00D13891">
        <w:rPr>
          <w:rFonts w:ascii="Arial" w:hAnsi="Arial" w:cs="Arial"/>
          <w:sz w:val="22"/>
          <w:szCs w:val="22"/>
        </w:rPr>
        <w:t xml:space="preserve">Társulás </w:t>
      </w:r>
      <w:r w:rsidR="00D13891" w:rsidRPr="00D13891">
        <w:rPr>
          <w:rFonts w:ascii="Arial" w:hAnsi="Arial" w:cs="Arial"/>
          <w:sz w:val="22"/>
          <w:szCs w:val="22"/>
        </w:rPr>
        <w:t>6 187 811</w:t>
      </w:r>
      <w:r w:rsidR="006325C2" w:rsidRPr="00D13891">
        <w:rPr>
          <w:rFonts w:ascii="Arial" w:hAnsi="Arial" w:cs="Arial"/>
          <w:sz w:val="22"/>
          <w:szCs w:val="22"/>
        </w:rPr>
        <w:t xml:space="preserve"> Ft</w:t>
      </w:r>
      <w:r w:rsidR="00232A21" w:rsidRPr="00D13891">
        <w:rPr>
          <w:rFonts w:ascii="Arial" w:hAnsi="Arial" w:cs="Arial"/>
          <w:sz w:val="22"/>
          <w:szCs w:val="22"/>
        </w:rPr>
        <w:t xml:space="preserve">-tal, a MOB </w:t>
      </w:r>
      <w:r w:rsidR="00FB3395" w:rsidRPr="00D13891">
        <w:rPr>
          <w:rFonts w:ascii="Arial" w:hAnsi="Arial" w:cs="Arial"/>
          <w:sz w:val="22"/>
          <w:szCs w:val="22"/>
        </w:rPr>
        <w:t>Társulás</w:t>
      </w:r>
      <w:r w:rsidR="00D13891" w:rsidRPr="00D13891">
        <w:rPr>
          <w:rFonts w:ascii="Arial" w:hAnsi="Arial" w:cs="Arial"/>
          <w:sz w:val="22"/>
          <w:szCs w:val="22"/>
        </w:rPr>
        <w:t xml:space="preserve"> 11 257 362 </w:t>
      </w:r>
      <w:r w:rsidR="006325C2" w:rsidRPr="00D13891">
        <w:rPr>
          <w:rFonts w:ascii="Arial" w:hAnsi="Arial" w:cs="Arial"/>
          <w:sz w:val="22"/>
          <w:szCs w:val="22"/>
        </w:rPr>
        <w:t>Ft</w:t>
      </w:r>
      <w:r w:rsidR="00232A21" w:rsidRPr="00D13891">
        <w:rPr>
          <w:rFonts w:ascii="Arial" w:hAnsi="Arial" w:cs="Arial"/>
          <w:sz w:val="22"/>
          <w:szCs w:val="22"/>
        </w:rPr>
        <w:t>-tal</w:t>
      </w:r>
      <w:r w:rsidR="006325C2" w:rsidRPr="00D13891">
        <w:rPr>
          <w:rFonts w:ascii="Arial" w:hAnsi="Arial" w:cs="Arial"/>
          <w:sz w:val="22"/>
          <w:szCs w:val="22"/>
        </w:rPr>
        <w:t xml:space="preserve"> </w:t>
      </w:r>
      <w:r w:rsidR="00232A21" w:rsidRPr="00D13891">
        <w:rPr>
          <w:rFonts w:ascii="Arial" w:hAnsi="Arial" w:cs="Arial"/>
          <w:sz w:val="22"/>
          <w:szCs w:val="22"/>
        </w:rPr>
        <w:t>járul hozzá a hatályos társulási megállapodásban rögzített teherviselési elveknek megfelelően a munkaszervezet költségeihez.</w:t>
      </w:r>
      <w:r w:rsidR="00AB2FE0" w:rsidRPr="00D13891">
        <w:rPr>
          <w:rFonts w:ascii="Arial" w:hAnsi="Arial" w:cs="Arial"/>
          <w:sz w:val="22"/>
          <w:szCs w:val="22"/>
        </w:rPr>
        <w:t xml:space="preserve"> (</w:t>
      </w:r>
      <w:r w:rsidR="006C513A" w:rsidRPr="00D13891">
        <w:rPr>
          <w:rFonts w:ascii="Arial" w:hAnsi="Arial" w:cs="Arial"/>
          <w:sz w:val="22"/>
          <w:szCs w:val="22"/>
        </w:rPr>
        <w:t>20</w:t>
      </w:r>
      <w:r w:rsidR="004A1820" w:rsidRPr="00D13891">
        <w:rPr>
          <w:rFonts w:ascii="Arial" w:hAnsi="Arial" w:cs="Arial"/>
          <w:sz w:val="22"/>
          <w:szCs w:val="22"/>
        </w:rPr>
        <w:t>.</w:t>
      </w:r>
      <w:r w:rsidR="00AB2FE0" w:rsidRPr="00D13891">
        <w:rPr>
          <w:rFonts w:ascii="Arial" w:hAnsi="Arial" w:cs="Arial"/>
          <w:sz w:val="22"/>
          <w:szCs w:val="22"/>
        </w:rPr>
        <w:t xml:space="preserve"> </w:t>
      </w:r>
      <w:r w:rsidR="004A1820" w:rsidRPr="00D13891">
        <w:rPr>
          <w:rFonts w:ascii="Arial" w:hAnsi="Arial" w:cs="Arial"/>
          <w:sz w:val="22"/>
          <w:szCs w:val="22"/>
        </w:rPr>
        <w:t>melléklet)</w:t>
      </w:r>
    </w:p>
    <w:p w14:paraId="3B1AB503" w14:textId="77777777" w:rsidR="006325C2" w:rsidRPr="00232A21" w:rsidRDefault="006325C2" w:rsidP="006325C2">
      <w:pPr>
        <w:spacing w:line="276" w:lineRule="auto"/>
        <w:jc w:val="both"/>
        <w:rPr>
          <w:rFonts w:ascii="Arial" w:hAnsi="Arial" w:cs="Arial"/>
          <w:sz w:val="22"/>
          <w:szCs w:val="22"/>
        </w:rPr>
      </w:pPr>
    </w:p>
    <w:p w14:paraId="10C6ED94" w14:textId="11435888" w:rsidR="006325C2" w:rsidRDefault="006325C2" w:rsidP="006325C2">
      <w:pPr>
        <w:spacing w:line="276" w:lineRule="auto"/>
        <w:jc w:val="both"/>
        <w:rPr>
          <w:rFonts w:ascii="Arial" w:hAnsi="Arial" w:cs="Arial"/>
          <w:sz w:val="22"/>
          <w:szCs w:val="22"/>
        </w:rPr>
      </w:pPr>
      <w:r w:rsidRPr="00E8417F">
        <w:rPr>
          <w:rFonts w:ascii="Arial" w:hAnsi="Arial" w:cs="Arial"/>
          <w:sz w:val="22"/>
          <w:szCs w:val="22"/>
        </w:rPr>
        <w:t xml:space="preserve">A </w:t>
      </w:r>
      <w:r w:rsidRPr="00E8417F">
        <w:rPr>
          <w:rFonts w:ascii="Arial" w:hAnsi="Arial" w:cs="Arial"/>
          <w:b/>
          <w:sz w:val="22"/>
          <w:szCs w:val="22"/>
          <w:u w:val="single"/>
        </w:rPr>
        <w:t xml:space="preserve">felhalmozási célú támogatások államháztartáson </w:t>
      </w:r>
      <w:r w:rsidRPr="009A0F10">
        <w:rPr>
          <w:rFonts w:ascii="Arial" w:hAnsi="Arial" w:cs="Arial"/>
          <w:b/>
          <w:sz w:val="22"/>
          <w:szCs w:val="22"/>
          <w:u w:val="single"/>
        </w:rPr>
        <w:t>belülről</w:t>
      </w:r>
      <w:r w:rsidRPr="009A0F10">
        <w:rPr>
          <w:rFonts w:ascii="Arial" w:hAnsi="Arial" w:cs="Arial"/>
          <w:sz w:val="22"/>
          <w:szCs w:val="22"/>
          <w:u w:val="single"/>
        </w:rPr>
        <w:t xml:space="preserve"> </w:t>
      </w:r>
      <w:r w:rsidR="004A1820" w:rsidRPr="009A0F10">
        <w:rPr>
          <w:rFonts w:ascii="Arial" w:hAnsi="Arial" w:cs="Arial"/>
          <w:sz w:val="22"/>
          <w:szCs w:val="22"/>
        </w:rPr>
        <w:t xml:space="preserve">előirányzat összege </w:t>
      </w:r>
      <w:r w:rsidR="00D13891" w:rsidRPr="009A0F10">
        <w:rPr>
          <w:rFonts w:ascii="Arial" w:hAnsi="Arial" w:cs="Arial"/>
          <w:sz w:val="22"/>
          <w:szCs w:val="22"/>
        </w:rPr>
        <w:t>270 939 249</w:t>
      </w:r>
      <w:r w:rsidR="008A009F" w:rsidRPr="009A0F10">
        <w:rPr>
          <w:rFonts w:ascii="Arial" w:hAnsi="Arial" w:cs="Arial"/>
          <w:sz w:val="22"/>
          <w:szCs w:val="22"/>
        </w:rPr>
        <w:t xml:space="preserve"> </w:t>
      </w:r>
      <w:r w:rsidR="004A1820" w:rsidRPr="009A0F10">
        <w:rPr>
          <w:rFonts w:ascii="Arial" w:hAnsi="Arial" w:cs="Arial"/>
          <w:sz w:val="22"/>
          <w:szCs w:val="22"/>
        </w:rPr>
        <w:t>Ft.</w:t>
      </w:r>
      <w:r w:rsidRPr="00E8417F">
        <w:rPr>
          <w:rFonts w:ascii="Arial" w:hAnsi="Arial" w:cs="Arial"/>
          <w:sz w:val="22"/>
          <w:szCs w:val="22"/>
        </w:rPr>
        <w:t xml:space="preserve"> </w:t>
      </w:r>
      <w:r w:rsidR="00E8417F" w:rsidRPr="00E8417F">
        <w:rPr>
          <w:rFonts w:ascii="Arial" w:hAnsi="Arial" w:cs="Arial"/>
          <w:sz w:val="22"/>
          <w:szCs w:val="22"/>
        </w:rPr>
        <w:t>A TOP Plusz 1.1.1. Kanizsai Dorottya Általános és Zeneiskola Konyha korszerűsítés, bővítés projekttel összefüggésben 194 803 149 Ft forrással, a „TOP Plusz 1.2.3 Bátaszék, belterületi utak I. Bezerédj utca” beruházás megvalósítására 73 000 000 Ft, a Szabadság utcai parkoló kialakítási munkáira</w:t>
      </w:r>
      <w:r w:rsidR="00E8417F" w:rsidRPr="00E8417F">
        <w:t xml:space="preserve"> </w:t>
      </w:r>
      <w:r w:rsidR="00E8417F" w:rsidRPr="00E8417F">
        <w:rPr>
          <w:rFonts w:ascii="Arial" w:hAnsi="Arial" w:cs="Arial"/>
          <w:sz w:val="22"/>
          <w:szCs w:val="22"/>
        </w:rPr>
        <w:t>3 136 100 Ft összegű felnyert</w:t>
      </w:r>
      <w:r w:rsidR="00E8417F">
        <w:rPr>
          <w:rFonts w:ascii="Arial" w:hAnsi="Arial" w:cs="Arial"/>
          <w:sz w:val="22"/>
          <w:szCs w:val="22"/>
        </w:rPr>
        <w:t xml:space="preserve"> forrás áll rendelkezésre.</w:t>
      </w:r>
    </w:p>
    <w:p w14:paraId="57A7DB82" w14:textId="77777777" w:rsidR="00E8417F" w:rsidRPr="00A82F71" w:rsidRDefault="00E8417F" w:rsidP="006325C2">
      <w:pPr>
        <w:spacing w:line="276" w:lineRule="auto"/>
        <w:jc w:val="both"/>
        <w:rPr>
          <w:rFonts w:ascii="Arial" w:hAnsi="Arial" w:cs="Arial"/>
          <w:sz w:val="22"/>
          <w:szCs w:val="22"/>
          <w:highlight w:val="yellow"/>
        </w:rPr>
      </w:pPr>
    </w:p>
    <w:p w14:paraId="3A950568" w14:textId="33EF8C1E" w:rsidR="006325C2" w:rsidRPr="0001118B" w:rsidRDefault="006325C2" w:rsidP="006325C2">
      <w:pPr>
        <w:spacing w:line="276" w:lineRule="auto"/>
        <w:jc w:val="both"/>
        <w:rPr>
          <w:rFonts w:ascii="Arial" w:hAnsi="Arial" w:cs="Arial"/>
          <w:sz w:val="22"/>
          <w:szCs w:val="22"/>
        </w:rPr>
      </w:pPr>
      <w:r w:rsidRPr="0001118B">
        <w:rPr>
          <w:rFonts w:ascii="Arial" w:hAnsi="Arial" w:cs="Arial"/>
          <w:b/>
          <w:bCs/>
          <w:i/>
          <w:sz w:val="22"/>
          <w:szCs w:val="22"/>
          <w:u w:val="single"/>
        </w:rPr>
        <w:t>A közhatalmi bevételek</w:t>
      </w:r>
      <w:r w:rsidRPr="0001118B">
        <w:rPr>
          <w:rFonts w:ascii="Arial" w:hAnsi="Arial" w:cs="Arial"/>
          <w:sz w:val="22"/>
          <w:szCs w:val="22"/>
        </w:rPr>
        <w:t xml:space="preserve"> </w:t>
      </w:r>
      <w:r w:rsidR="00A765BC" w:rsidRPr="0001118B">
        <w:rPr>
          <w:rFonts w:ascii="Arial" w:hAnsi="Arial" w:cs="Arial"/>
          <w:sz w:val="22"/>
          <w:szCs w:val="22"/>
        </w:rPr>
        <w:t xml:space="preserve">előirányzata </w:t>
      </w:r>
      <w:r w:rsidR="00E8417F" w:rsidRPr="0001118B">
        <w:rPr>
          <w:rFonts w:ascii="Arial" w:hAnsi="Arial" w:cs="Arial"/>
          <w:sz w:val="22"/>
          <w:szCs w:val="22"/>
        </w:rPr>
        <w:t>459 600 000</w:t>
      </w:r>
      <w:r w:rsidR="00A765BC" w:rsidRPr="0001118B">
        <w:rPr>
          <w:rFonts w:ascii="Arial" w:hAnsi="Arial" w:cs="Arial"/>
          <w:b/>
          <w:bCs/>
          <w:sz w:val="22"/>
          <w:szCs w:val="22"/>
        </w:rPr>
        <w:t xml:space="preserve"> </w:t>
      </w:r>
      <w:r w:rsidR="00A765BC" w:rsidRPr="00D16DDC">
        <w:rPr>
          <w:rFonts w:ascii="Arial" w:hAnsi="Arial" w:cs="Arial"/>
          <w:sz w:val="22"/>
          <w:szCs w:val="22"/>
        </w:rPr>
        <w:t>Ft,</w:t>
      </w:r>
      <w:r w:rsidR="00A765BC" w:rsidRPr="0001118B">
        <w:rPr>
          <w:rFonts w:ascii="Arial" w:hAnsi="Arial" w:cs="Arial"/>
          <w:sz w:val="22"/>
          <w:szCs w:val="22"/>
        </w:rPr>
        <w:t xml:space="preserve"> </w:t>
      </w:r>
      <w:r w:rsidR="00C22FF4" w:rsidRPr="0001118B">
        <w:rPr>
          <w:rFonts w:ascii="Arial" w:hAnsi="Arial" w:cs="Arial"/>
          <w:sz w:val="22"/>
          <w:szCs w:val="22"/>
        </w:rPr>
        <w:t>mely</w:t>
      </w:r>
      <w:r w:rsidR="00392034" w:rsidRPr="0001118B">
        <w:rPr>
          <w:rFonts w:ascii="Arial" w:hAnsi="Arial" w:cs="Arial"/>
          <w:sz w:val="22"/>
          <w:szCs w:val="22"/>
        </w:rPr>
        <w:t xml:space="preserve"> bevételi forrás az előző évi eredeti</w:t>
      </w:r>
      <w:r w:rsidR="00C22FF4" w:rsidRPr="0001118B">
        <w:rPr>
          <w:rFonts w:ascii="Arial" w:hAnsi="Arial" w:cs="Arial"/>
          <w:sz w:val="22"/>
          <w:szCs w:val="22"/>
        </w:rPr>
        <w:t xml:space="preserve"> </w:t>
      </w:r>
      <w:r w:rsidR="00E8417F" w:rsidRPr="0001118B">
        <w:rPr>
          <w:rFonts w:ascii="Arial" w:hAnsi="Arial" w:cs="Arial"/>
          <w:sz w:val="22"/>
          <w:szCs w:val="22"/>
        </w:rPr>
        <w:t>435</w:t>
      </w:r>
      <w:r w:rsidR="00392034" w:rsidRPr="0001118B">
        <w:rPr>
          <w:rFonts w:ascii="Arial" w:hAnsi="Arial" w:cs="Arial"/>
          <w:sz w:val="22"/>
          <w:szCs w:val="22"/>
        </w:rPr>
        <w:t xml:space="preserve"> 000 000 Ft összegű előirányzathoz </w:t>
      </w:r>
      <w:r w:rsidR="00C22FF4" w:rsidRPr="0001118B">
        <w:rPr>
          <w:rFonts w:ascii="Arial" w:hAnsi="Arial" w:cs="Arial"/>
          <w:sz w:val="22"/>
          <w:szCs w:val="22"/>
        </w:rPr>
        <w:t xml:space="preserve">képest </w:t>
      </w:r>
      <w:r w:rsidR="00E8417F" w:rsidRPr="0001118B">
        <w:rPr>
          <w:rFonts w:ascii="Arial" w:hAnsi="Arial" w:cs="Arial"/>
          <w:sz w:val="22"/>
          <w:szCs w:val="22"/>
        </w:rPr>
        <w:t>24</w:t>
      </w:r>
      <w:r w:rsidR="00D16DDC">
        <w:rPr>
          <w:rFonts w:ascii="Arial" w:hAnsi="Arial" w:cs="Arial"/>
          <w:sz w:val="22"/>
          <w:szCs w:val="22"/>
        </w:rPr>
        <w:t>,6 millió</w:t>
      </w:r>
      <w:r w:rsidR="0019587B" w:rsidRPr="0001118B">
        <w:rPr>
          <w:rFonts w:ascii="Arial" w:hAnsi="Arial" w:cs="Arial"/>
          <w:sz w:val="22"/>
          <w:szCs w:val="22"/>
        </w:rPr>
        <w:t xml:space="preserve"> Ft-tal magasabb. E saját bevételnél a magánszemélyek kommunális adóját</w:t>
      </w:r>
      <w:r w:rsidRPr="0001118B">
        <w:rPr>
          <w:rFonts w:ascii="Arial" w:hAnsi="Arial" w:cs="Arial"/>
          <w:sz w:val="22"/>
          <w:szCs w:val="22"/>
        </w:rPr>
        <w:t xml:space="preserve"> </w:t>
      </w:r>
      <w:r w:rsidR="0019587B" w:rsidRPr="0001118B">
        <w:rPr>
          <w:rFonts w:ascii="Arial" w:hAnsi="Arial" w:cs="Arial"/>
          <w:sz w:val="22"/>
          <w:szCs w:val="22"/>
        </w:rPr>
        <w:t xml:space="preserve">az előző évivel azonos szinten, 32 000 000 Ft-tal vettük figyelembe. A talajterhelési díj </w:t>
      </w:r>
      <w:r w:rsidR="00E8417F" w:rsidRPr="0001118B">
        <w:rPr>
          <w:rFonts w:ascii="Arial" w:hAnsi="Arial" w:cs="Arial"/>
          <w:sz w:val="22"/>
          <w:szCs w:val="22"/>
        </w:rPr>
        <w:t>3</w:t>
      </w:r>
      <w:r w:rsidR="0019587B" w:rsidRPr="0001118B">
        <w:rPr>
          <w:rFonts w:ascii="Arial" w:hAnsi="Arial" w:cs="Arial"/>
          <w:sz w:val="22"/>
          <w:szCs w:val="22"/>
        </w:rPr>
        <w:t>00 000 F</w:t>
      </w:r>
      <w:r w:rsidR="00B2026D" w:rsidRPr="0001118B">
        <w:rPr>
          <w:rFonts w:ascii="Arial" w:hAnsi="Arial" w:cs="Arial"/>
          <w:sz w:val="22"/>
          <w:szCs w:val="22"/>
        </w:rPr>
        <w:t>t</w:t>
      </w:r>
      <w:r w:rsidR="0019587B" w:rsidRPr="0001118B">
        <w:rPr>
          <w:rFonts w:ascii="Arial" w:hAnsi="Arial" w:cs="Arial"/>
          <w:sz w:val="22"/>
          <w:szCs w:val="22"/>
        </w:rPr>
        <w:t xml:space="preserve">-tal, </w:t>
      </w:r>
      <w:r w:rsidR="00A45508" w:rsidRPr="0001118B">
        <w:rPr>
          <w:rFonts w:ascii="Arial" w:hAnsi="Arial" w:cs="Arial"/>
          <w:sz w:val="22"/>
          <w:szCs w:val="22"/>
        </w:rPr>
        <w:t>- a 202</w:t>
      </w:r>
      <w:r w:rsidR="00E8417F" w:rsidRPr="0001118B">
        <w:rPr>
          <w:rFonts w:ascii="Arial" w:hAnsi="Arial" w:cs="Arial"/>
          <w:sz w:val="22"/>
          <w:szCs w:val="22"/>
        </w:rPr>
        <w:t>4</w:t>
      </w:r>
      <w:r w:rsidR="00A45508" w:rsidRPr="0001118B">
        <w:rPr>
          <w:rFonts w:ascii="Arial" w:hAnsi="Arial" w:cs="Arial"/>
          <w:sz w:val="22"/>
          <w:szCs w:val="22"/>
        </w:rPr>
        <w:t>. évi előirányzat</w:t>
      </w:r>
      <w:r w:rsidR="00E8417F" w:rsidRPr="0001118B">
        <w:rPr>
          <w:rFonts w:ascii="Arial" w:hAnsi="Arial" w:cs="Arial"/>
          <w:sz w:val="22"/>
          <w:szCs w:val="22"/>
        </w:rPr>
        <w:t>hoz képest kissé alacsonyabb összeggel</w:t>
      </w:r>
      <w:r w:rsidR="00A45508" w:rsidRPr="0001118B">
        <w:rPr>
          <w:rFonts w:ascii="Arial" w:hAnsi="Arial" w:cs="Arial"/>
          <w:sz w:val="22"/>
          <w:szCs w:val="22"/>
        </w:rPr>
        <w:t xml:space="preserve"> -, az egyéb közhatalmi bevétel (pl. bírság</w:t>
      </w:r>
      <w:r w:rsidR="006C513A" w:rsidRPr="0001118B">
        <w:rPr>
          <w:rFonts w:ascii="Arial" w:hAnsi="Arial" w:cs="Arial"/>
          <w:sz w:val="22"/>
          <w:szCs w:val="22"/>
        </w:rPr>
        <w:t>, pótlék</w:t>
      </w:r>
      <w:r w:rsidR="00A45508" w:rsidRPr="0001118B">
        <w:rPr>
          <w:rFonts w:ascii="Arial" w:hAnsi="Arial" w:cs="Arial"/>
          <w:sz w:val="22"/>
          <w:szCs w:val="22"/>
        </w:rPr>
        <w:t xml:space="preserve">) </w:t>
      </w:r>
      <w:r w:rsidR="007176CB" w:rsidRPr="0001118B">
        <w:rPr>
          <w:rFonts w:ascii="Arial" w:hAnsi="Arial" w:cs="Arial"/>
          <w:sz w:val="22"/>
          <w:szCs w:val="22"/>
        </w:rPr>
        <w:t>2</w:t>
      </w:r>
      <w:r w:rsidR="0019587B" w:rsidRPr="0001118B">
        <w:rPr>
          <w:rFonts w:ascii="Arial" w:hAnsi="Arial" w:cs="Arial"/>
          <w:sz w:val="22"/>
          <w:szCs w:val="22"/>
        </w:rPr>
        <w:t> </w:t>
      </w:r>
      <w:r w:rsidR="00E8417F" w:rsidRPr="0001118B">
        <w:rPr>
          <w:rFonts w:ascii="Arial" w:hAnsi="Arial" w:cs="Arial"/>
          <w:sz w:val="22"/>
          <w:szCs w:val="22"/>
        </w:rPr>
        <w:t>3</w:t>
      </w:r>
      <w:r w:rsidR="0019587B" w:rsidRPr="0001118B">
        <w:rPr>
          <w:rFonts w:ascii="Arial" w:hAnsi="Arial" w:cs="Arial"/>
          <w:sz w:val="22"/>
          <w:szCs w:val="22"/>
        </w:rPr>
        <w:t xml:space="preserve">00 000 Ft-tal szerepel </w:t>
      </w:r>
      <w:r w:rsidR="00A45508" w:rsidRPr="0001118B">
        <w:rPr>
          <w:rFonts w:ascii="Arial" w:hAnsi="Arial" w:cs="Arial"/>
          <w:sz w:val="22"/>
          <w:szCs w:val="22"/>
        </w:rPr>
        <w:t xml:space="preserve">a javaslatban, mely </w:t>
      </w:r>
      <w:r w:rsidR="00E8417F" w:rsidRPr="0001118B">
        <w:rPr>
          <w:rFonts w:ascii="Arial" w:hAnsi="Arial" w:cs="Arial"/>
          <w:sz w:val="22"/>
          <w:szCs w:val="22"/>
        </w:rPr>
        <w:t>2</w:t>
      </w:r>
      <w:r w:rsidR="00A45508" w:rsidRPr="0001118B">
        <w:rPr>
          <w:rFonts w:ascii="Arial" w:hAnsi="Arial" w:cs="Arial"/>
          <w:sz w:val="22"/>
          <w:szCs w:val="22"/>
        </w:rPr>
        <w:t>00 000 Ft</w:t>
      </w:r>
      <w:r w:rsidR="007176CB" w:rsidRPr="0001118B">
        <w:rPr>
          <w:rFonts w:ascii="Arial" w:hAnsi="Arial" w:cs="Arial"/>
          <w:sz w:val="22"/>
          <w:szCs w:val="22"/>
        </w:rPr>
        <w:t xml:space="preserve">-tal </w:t>
      </w:r>
      <w:r w:rsidR="00E8417F" w:rsidRPr="0001118B">
        <w:rPr>
          <w:rFonts w:ascii="Arial" w:hAnsi="Arial" w:cs="Arial"/>
          <w:sz w:val="22"/>
          <w:szCs w:val="22"/>
        </w:rPr>
        <w:t>alacsony</w:t>
      </w:r>
      <w:r w:rsidR="00A45508" w:rsidRPr="0001118B">
        <w:rPr>
          <w:rFonts w:ascii="Arial" w:hAnsi="Arial" w:cs="Arial"/>
          <w:sz w:val="22"/>
          <w:szCs w:val="22"/>
        </w:rPr>
        <w:t xml:space="preserve">abb az előző </w:t>
      </w:r>
      <w:r w:rsidR="007176CB" w:rsidRPr="0001118B">
        <w:rPr>
          <w:rFonts w:ascii="Arial" w:hAnsi="Arial" w:cs="Arial"/>
          <w:sz w:val="22"/>
          <w:szCs w:val="22"/>
        </w:rPr>
        <w:t>eredetileg tervezet</w:t>
      </w:r>
      <w:r w:rsidR="00E469AB" w:rsidRPr="0001118B">
        <w:rPr>
          <w:rFonts w:ascii="Arial" w:hAnsi="Arial" w:cs="Arial"/>
          <w:sz w:val="22"/>
          <w:szCs w:val="22"/>
        </w:rPr>
        <w:t>t</w:t>
      </w:r>
      <w:r w:rsidR="00A45508" w:rsidRPr="0001118B">
        <w:rPr>
          <w:rFonts w:ascii="Arial" w:hAnsi="Arial" w:cs="Arial"/>
          <w:sz w:val="22"/>
          <w:szCs w:val="22"/>
        </w:rPr>
        <w:t>nél.</w:t>
      </w:r>
    </w:p>
    <w:p w14:paraId="6ACA6F43" w14:textId="6153E8D4" w:rsidR="006325C2" w:rsidRPr="0001118B" w:rsidRDefault="006325C2" w:rsidP="006325C2">
      <w:pPr>
        <w:spacing w:line="276" w:lineRule="auto"/>
        <w:jc w:val="both"/>
        <w:rPr>
          <w:rFonts w:ascii="Arial" w:hAnsi="Arial" w:cs="Arial"/>
          <w:sz w:val="22"/>
          <w:szCs w:val="22"/>
        </w:rPr>
      </w:pPr>
      <w:r w:rsidRPr="0001118B">
        <w:rPr>
          <w:rFonts w:ascii="Arial" w:hAnsi="Arial" w:cs="Arial"/>
          <w:sz w:val="22"/>
          <w:szCs w:val="22"/>
        </w:rPr>
        <w:t xml:space="preserve">Az iparűzési adó soron </w:t>
      </w:r>
      <w:r w:rsidR="0019587B" w:rsidRPr="0001118B">
        <w:rPr>
          <w:rFonts w:ascii="Arial" w:hAnsi="Arial" w:cs="Arial"/>
          <w:sz w:val="22"/>
          <w:szCs w:val="22"/>
        </w:rPr>
        <w:t xml:space="preserve">az előző évben </w:t>
      </w:r>
      <w:r w:rsidR="00987FC0" w:rsidRPr="0001118B">
        <w:rPr>
          <w:rFonts w:ascii="Arial" w:hAnsi="Arial" w:cs="Arial"/>
          <w:sz w:val="22"/>
          <w:szCs w:val="22"/>
        </w:rPr>
        <w:t xml:space="preserve">eredeti előirányzatként </w:t>
      </w:r>
      <w:r w:rsidR="0001118B" w:rsidRPr="0001118B">
        <w:rPr>
          <w:rFonts w:ascii="Arial" w:hAnsi="Arial" w:cs="Arial"/>
          <w:sz w:val="22"/>
          <w:szCs w:val="22"/>
        </w:rPr>
        <w:t>400</w:t>
      </w:r>
      <w:r w:rsidR="00B2026D" w:rsidRPr="0001118B">
        <w:rPr>
          <w:rFonts w:ascii="Arial" w:hAnsi="Arial" w:cs="Arial"/>
          <w:sz w:val="22"/>
          <w:szCs w:val="22"/>
        </w:rPr>
        <w:t> </w:t>
      </w:r>
      <w:r w:rsidR="00A45508" w:rsidRPr="0001118B">
        <w:rPr>
          <w:rFonts w:ascii="Arial" w:hAnsi="Arial" w:cs="Arial"/>
          <w:sz w:val="22"/>
          <w:szCs w:val="22"/>
        </w:rPr>
        <w:t>0</w:t>
      </w:r>
      <w:r w:rsidR="00B2026D" w:rsidRPr="0001118B">
        <w:rPr>
          <w:rFonts w:ascii="Arial" w:hAnsi="Arial" w:cs="Arial"/>
          <w:sz w:val="22"/>
          <w:szCs w:val="22"/>
        </w:rPr>
        <w:t>00 000 Ft bevétellel számol</w:t>
      </w:r>
      <w:r w:rsidR="0001118B" w:rsidRPr="0001118B">
        <w:rPr>
          <w:rFonts w:ascii="Arial" w:hAnsi="Arial" w:cs="Arial"/>
          <w:sz w:val="22"/>
          <w:szCs w:val="22"/>
        </w:rPr>
        <w:t>t</w:t>
      </w:r>
      <w:r w:rsidR="00B2026D" w:rsidRPr="0001118B">
        <w:rPr>
          <w:rFonts w:ascii="Arial" w:hAnsi="Arial" w:cs="Arial"/>
          <w:sz w:val="22"/>
          <w:szCs w:val="22"/>
        </w:rPr>
        <w:t>unk</w:t>
      </w:r>
      <w:r w:rsidR="0001118B" w:rsidRPr="0001118B">
        <w:rPr>
          <w:rFonts w:ascii="Arial" w:hAnsi="Arial" w:cs="Arial"/>
          <w:sz w:val="22"/>
          <w:szCs w:val="22"/>
        </w:rPr>
        <w:t xml:space="preserve">. </w:t>
      </w:r>
      <w:r w:rsidR="00392034" w:rsidRPr="0001118B">
        <w:rPr>
          <w:rFonts w:ascii="Arial" w:hAnsi="Arial" w:cs="Arial"/>
          <w:sz w:val="22"/>
          <w:szCs w:val="22"/>
        </w:rPr>
        <w:t>Az év során e bevételi jogcímen</w:t>
      </w:r>
      <w:r w:rsidR="0001118B" w:rsidRPr="0001118B">
        <w:rPr>
          <w:rFonts w:ascii="Arial" w:hAnsi="Arial" w:cs="Arial"/>
          <w:sz w:val="22"/>
          <w:szCs w:val="22"/>
        </w:rPr>
        <w:t xml:space="preserve"> 425</w:t>
      </w:r>
      <w:r w:rsidR="00392034" w:rsidRPr="0001118B">
        <w:rPr>
          <w:rFonts w:ascii="Arial" w:hAnsi="Arial" w:cs="Arial"/>
          <w:sz w:val="22"/>
          <w:szCs w:val="22"/>
        </w:rPr>
        <w:t xml:space="preserve"> </w:t>
      </w:r>
      <w:r w:rsidR="00E469AB" w:rsidRPr="0001118B">
        <w:rPr>
          <w:rFonts w:ascii="Arial" w:hAnsi="Arial" w:cs="Arial"/>
          <w:sz w:val="22"/>
          <w:szCs w:val="22"/>
        </w:rPr>
        <w:t>millió Ft volt</w:t>
      </w:r>
      <w:r w:rsidR="00392034" w:rsidRPr="0001118B">
        <w:rPr>
          <w:rFonts w:ascii="Arial" w:hAnsi="Arial" w:cs="Arial"/>
          <w:sz w:val="22"/>
          <w:szCs w:val="22"/>
        </w:rPr>
        <w:t xml:space="preserve"> a realizált saját forrásunk</w:t>
      </w:r>
      <w:r w:rsidR="00E469AB" w:rsidRPr="0001118B">
        <w:rPr>
          <w:rFonts w:ascii="Arial" w:hAnsi="Arial" w:cs="Arial"/>
          <w:sz w:val="22"/>
          <w:szCs w:val="22"/>
        </w:rPr>
        <w:t xml:space="preserve">. Erre való figyelemmel </w:t>
      </w:r>
      <w:r w:rsidR="00C84A7E" w:rsidRPr="0001118B">
        <w:rPr>
          <w:rFonts w:ascii="Arial" w:hAnsi="Arial" w:cs="Arial"/>
          <w:sz w:val="22"/>
          <w:szCs w:val="22"/>
        </w:rPr>
        <w:t>a 202</w:t>
      </w:r>
      <w:r w:rsidR="0001118B" w:rsidRPr="0001118B">
        <w:rPr>
          <w:rFonts w:ascii="Arial" w:hAnsi="Arial" w:cs="Arial"/>
          <w:sz w:val="22"/>
          <w:szCs w:val="22"/>
        </w:rPr>
        <w:t>5</w:t>
      </w:r>
      <w:r w:rsidR="00C84A7E" w:rsidRPr="0001118B">
        <w:rPr>
          <w:rFonts w:ascii="Arial" w:hAnsi="Arial" w:cs="Arial"/>
          <w:sz w:val="22"/>
          <w:szCs w:val="22"/>
        </w:rPr>
        <w:t xml:space="preserve">. évre </w:t>
      </w:r>
      <w:r w:rsidR="0001118B" w:rsidRPr="0001118B">
        <w:rPr>
          <w:rFonts w:ascii="Arial" w:hAnsi="Arial" w:cs="Arial"/>
          <w:sz w:val="22"/>
          <w:szCs w:val="22"/>
        </w:rPr>
        <w:t xml:space="preserve">ezzel a nagyságrenddel kalkuláltunk. </w:t>
      </w:r>
      <w:r w:rsidR="00E469AB" w:rsidRPr="0001118B">
        <w:rPr>
          <w:rFonts w:ascii="Arial" w:hAnsi="Arial" w:cs="Arial"/>
          <w:sz w:val="22"/>
          <w:szCs w:val="22"/>
        </w:rPr>
        <w:t>A teljesítés pontos meghatározása nem lehetséges, a kockázati tényezőt nem lehet kizárni.</w:t>
      </w:r>
    </w:p>
    <w:p w14:paraId="731B3D06" w14:textId="77777777" w:rsidR="006325C2" w:rsidRPr="00A82F71" w:rsidRDefault="006325C2" w:rsidP="006325C2">
      <w:pPr>
        <w:spacing w:line="276" w:lineRule="auto"/>
        <w:jc w:val="both"/>
        <w:rPr>
          <w:rFonts w:ascii="Arial" w:hAnsi="Arial" w:cs="Arial"/>
          <w:sz w:val="22"/>
          <w:szCs w:val="22"/>
          <w:highlight w:val="yellow"/>
        </w:rPr>
      </w:pPr>
    </w:p>
    <w:p w14:paraId="3B6F8BB2" w14:textId="39F05670" w:rsidR="006325C2" w:rsidRPr="0001118B" w:rsidRDefault="006325C2" w:rsidP="006325C2">
      <w:pPr>
        <w:spacing w:line="276" w:lineRule="auto"/>
        <w:jc w:val="both"/>
        <w:rPr>
          <w:rFonts w:ascii="Arial" w:hAnsi="Arial" w:cs="Arial"/>
          <w:sz w:val="22"/>
          <w:szCs w:val="22"/>
        </w:rPr>
      </w:pPr>
      <w:r w:rsidRPr="0001118B">
        <w:rPr>
          <w:rFonts w:ascii="Arial" w:hAnsi="Arial" w:cs="Arial"/>
          <w:sz w:val="22"/>
          <w:szCs w:val="22"/>
        </w:rPr>
        <w:t xml:space="preserve">A </w:t>
      </w:r>
      <w:r w:rsidR="00B2026D" w:rsidRPr="0001118B">
        <w:rPr>
          <w:rFonts w:ascii="Arial" w:hAnsi="Arial" w:cs="Arial"/>
          <w:b/>
          <w:bCs/>
          <w:i/>
          <w:sz w:val="22"/>
          <w:szCs w:val="22"/>
          <w:u w:val="single"/>
        </w:rPr>
        <w:t>működési</w:t>
      </w:r>
      <w:r w:rsidR="00E469AB" w:rsidRPr="0001118B">
        <w:rPr>
          <w:rFonts w:ascii="Arial" w:hAnsi="Arial" w:cs="Arial"/>
          <w:b/>
          <w:bCs/>
          <w:i/>
          <w:sz w:val="22"/>
          <w:szCs w:val="22"/>
          <w:u w:val="single"/>
        </w:rPr>
        <w:t xml:space="preserve"> </w:t>
      </w:r>
      <w:r w:rsidR="00B2026D" w:rsidRPr="0001118B">
        <w:rPr>
          <w:rFonts w:ascii="Arial" w:hAnsi="Arial" w:cs="Arial"/>
          <w:b/>
          <w:bCs/>
          <w:sz w:val="22"/>
          <w:szCs w:val="22"/>
        </w:rPr>
        <w:t>bevételek</w:t>
      </w:r>
      <w:r w:rsidR="00B2026D" w:rsidRPr="0001118B">
        <w:rPr>
          <w:rFonts w:ascii="Arial" w:hAnsi="Arial" w:cs="Arial"/>
          <w:sz w:val="22"/>
          <w:szCs w:val="22"/>
        </w:rPr>
        <w:t xml:space="preserve"> előirányzata</w:t>
      </w:r>
      <w:r w:rsidR="00A45508" w:rsidRPr="0001118B">
        <w:rPr>
          <w:rFonts w:ascii="Arial" w:hAnsi="Arial" w:cs="Arial"/>
          <w:sz w:val="22"/>
          <w:szCs w:val="22"/>
        </w:rPr>
        <w:t xml:space="preserve"> </w:t>
      </w:r>
      <w:r w:rsidR="00B60268">
        <w:rPr>
          <w:rFonts w:ascii="Arial" w:hAnsi="Arial" w:cs="Arial"/>
          <w:sz w:val="22"/>
          <w:szCs w:val="22"/>
        </w:rPr>
        <w:t>98 845 158</w:t>
      </w:r>
      <w:r w:rsidR="00A45508" w:rsidRPr="0001118B">
        <w:rPr>
          <w:rFonts w:ascii="Arial" w:hAnsi="Arial" w:cs="Arial"/>
          <w:sz w:val="22"/>
          <w:szCs w:val="22"/>
        </w:rPr>
        <w:t xml:space="preserve"> Ft.  </w:t>
      </w:r>
      <w:r w:rsidR="001709EB" w:rsidRPr="0001118B">
        <w:rPr>
          <w:rFonts w:ascii="Arial" w:hAnsi="Arial" w:cs="Arial"/>
          <w:sz w:val="22"/>
          <w:szCs w:val="22"/>
        </w:rPr>
        <w:t xml:space="preserve">Ez az előirányzat tartalmazza </w:t>
      </w:r>
      <w:r w:rsidRPr="0001118B">
        <w:rPr>
          <w:rFonts w:ascii="Arial" w:hAnsi="Arial" w:cs="Arial"/>
          <w:sz w:val="22"/>
          <w:szCs w:val="22"/>
        </w:rPr>
        <w:t>az önkormányzat tulajdonában lévő ingatlanok és egyéb vagyontárgyak bérbeadásának, használatának díja</w:t>
      </w:r>
      <w:r w:rsidR="00195881" w:rsidRPr="0001118B">
        <w:rPr>
          <w:rFonts w:ascii="Arial" w:hAnsi="Arial" w:cs="Arial"/>
          <w:sz w:val="22"/>
          <w:szCs w:val="22"/>
        </w:rPr>
        <w:t>it</w:t>
      </w:r>
      <w:r w:rsidRPr="0001118B">
        <w:rPr>
          <w:rFonts w:ascii="Arial" w:hAnsi="Arial" w:cs="Arial"/>
          <w:sz w:val="22"/>
          <w:szCs w:val="22"/>
        </w:rPr>
        <w:t>, a továbbszámlázott közvetített szolgáltatások</w:t>
      </w:r>
      <w:r w:rsidR="00086A82" w:rsidRPr="0001118B">
        <w:rPr>
          <w:rFonts w:ascii="Arial" w:hAnsi="Arial" w:cs="Arial"/>
          <w:sz w:val="22"/>
          <w:szCs w:val="22"/>
        </w:rPr>
        <w:t>at</w:t>
      </w:r>
      <w:r w:rsidRPr="0001118B">
        <w:rPr>
          <w:rFonts w:ascii="Arial" w:hAnsi="Arial" w:cs="Arial"/>
          <w:sz w:val="22"/>
          <w:szCs w:val="22"/>
        </w:rPr>
        <w:t>, valamint ezek áfa vonzatai</w:t>
      </w:r>
      <w:r w:rsidR="00195881" w:rsidRPr="0001118B">
        <w:rPr>
          <w:rFonts w:ascii="Arial" w:hAnsi="Arial" w:cs="Arial"/>
          <w:sz w:val="22"/>
          <w:szCs w:val="22"/>
        </w:rPr>
        <w:t>t</w:t>
      </w:r>
      <w:r w:rsidR="00F755D3" w:rsidRPr="0001118B">
        <w:rPr>
          <w:rFonts w:ascii="Arial" w:hAnsi="Arial" w:cs="Arial"/>
          <w:sz w:val="22"/>
          <w:szCs w:val="22"/>
        </w:rPr>
        <w:t xml:space="preserve">. </w:t>
      </w:r>
      <w:r w:rsidR="001709EB" w:rsidRPr="0001118B">
        <w:rPr>
          <w:rFonts w:ascii="Arial" w:hAnsi="Arial" w:cs="Arial"/>
          <w:sz w:val="22"/>
          <w:szCs w:val="22"/>
        </w:rPr>
        <w:t>A KÖH-nél</w:t>
      </w:r>
      <w:r w:rsidRPr="0001118B">
        <w:rPr>
          <w:rFonts w:ascii="Arial" w:hAnsi="Arial" w:cs="Arial"/>
          <w:sz w:val="22"/>
          <w:szCs w:val="22"/>
        </w:rPr>
        <w:t xml:space="preserve"> itt kerültek betervezésre a közvetített szolgáltatások ellenértékei</w:t>
      </w:r>
      <w:r w:rsidR="001709EB" w:rsidRPr="0001118B">
        <w:rPr>
          <w:rFonts w:ascii="Arial" w:hAnsi="Arial" w:cs="Arial"/>
          <w:sz w:val="22"/>
          <w:szCs w:val="22"/>
        </w:rPr>
        <w:t xml:space="preserve">, valamint ezek áfa vonzata, </w:t>
      </w:r>
      <w:r w:rsidRPr="0001118B">
        <w:rPr>
          <w:rFonts w:ascii="Arial" w:hAnsi="Arial" w:cs="Arial"/>
          <w:sz w:val="22"/>
          <w:szCs w:val="22"/>
        </w:rPr>
        <w:t>a Könyvtárnál pedig a</w:t>
      </w:r>
      <w:r w:rsidR="00A87490" w:rsidRPr="0001118B">
        <w:rPr>
          <w:rFonts w:ascii="Arial" w:hAnsi="Arial" w:cs="Arial"/>
          <w:sz w:val="22"/>
          <w:szCs w:val="22"/>
        </w:rPr>
        <w:t xml:space="preserve"> könyvtári szolgáltatások díjbevételei.</w:t>
      </w:r>
    </w:p>
    <w:p w14:paraId="414EF41F" w14:textId="77777777" w:rsidR="006325C2" w:rsidRPr="0001118B" w:rsidRDefault="006325C2" w:rsidP="006325C2">
      <w:pPr>
        <w:spacing w:line="276" w:lineRule="auto"/>
        <w:jc w:val="both"/>
        <w:rPr>
          <w:rFonts w:ascii="Arial" w:hAnsi="Arial" w:cs="Arial"/>
          <w:sz w:val="22"/>
          <w:szCs w:val="22"/>
        </w:rPr>
      </w:pPr>
    </w:p>
    <w:p w14:paraId="0CF8158B" w14:textId="7159BDE7" w:rsidR="006325C2" w:rsidRPr="0001118B" w:rsidRDefault="00316B16" w:rsidP="006325C2">
      <w:pPr>
        <w:spacing w:line="276" w:lineRule="auto"/>
        <w:jc w:val="both"/>
        <w:rPr>
          <w:rFonts w:ascii="Arial" w:hAnsi="Arial" w:cs="Arial"/>
          <w:sz w:val="22"/>
          <w:szCs w:val="22"/>
        </w:rPr>
      </w:pPr>
      <w:r w:rsidRPr="0001118B">
        <w:rPr>
          <w:rFonts w:ascii="Arial" w:hAnsi="Arial" w:cs="Arial"/>
          <w:b/>
          <w:bCs/>
          <w:i/>
          <w:sz w:val="22"/>
          <w:szCs w:val="22"/>
          <w:u w:val="single"/>
        </w:rPr>
        <w:t>A f</w:t>
      </w:r>
      <w:r w:rsidR="00A17198" w:rsidRPr="0001118B">
        <w:rPr>
          <w:rFonts w:ascii="Arial" w:hAnsi="Arial" w:cs="Arial"/>
          <w:b/>
          <w:bCs/>
          <w:i/>
          <w:sz w:val="22"/>
          <w:szCs w:val="22"/>
          <w:u w:val="single"/>
        </w:rPr>
        <w:t>elhalmozási bevételek</w:t>
      </w:r>
      <w:r w:rsidR="00A17198" w:rsidRPr="0001118B">
        <w:rPr>
          <w:rFonts w:ascii="Arial" w:hAnsi="Arial" w:cs="Arial"/>
          <w:sz w:val="22"/>
          <w:szCs w:val="22"/>
        </w:rPr>
        <w:t xml:space="preserve"> előirányzat</w:t>
      </w:r>
      <w:r w:rsidR="00E469AB" w:rsidRPr="0001118B">
        <w:rPr>
          <w:rFonts w:ascii="Arial" w:hAnsi="Arial" w:cs="Arial"/>
          <w:sz w:val="22"/>
          <w:szCs w:val="22"/>
        </w:rPr>
        <w:t xml:space="preserve">a </w:t>
      </w:r>
      <w:r w:rsidR="0001118B" w:rsidRPr="0001118B">
        <w:rPr>
          <w:rFonts w:ascii="Arial" w:hAnsi="Arial" w:cs="Arial"/>
          <w:sz w:val="22"/>
          <w:szCs w:val="22"/>
        </w:rPr>
        <w:t>131 987 333</w:t>
      </w:r>
      <w:r w:rsidR="00A17198" w:rsidRPr="0001118B">
        <w:rPr>
          <w:rFonts w:ascii="Arial" w:hAnsi="Arial" w:cs="Arial"/>
          <w:sz w:val="22"/>
          <w:szCs w:val="22"/>
        </w:rPr>
        <w:t xml:space="preserve"> Ft, melynek tartalmát </w:t>
      </w:r>
      <w:r w:rsidR="006325C2" w:rsidRPr="0001118B">
        <w:rPr>
          <w:rFonts w:ascii="Arial" w:hAnsi="Arial" w:cs="Arial"/>
          <w:sz w:val="22"/>
          <w:szCs w:val="22"/>
        </w:rPr>
        <w:t>ingatlan</w:t>
      </w:r>
      <w:r w:rsidR="00823389" w:rsidRPr="0001118B">
        <w:rPr>
          <w:rFonts w:ascii="Arial" w:hAnsi="Arial" w:cs="Arial"/>
          <w:sz w:val="22"/>
          <w:szCs w:val="22"/>
        </w:rPr>
        <w:t xml:space="preserve">értékesítési </w:t>
      </w:r>
      <w:r w:rsidR="00A17198" w:rsidRPr="0001118B">
        <w:rPr>
          <w:rFonts w:ascii="Arial" w:hAnsi="Arial" w:cs="Arial"/>
          <w:sz w:val="22"/>
          <w:szCs w:val="22"/>
        </w:rPr>
        <w:t>bevétel adja</w:t>
      </w:r>
      <w:r w:rsidR="00823389" w:rsidRPr="0001118B">
        <w:rPr>
          <w:rFonts w:ascii="Arial" w:hAnsi="Arial" w:cs="Arial"/>
          <w:sz w:val="22"/>
          <w:szCs w:val="22"/>
        </w:rPr>
        <w:t xml:space="preserve">, teljesülése </w:t>
      </w:r>
      <w:r w:rsidR="0001118B" w:rsidRPr="0001118B">
        <w:rPr>
          <w:rFonts w:ascii="Arial" w:hAnsi="Arial" w:cs="Arial"/>
          <w:sz w:val="22"/>
          <w:szCs w:val="22"/>
        </w:rPr>
        <w:t xml:space="preserve">jelentős </w:t>
      </w:r>
      <w:r w:rsidR="00823389" w:rsidRPr="0001118B">
        <w:rPr>
          <w:rFonts w:ascii="Arial" w:hAnsi="Arial" w:cs="Arial"/>
          <w:sz w:val="22"/>
          <w:szCs w:val="22"/>
        </w:rPr>
        <w:t>kockázati tényező.</w:t>
      </w:r>
      <w:r w:rsidR="00E469AB" w:rsidRPr="0001118B">
        <w:rPr>
          <w:rFonts w:ascii="Arial" w:hAnsi="Arial" w:cs="Arial"/>
          <w:sz w:val="22"/>
          <w:szCs w:val="22"/>
        </w:rPr>
        <w:t xml:space="preserve"> </w:t>
      </w:r>
      <w:r w:rsidR="00627AC8" w:rsidRPr="0001118B">
        <w:rPr>
          <w:rFonts w:ascii="Arial" w:hAnsi="Arial" w:cs="Arial"/>
          <w:sz w:val="22"/>
          <w:szCs w:val="22"/>
        </w:rPr>
        <w:t>A jelenlegi információk alapján az</w:t>
      </w:r>
      <w:r w:rsidR="00E469AB" w:rsidRPr="0001118B">
        <w:rPr>
          <w:rFonts w:ascii="Arial" w:hAnsi="Arial" w:cs="Arial"/>
          <w:sz w:val="22"/>
          <w:szCs w:val="22"/>
        </w:rPr>
        <w:t xml:space="preserve"> év során képződő, </w:t>
      </w:r>
      <w:r w:rsidR="00627AC8" w:rsidRPr="0001118B">
        <w:rPr>
          <w:rFonts w:ascii="Arial" w:hAnsi="Arial" w:cs="Arial"/>
          <w:sz w:val="22"/>
          <w:szCs w:val="22"/>
        </w:rPr>
        <w:t xml:space="preserve">de </w:t>
      </w:r>
      <w:r w:rsidR="00E469AB" w:rsidRPr="0001118B">
        <w:rPr>
          <w:rFonts w:ascii="Arial" w:hAnsi="Arial" w:cs="Arial"/>
          <w:sz w:val="22"/>
          <w:szCs w:val="22"/>
        </w:rPr>
        <w:t>eredeti előirányzatként nem ter</w:t>
      </w:r>
      <w:r w:rsidR="00B344F3" w:rsidRPr="0001118B">
        <w:rPr>
          <w:rFonts w:ascii="Arial" w:hAnsi="Arial" w:cs="Arial"/>
          <w:sz w:val="22"/>
          <w:szCs w:val="22"/>
        </w:rPr>
        <w:t>vezhető bevételek (202</w:t>
      </w:r>
      <w:r w:rsidR="0001118B" w:rsidRPr="0001118B">
        <w:rPr>
          <w:rFonts w:ascii="Arial" w:hAnsi="Arial" w:cs="Arial"/>
          <w:sz w:val="22"/>
          <w:szCs w:val="22"/>
        </w:rPr>
        <w:t>4</w:t>
      </w:r>
      <w:r w:rsidR="00B344F3" w:rsidRPr="0001118B">
        <w:rPr>
          <w:rFonts w:ascii="Arial" w:hAnsi="Arial" w:cs="Arial"/>
          <w:sz w:val="22"/>
          <w:szCs w:val="22"/>
        </w:rPr>
        <w:t>. évi társulási elszámolások</w:t>
      </w:r>
      <w:r w:rsidR="0001118B" w:rsidRPr="0001118B">
        <w:rPr>
          <w:rFonts w:ascii="Arial" w:hAnsi="Arial" w:cs="Arial"/>
          <w:sz w:val="22"/>
          <w:szCs w:val="22"/>
        </w:rPr>
        <w:t>, REKI pályázat, KÖH pótlólagos előirányzat</w:t>
      </w:r>
      <w:r w:rsidR="00B344F3" w:rsidRPr="0001118B">
        <w:rPr>
          <w:rFonts w:ascii="Arial" w:hAnsi="Arial" w:cs="Arial"/>
          <w:sz w:val="22"/>
          <w:szCs w:val="22"/>
        </w:rPr>
        <w:t xml:space="preserve"> stb.) összegét e forráselem kiváltására </w:t>
      </w:r>
      <w:r w:rsidR="00A55C7A" w:rsidRPr="0001118B">
        <w:rPr>
          <w:rFonts w:ascii="Arial" w:hAnsi="Arial" w:cs="Arial"/>
          <w:sz w:val="22"/>
          <w:szCs w:val="22"/>
        </w:rPr>
        <w:t>lehet és kell fordítani.</w:t>
      </w:r>
    </w:p>
    <w:p w14:paraId="245F2587" w14:textId="77777777" w:rsidR="006325C2" w:rsidRPr="0001118B" w:rsidRDefault="006325C2" w:rsidP="006325C2">
      <w:pPr>
        <w:spacing w:line="276" w:lineRule="auto"/>
        <w:jc w:val="both"/>
        <w:rPr>
          <w:rFonts w:ascii="Arial" w:hAnsi="Arial" w:cs="Arial"/>
          <w:sz w:val="22"/>
          <w:szCs w:val="22"/>
        </w:rPr>
      </w:pPr>
    </w:p>
    <w:p w14:paraId="712F7013" w14:textId="1041A0DF" w:rsidR="006325C2" w:rsidRPr="0001118B" w:rsidRDefault="00316B16" w:rsidP="006325C2">
      <w:pPr>
        <w:spacing w:line="276" w:lineRule="auto"/>
        <w:jc w:val="both"/>
        <w:rPr>
          <w:rFonts w:ascii="Arial" w:hAnsi="Arial" w:cs="Arial"/>
          <w:sz w:val="22"/>
          <w:szCs w:val="22"/>
        </w:rPr>
      </w:pPr>
      <w:r w:rsidRPr="0001118B">
        <w:rPr>
          <w:rFonts w:ascii="Arial" w:hAnsi="Arial" w:cs="Arial"/>
          <w:i/>
          <w:sz w:val="22"/>
          <w:szCs w:val="22"/>
          <w:u w:val="single"/>
        </w:rPr>
        <w:t xml:space="preserve">A </w:t>
      </w:r>
      <w:r w:rsidRPr="0001118B">
        <w:rPr>
          <w:rFonts w:ascii="Arial" w:hAnsi="Arial" w:cs="Arial"/>
          <w:b/>
          <w:bCs/>
          <w:i/>
          <w:sz w:val="22"/>
          <w:szCs w:val="22"/>
          <w:u w:val="single"/>
        </w:rPr>
        <w:t>m</w:t>
      </w:r>
      <w:r w:rsidR="006325C2" w:rsidRPr="0001118B">
        <w:rPr>
          <w:rFonts w:ascii="Arial" w:hAnsi="Arial" w:cs="Arial"/>
          <w:b/>
          <w:bCs/>
          <w:i/>
          <w:sz w:val="22"/>
          <w:szCs w:val="22"/>
          <w:u w:val="single"/>
        </w:rPr>
        <w:t>űködési célú átvett pénzeszközök</w:t>
      </w:r>
      <w:r w:rsidR="00595BC2" w:rsidRPr="0001118B">
        <w:rPr>
          <w:rFonts w:ascii="Arial" w:hAnsi="Arial" w:cs="Arial"/>
          <w:sz w:val="22"/>
          <w:szCs w:val="22"/>
        </w:rPr>
        <w:t xml:space="preserve"> előirányzattal eredeti előirányzatként nem számolunk.</w:t>
      </w:r>
    </w:p>
    <w:p w14:paraId="43EB8668" w14:textId="77777777" w:rsidR="006325C2" w:rsidRPr="0001118B" w:rsidRDefault="006325C2" w:rsidP="006325C2">
      <w:pPr>
        <w:spacing w:line="276" w:lineRule="auto"/>
        <w:jc w:val="both"/>
        <w:rPr>
          <w:rFonts w:ascii="Arial" w:hAnsi="Arial" w:cs="Arial"/>
          <w:sz w:val="22"/>
          <w:szCs w:val="22"/>
        </w:rPr>
      </w:pPr>
    </w:p>
    <w:p w14:paraId="3D902736" w14:textId="41C8A735" w:rsidR="006325C2" w:rsidRPr="0001118B" w:rsidRDefault="00595BC2" w:rsidP="006325C2">
      <w:pPr>
        <w:spacing w:line="276" w:lineRule="auto"/>
        <w:jc w:val="both"/>
        <w:rPr>
          <w:rFonts w:ascii="Arial" w:hAnsi="Arial" w:cs="Arial"/>
          <w:sz w:val="22"/>
          <w:szCs w:val="22"/>
        </w:rPr>
      </w:pPr>
      <w:r w:rsidRPr="0001118B">
        <w:rPr>
          <w:rFonts w:ascii="Arial" w:hAnsi="Arial" w:cs="Arial"/>
          <w:sz w:val="22"/>
          <w:szCs w:val="22"/>
        </w:rPr>
        <w:t xml:space="preserve">A </w:t>
      </w:r>
      <w:r w:rsidRPr="0001118B">
        <w:rPr>
          <w:rFonts w:ascii="Arial" w:hAnsi="Arial" w:cs="Arial"/>
          <w:b/>
          <w:bCs/>
          <w:sz w:val="22"/>
          <w:szCs w:val="22"/>
          <w:u w:val="single"/>
        </w:rPr>
        <w:t>k</w:t>
      </w:r>
      <w:r w:rsidR="006325C2" w:rsidRPr="0001118B">
        <w:rPr>
          <w:rFonts w:ascii="Arial" w:hAnsi="Arial" w:cs="Arial"/>
          <w:b/>
          <w:bCs/>
          <w:i/>
          <w:sz w:val="22"/>
          <w:szCs w:val="22"/>
          <w:u w:val="single"/>
        </w:rPr>
        <w:t>öltségvetési bevéte</w:t>
      </w:r>
      <w:r w:rsidR="00B97319" w:rsidRPr="0001118B">
        <w:rPr>
          <w:rFonts w:ascii="Arial" w:hAnsi="Arial" w:cs="Arial"/>
          <w:b/>
          <w:bCs/>
          <w:i/>
          <w:sz w:val="22"/>
          <w:szCs w:val="22"/>
          <w:u w:val="single"/>
        </w:rPr>
        <w:t>l</w:t>
      </w:r>
      <w:r w:rsidRPr="0001118B">
        <w:rPr>
          <w:rFonts w:ascii="Arial" w:hAnsi="Arial" w:cs="Arial"/>
          <w:b/>
          <w:bCs/>
          <w:i/>
          <w:sz w:val="22"/>
          <w:szCs w:val="22"/>
          <w:u w:val="single"/>
        </w:rPr>
        <w:t>ek</w:t>
      </w:r>
      <w:r w:rsidR="00B97319" w:rsidRPr="0001118B">
        <w:rPr>
          <w:rFonts w:ascii="Arial" w:hAnsi="Arial" w:cs="Arial"/>
          <w:i/>
          <w:sz w:val="22"/>
          <w:szCs w:val="22"/>
        </w:rPr>
        <w:t xml:space="preserve"> </w:t>
      </w:r>
      <w:r w:rsidRPr="0001118B">
        <w:rPr>
          <w:rFonts w:ascii="Arial" w:hAnsi="Arial" w:cs="Arial"/>
          <w:sz w:val="22"/>
          <w:szCs w:val="22"/>
        </w:rPr>
        <w:t xml:space="preserve">előirányzata </w:t>
      </w:r>
      <w:r w:rsidR="001C5F02">
        <w:rPr>
          <w:rFonts w:ascii="Arial" w:hAnsi="Arial" w:cs="Arial"/>
          <w:sz w:val="22"/>
          <w:szCs w:val="22"/>
        </w:rPr>
        <w:t>2 068 037 009</w:t>
      </w:r>
      <w:r w:rsidR="006C513A" w:rsidRPr="0001118B">
        <w:rPr>
          <w:rFonts w:ascii="Arial" w:hAnsi="Arial" w:cs="Arial"/>
          <w:sz w:val="22"/>
          <w:szCs w:val="22"/>
        </w:rPr>
        <w:t xml:space="preserve"> Ft</w:t>
      </w:r>
      <w:r w:rsidR="006325C2" w:rsidRPr="0001118B">
        <w:rPr>
          <w:rFonts w:ascii="Arial" w:hAnsi="Arial" w:cs="Arial"/>
          <w:sz w:val="22"/>
          <w:szCs w:val="22"/>
        </w:rPr>
        <w:t xml:space="preserve">. </w:t>
      </w:r>
    </w:p>
    <w:p w14:paraId="5E3D1DE1" w14:textId="77777777" w:rsidR="006325C2" w:rsidRPr="00A82F71" w:rsidRDefault="006325C2" w:rsidP="006325C2">
      <w:pPr>
        <w:spacing w:line="276" w:lineRule="auto"/>
        <w:jc w:val="both"/>
        <w:rPr>
          <w:rFonts w:ascii="Arial" w:hAnsi="Arial" w:cs="Arial"/>
          <w:sz w:val="22"/>
          <w:szCs w:val="22"/>
          <w:highlight w:val="yellow"/>
        </w:rPr>
      </w:pPr>
    </w:p>
    <w:p w14:paraId="6F31D7B6" w14:textId="3A51A25E" w:rsidR="00935927" w:rsidRPr="00851E5A" w:rsidRDefault="00B97319" w:rsidP="006325C2">
      <w:pPr>
        <w:spacing w:line="276" w:lineRule="auto"/>
        <w:jc w:val="both"/>
        <w:rPr>
          <w:rFonts w:ascii="Arial" w:hAnsi="Arial" w:cs="Arial"/>
          <w:sz w:val="22"/>
          <w:szCs w:val="22"/>
        </w:rPr>
      </w:pPr>
      <w:r w:rsidRPr="00851E5A">
        <w:rPr>
          <w:rFonts w:ascii="Arial" w:hAnsi="Arial" w:cs="Arial"/>
          <w:sz w:val="22"/>
          <w:szCs w:val="22"/>
        </w:rPr>
        <w:t xml:space="preserve">A </w:t>
      </w:r>
      <w:r w:rsidRPr="00851E5A">
        <w:rPr>
          <w:rFonts w:ascii="Arial" w:hAnsi="Arial" w:cs="Arial"/>
          <w:b/>
          <w:bCs/>
          <w:sz w:val="22"/>
          <w:szCs w:val="22"/>
          <w:u w:val="single"/>
        </w:rPr>
        <w:t>finanszírozási bevétel</w:t>
      </w:r>
      <w:r w:rsidR="00935927" w:rsidRPr="00851E5A">
        <w:rPr>
          <w:rFonts w:ascii="Arial" w:hAnsi="Arial" w:cs="Arial"/>
          <w:b/>
          <w:bCs/>
          <w:sz w:val="22"/>
          <w:szCs w:val="22"/>
          <w:u w:val="single"/>
        </w:rPr>
        <w:t>ek</w:t>
      </w:r>
      <w:r w:rsidRPr="00851E5A">
        <w:rPr>
          <w:rFonts w:ascii="Arial" w:hAnsi="Arial" w:cs="Arial"/>
          <w:sz w:val="22"/>
          <w:szCs w:val="22"/>
        </w:rPr>
        <w:t xml:space="preserve"> </w:t>
      </w:r>
      <w:r w:rsidR="00935927" w:rsidRPr="00851E5A">
        <w:rPr>
          <w:rFonts w:ascii="Arial" w:hAnsi="Arial" w:cs="Arial"/>
          <w:sz w:val="22"/>
          <w:szCs w:val="22"/>
        </w:rPr>
        <w:t xml:space="preserve">előirányzata </w:t>
      </w:r>
      <w:r w:rsidR="0001118B" w:rsidRPr="00851E5A">
        <w:rPr>
          <w:rFonts w:ascii="Arial" w:hAnsi="Arial" w:cs="Arial"/>
          <w:sz w:val="22"/>
          <w:szCs w:val="22"/>
        </w:rPr>
        <w:t>706 729 294</w:t>
      </w:r>
      <w:r w:rsidR="00935927" w:rsidRPr="00851E5A">
        <w:rPr>
          <w:rFonts w:ascii="Arial" w:hAnsi="Arial" w:cs="Arial"/>
          <w:sz w:val="22"/>
          <w:szCs w:val="22"/>
        </w:rPr>
        <w:t xml:space="preserve"> Ft, ami az előző évi pénzmaradvány összege. </w:t>
      </w:r>
      <w:r w:rsidR="0007386F" w:rsidRPr="00851E5A">
        <w:rPr>
          <w:rFonts w:ascii="Arial" w:hAnsi="Arial" w:cs="Arial"/>
          <w:sz w:val="22"/>
          <w:szCs w:val="22"/>
        </w:rPr>
        <w:t xml:space="preserve">A maradvány </w:t>
      </w:r>
      <w:r w:rsidR="00F755D3" w:rsidRPr="00851E5A">
        <w:rPr>
          <w:rFonts w:ascii="Arial" w:hAnsi="Arial" w:cs="Arial"/>
          <w:sz w:val="22"/>
          <w:szCs w:val="22"/>
        </w:rPr>
        <w:t xml:space="preserve">döntő része </w:t>
      </w:r>
      <w:r w:rsidR="009F4D8A" w:rsidRPr="00851E5A">
        <w:rPr>
          <w:rFonts w:ascii="Arial" w:hAnsi="Arial" w:cs="Arial"/>
          <w:sz w:val="22"/>
          <w:szCs w:val="22"/>
        </w:rPr>
        <w:t xml:space="preserve">az Önkormányzatnál képződött, ennek összege </w:t>
      </w:r>
      <w:r w:rsidR="00851E5A" w:rsidRPr="00851E5A">
        <w:rPr>
          <w:rFonts w:ascii="Arial" w:hAnsi="Arial" w:cs="Arial"/>
          <w:sz w:val="22"/>
          <w:szCs w:val="22"/>
        </w:rPr>
        <w:t>683 368 203</w:t>
      </w:r>
      <w:r w:rsidR="009F4D8A" w:rsidRPr="00851E5A">
        <w:rPr>
          <w:rFonts w:ascii="Arial" w:hAnsi="Arial" w:cs="Arial"/>
          <w:sz w:val="22"/>
          <w:szCs w:val="22"/>
        </w:rPr>
        <w:t xml:space="preserve"> Ft, a KÖH pénzmaradványa </w:t>
      </w:r>
      <w:r w:rsidR="0001118B" w:rsidRPr="00851E5A">
        <w:rPr>
          <w:rFonts w:ascii="Arial" w:hAnsi="Arial" w:cs="Arial"/>
          <w:sz w:val="22"/>
          <w:szCs w:val="22"/>
        </w:rPr>
        <w:t>23 074 174</w:t>
      </w:r>
      <w:r w:rsidR="009F4D8A" w:rsidRPr="00851E5A">
        <w:rPr>
          <w:rFonts w:ascii="Arial" w:hAnsi="Arial" w:cs="Arial"/>
          <w:sz w:val="22"/>
          <w:szCs w:val="22"/>
        </w:rPr>
        <w:t xml:space="preserve"> Ft, a Keresztély Gyula Városi Könyvtárnál </w:t>
      </w:r>
      <w:r w:rsidR="00851E5A" w:rsidRPr="00851E5A">
        <w:rPr>
          <w:rFonts w:ascii="Arial" w:hAnsi="Arial" w:cs="Arial"/>
          <w:sz w:val="22"/>
          <w:szCs w:val="22"/>
        </w:rPr>
        <w:t>286 917</w:t>
      </w:r>
      <w:r w:rsidR="009F4D8A" w:rsidRPr="00851E5A">
        <w:rPr>
          <w:rFonts w:ascii="Arial" w:hAnsi="Arial" w:cs="Arial"/>
          <w:sz w:val="22"/>
          <w:szCs w:val="22"/>
        </w:rPr>
        <w:t xml:space="preserve"> Ft összegű ez a forrás. A KÖH-nél számba vett forrás teljes egészében céljellegű, a 202</w:t>
      </w:r>
      <w:r w:rsidR="0001118B" w:rsidRPr="00851E5A">
        <w:rPr>
          <w:rFonts w:ascii="Arial" w:hAnsi="Arial" w:cs="Arial"/>
          <w:sz w:val="22"/>
          <w:szCs w:val="22"/>
        </w:rPr>
        <w:t>4</w:t>
      </w:r>
      <w:r w:rsidR="009F4D8A" w:rsidRPr="00851E5A">
        <w:rPr>
          <w:rFonts w:ascii="Arial" w:hAnsi="Arial" w:cs="Arial"/>
          <w:sz w:val="22"/>
          <w:szCs w:val="22"/>
        </w:rPr>
        <w:t xml:space="preserve">. évi társulási elszámolások fedezetét képezi, továbbá a TOP és a TOP Plusz projektek végrehajtandó feladatinak forrásaként áll rendelkezésre. Az önkormányzati </w:t>
      </w:r>
      <w:r w:rsidR="008D2A36" w:rsidRPr="00851E5A">
        <w:rPr>
          <w:rFonts w:ascii="Arial" w:hAnsi="Arial" w:cs="Arial"/>
          <w:sz w:val="22"/>
          <w:szCs w:val="22"/>
        </w:rPr>
        <w:t xml:space="preserve">szabad </w:t>
      </w:r>
      <w:r w:rsidR="009F4D8A" w:rsidRPr="00851E5A">
        <w:rPr>
          <w:rFonts w:ascii="Arial" w:hAnsi="Arial" w:cs="Arial"/>
          <w:sz w:val="22"/>
          <w:szCs w:val="22"/>
        </w:rPr>
        <w:t xml:space="preserve">pénzmaradványrész </w:t>
      </w:r>
      <w:r w:rsidR="00E83EB3">
        <w:rPr>
          <w:rFonts w:ascii="Arial" w:hAnsi="Arial" w:cs="Arial"/>
          <w:sz w:val="22"/>
          <w:szCs w:val="22"/>
        </w:rPr>
        <w:t>min</w:t>
      </w:r>
      <w:r w:rsidR="00E83EB3" w:rsidRPr="00E83EB3">
        <w:rPr>
          <w:rFonts w:ascii="Arial" w:hAnsi="Arial" w:cs="Arial"/>
          <w:sz w:val="22"/>
          <w:szCs w:val="22"/>
        </w:rPr>
        <w:t>dössze</w:t>
      </w:r>
      <w:r w:rsidR="008D2A36" w:rsidRPr="00E83EB3">
        <w:rPr>
          <w:rFonts w:ascii="Arial" w:hAnsi="Arial" w:cs="Arial"/>
          <w:sz w:val="22"/>
          <w:szCs w:val="22"/>
        </w:rPr>
        <w:t xml:space="preserve"> </w:t>
      </w:r>
      <w:r w:rsidR="00E83EB3" w:rsidRPr="00E83EB3">
        <w:rPr>
          <w:rFonts w:ascii="Arial" w:hAnsi="Arial" w:cs="Arial"/>
          <w:sz w:val="22"/>
          <w:szCs w:val="22"/>
        </w:rPr>
        <w:t>31</w:t>
      </w:r>
      <w:r w:rsidR="008D2A36" w:rsidRPr="00E83EB3">
        <w:rPr>
          <w:rFonts w:ascii="Arial" w:hAnsi="Arial" w:cs="Arial"/>
          <w:sz w:val="22"/>
          <w:szCs w:val="22"/>
        </w:rPr>
        <w:t xml:space="preserve"> 000 000 </w:t>
      </w:r>
      <w:r w:rsidR="00F755D3" w:rsidRPr="00E83EB3">
        <w:rPr>
          <w:rFonts w:ascii="Arial" w:hAnsi="Arial" w:cs="Arial"/>
          <w:sz w:val="22"/>
          <w:szCs w:val="22"/>
        </w:rPr>
        <w:t>Ft.</w:t>
      </w:r>
    </w:p>
    <w:p w14:paraId="760F77B4" w14:textId="77777777" w:rsidR="00935927" w:rsidRPr="00851E5A" w:rsidRDefault="00935927" w:rsidP="006325C2">
      <w:pPr>
        <w:spacing w:line="276" w:lineRule="auto"/>
        <w:jc w:val="both"/>
        <w:rPr>
          <w:rFonts w:ascii="Arial" w:hAnsi="Arial" w:cs="Arial"/>
          <w:sz w:val="22"/>
          <w:szCs w:val="22"/>
        </w:rPr>
      </w:pPr>
    </w:p>
    <w:p w14:paraId="69B023B7" w14:textId="22D03429" w:rsidR="006325C2" w:rsidRPr="0001118B" w:rsidRDefault="006325C2" w:rsidP="006325C2">
      <w:pPr>
        <w:spacing w:line="276" w:lineRule="auto"/>
        <w:jc w:val="both"/>
        <w:rPr>
          <w:rFonts w:ascii="Arial" w:hAnsi="Arial" w:cs="Arial"/>
          <w:sz w:val="22"/>
          <w:szCs w:val="22"/>
        </w:rPr>
      </w:pPr>
      <w:r w:rsidRPr="0001118B">
        <w:rPr>
          <w:rFonts w:ascii="Arial" w:hAnsi="Arial" w:cs="Arial"/>
          <w:sz w:val="22"/>
          <w:szCs w:val="22"/>
        </w:rPr>
        <w:t>Bátaszé</w:t>
      </w:r>
      <w:r w:rsidR="00935927" w:rsidRPr="0001118B">
        <w:rPr>
          <w:rFonts w:ascii="Arial" w:hAnsi="Arial" w:cs="Arial"/>
          <w:sz w:val="22"/>
          <w:szCs w:val="22"/>
        </w:rPr>
        <w:t xml:space="preserve">k Város Önkormányzatának </w:t>
      </w:r>
      <w:r w:rsidR="00935927" w:rsidRPr="0001118B">
        <w:rPr>
          <w:rFonts w:ascii="Arial" w:hAnsi="Arial" w:cs="Arial"/>
          <w:b/>
          <w:sz w:val="22"/>
          <w:szCs w:val="22"/>
        </w:rPr>
        <w:t>BEVÉTELI FŐ ÖSSZEGE</w:t>
      </w:r>
      <w:r w:rsidRPr="0001118B">
        <w:rPr>
          <w:rFonts w:ascii="Arial" w:hAnsi="Arial" w:cs="Arial"/>
          <w:sz w:val="22"/>
          <w:szCs w:val="22"/>
        </w:rPr>
        <w:t xml:space="preserve"> </w:t>
      </w:r>
      <w:r w:rsidR="001C5F02">
        <w:rPr>
          <w:rFonts w:ascii="Arial" w:hAnsi="Arial" w:cs="Arial"/>
          <w:sz w:val="22"/>
          <w:szCs w:val="22"/>
        </w:rPr>
        <w:t>2 774 766 303</w:t>
      </w:r>
      <w:r w:rsidRPr="0001118B">
        <w:rPr>
          <w:rFonts w:ascii="Arial" w:eastAsia="Calibri" w:hAnsi="Arial" w:cs="Arial"/>
          <w:b/>
          <w:sz w:val="22"/>
          <w:szCs w:val="22"/>
          <w:lang w:eastAsia="en-US"/>
        </w:rPr>
        <w:t xml:space="preserve"> </w:t>
      </w:r>
      <w:r w:rsidRPr="0001118B">
        <w:rPr>
          <w:rFonts w:ascii="Arial" w:hAnsi="Arial" w:cs="Arial"/>
          <w:b/>
          <w:sz w:val="22"/>
          <w:szCs w:val="22"/>
        </w:rPr>
        <w:t>Ft</w:t>
      </w:r>
      <w:r w:rsidRPr="0001118B">
        <w:rPr>
          <w:rFonts w:ascii="Arial" w:hAnsi="Arial" w:cs="Arial"/>
          <w:sz w:val="22"/>
          <w:szCs w:val="22"/>
        </w:rPr>
        <w:t>.</w:t>
      </w:r>
    </w:p>
    <w:p w14:paraId="255721A9" w14:textId="77777777" w:rsidR="006325C2" w:rsidRPr="00A82F71" w:rsidRDefault="006325C2" w:rsidP="006325C2">
      <w:pPr>
        <w:jc w:val="both"/>
        <w:rPr>
          <w:rFonts w:ascii="Arial" w:hAnsi="Arial" w:cs="Arial"/>
          <w:sz w:val="22"/>
          <w:szCs w:val="22"/>
          <w:highlight w:val="yellow"/>
        </w:rPr>
      </w:pPr>
    </w:p>
    <w:p w14:paraId="1AB325BE" w14:textId="77777777" w:rsidR="006325C2" w:rsidRPr="00A82F71" w:rsidRDefault="006325C2" w:rsidP="006325C2">
      <w:pPr>
        <w:jc w:val="both"/>
        <w:rPr>
          <w:rFonts w:ascii="Arial" w:hAnsi="Arial" w:cs="Arial"/>
          <w:sz w:val="22"/>
          <w:szCs w:val="22"/>
          <w:highlight w:val="yellow"/>
        </w:rPr>
      </w:pPr>
    </w:p>
    <w:p w14:paraId="1DD6CCDB" w14:textId="36ECE8A4" w:rsidR="00F43F62" w:rsidRPr="0001118B" w:rsidRDefault="006325C2" w:rsidP="006325C2">
      <w:pPr>
        <w:jc w:val="both"/>
        <w:rPr>
          <w:rFonts w:ascii="Arial" w:hAnsi="Arial" w:cs="Arial"/>
          <w:b/>
          <w:sz w:val="22"/>
          <w:szCs w:val="22"/>
        </w:rPr>
      </w:pPr>
      <w:r w:rsidRPr="0001118B">
        <w:rPr>
          <w:rFonts w:ascii="Arial" w:hAnsi="Arial" w:cs="Arial"/>
          <w:b/>
          <w:sz w:val="22"/>
          <w:szCs w:val="22"/>
        </w:rPr>
        <w:t>KIADÁSOK:</w:t>
      </w:r>
    </w:p>
    <w:p w14:paraId="2E3D229C" w14:textId="77777777" w:rsidR="006325C2" w:rsidRPr="0001118B" w:rsidRDefault="006325C2" w:rsidP="006325C2">
      <w:pPr>
        <w:spacing w:before="120" w:line="276" w:lineRule="auto"/>
        <w:jc w:val="both"/>
        <w:rPr>
          <w:rFonts w:ascii="Arial" w:hAnsi="Arial" w:cs="Arial"/>
          <w:sz w:val="22"/>
          <w:szCs w:val="22"/>
        </w:rPr>
      </w:pPr>
      <w:r w:rsidRPr="0001118B">
        <w:rPr>
          <w:rFonts w:ascii="Arial" w:hAnsi="Arial" w:cs="Arial"/>
          <w:sz w:val="22"/>
          <w:szCs w:val="22"/>
        </w:rPr>
        <w:t>A költségvetési rendeletben szereplő kiadási jogcímek részletezése:</w:t>
      </w:r>
    </w:p>
    <w:tbl>
      <w:tblPr>
        <w:tblpPr w:leftFromText="141" w:rightFromText="141" w:vertAnchor="text" w:horzAnchor="margin" w:tblpXSpec="center"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118"/>
      </w:tblGrid>
      <w:tr w:rsidR="006325C2" w:rsidRPr="00A82F71" w14:paraId="41F1DEFD"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7A65738A" w14:textId="77777777" w:rsidR="006325C2" w:rsidRPr="00325D0F" w:rsidRDefault="006325C2">
            <w:pPr>
              <w:jc w:val="both"/>
              <w:rPr>
                <w:rFonts w:ascii="Arial" w:hAnsi="Arial" w:cs="Arial"/>
                <w:b/>
                <w:sz w:val="22"/>
                <w:szCs w:val="22"/>
              </w:rPr>
            </w:pPr>
            <w:r w:rsidRPr="00325D0F">
              <w:rPr>
                <w:rFonts w:ascii="Arial" w:hAnsi="Arial" w:cs="Arial"/>
                <w:sz w:val="22"/>
                <w:szCs w:val="22"/>
              </w:rPr>
              <w:t>Személyi juttatások</w:t>
            </w:r>
          </w:p>
        </w:tc>
        <w:tc>
          <w:tcPr>
            <w:tcW w:w="3118" w:type="dxa"/>
            <w:tcBorders>
              <w:top w:val="single" w:sz="4" w:space="0" w:color="auto"/>
              <w:left w:val="single" w:sz="4" w:space="0" w:color="auto"/>
              <w:bottom w:val="single" w:sz="4" w:space="0" w:color="auto"/>
              <w:right w:val="single" w:sz="4" w:space="0" w:color="auto"/>
            </w:tcBorders>
            <w:hideMark/>
          </w:tcPr>
          <w:p w14:paraId="210E702B" w14:textId="7B04FE42" w:rsidR="006325C2" w:rsidRPr="00A82F71" w:rsidRDefault="00325D0F">
            <w:pPr>
              <w:jc w:val="right"/>
              <w:rPr>
                <w:rFonts w:ascii="Arial" w:hAnsi="Arial" w:cs="Arial"/>
                <w:sz w:val="22"/>
                <w:szCs w:val="22"/>
                <w:highlight w:val="yellow"/>
              </w:rPr>
            </w:pPr>
            <w:r w:rsidRPr="00325D0F">
              <w:rPr>
                <w:rFonts w:ascii="Arial" w:hAnsi="Arial" w:cs="Arial"/>
                <w:sz w:val="22"/>
                <w:szCs w:val="22"/>
              </w:rPr>
              <w:t>322 781 831</w:t>
            </w:r>
          </w:p>
        </w:tc>
      </w:tr>
      <w:tr w:rsidR="006325C2" w:rsidRPr="00A82F71" w14:paraId="115647EF"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770460AE" w14:textId="77777777" w:rsidR="006325C2" w:rsidRPr="00325D0F" w:rsidRDefault="006325C2">
            <w:pPr>
              <w:jc w:val="both"/>
              <w:rPr>
                <w:rFonts w:ascii="Arial" w:hAnsi="Arial" w:cs="Arial"/>
                <w:b/>
                <w:sz w:val="22"/>
                <w:szCs w:val="22"/>
              </w:rPr>
            </w:pPr>
            <w:r w:rsidRPr="00325D0F">
              <w:rPr>
                <w:rFonts w:ascii="Arial" w:hAnsi="Arial" w:cs="Arial"/>
                <w:sz w:val="22"/>
                <w:szCs w:val="22"/>
              </w:rPr>
              <w:t>Munkaadókat terhelő járulékok és szociális hozzájárulási adó</w:t>
            </w:r>
          </w:p>
        </w:tc>
        <w:tc>
          <w:tcPr>
            <w:tcW w:w="3118" w:type="dxa"/>
            <w:tcBorders>
              <w:top w:val="single" w:sz="4" w:space="0" w:color="auto"/>
              <w:left w:val="single" w:sz="4" w:space="0" w:color="auto"/>
              <w:bottom w:val="single" w:sz="4" w:space="0" w:color="auto"/>
              <w:right w:val="single" w:sz="4" w:space="0" w:color="auto"/>
            </w:tcBorders>
            <w:hideMark/>
          </w:tcPr>
          <w:p w14:paraId="7DFDEC11" w14:textId="6B2B04E4" w:rsidR="006325C2" w:rsidRPr="00A82F71" w:rsidRDefault="00325D0F">
            <w:pPr>
              <w:jc w:val="right"/>
              <w:rPr>
                <w:rFonts w:ascii="Arial" w:hAnsi="Arial" w:cs="Arial"/>
                <w:sz w:val="22"/>
                <w:szCs w:val="22"/>
                <w:highlight w:val="yellow"/>
              </w:rPr>
            </w:pPr>
            <w:r w:rsidRPr="00325D0F">
              <w:rPr>
                <w:rFonts w:ascii="Arial" w:hAnsi="Arial" w:cs="Arial"/>
                <w:sz w:val="22"/>
                <w:szCs w:val="22"/>
              </w:rPr>
              <w:t>42 375 166</w:t>
            </w:r>
          </w:p>
        </w:tc>
      </w:tr>
      <w:tr w:rsidR="006325C2" w:rsidRPr="00A82F71" w14:paraId="23D7F62C"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361243C3" w14:textId="77777777" w:rsidR="006325C2" w:rsidRPr="00325D0F" w:rsidRDefault="006325C2">
            <w:pPr>
              <w:jc w:val="both"/>
              <w:rPr>
                <w:rFonts w:ascii="Arial" w:hAnsi="Arial" w:cs="Arial"/>
                <w:b/>
                <w:sz w:val="22"/>
                <w:szCs w:val="22"/>
              </w:rPr>
            </w:pPr>
            <w:r w:rsidRPr="00325D0F">
              <w:rPr>
                <w:rFonts w:ascii="Arial" w:hAnsi="Arial" w:cs="Arial"/>
                <w:sz w:val="22"/>
                <w:szCs w:val="22"/>
              </w:rPr>
              <w:t>Dologi kiadások</w:t>
            </w:r>
          </w:p>
        </w:tc>
        <w:tc>
          <w:tcPr>
            <w:tcW w:w="3118" w:type="dxa"/>
            <w:tcBorders>
              <w:top w:val="single" w:sz="4" w:space="0" w:color="auto"/>
              <w:left w:val="single" w:sz="4" w:space="0" w:color="auto"/>
              <w:bottom w:val="single" w:sz="4" w:space="0" w:color="auto"/>
              <w:right w:val="single" w:sz="4" w:space="0" w:color="auto"/>
            </w:tcBorders>
            <w:hideMark/>
          </w:tcPr>
          <w:p w14:paraId="75BE628F" w14:textId="40D3B622" w:rsidR="006325C2" w:rsidRPr="00A82F71" w:rsidRDefault="001252F3">
            <w:pPr>
              <w:jc w:val="right"/>
              <w:rPr>
                <w:rFonts w:ascii="Arial" w:hAnsi="Arial" w:cs="Arial"/>
                <w:sz w:val="22"/>
                <w:szCs w:val="22"/>
                <w:highlight w:val="yellow"/>
              </w:rPr>
            </w:pPr>
            <w:r>
              <w:rPr>
                <w:rFonts w:ascii="Arial" w:hAnsi="Arial" w:cs="Arial"/>
                <w:sz w:val="22"/>
                <w:szCs w:val="22"/>
              </w:rPr>
              <w:t>246 855 681</w:t>
            </w:r>
          </w:p>
        </w:tc>
      </w:tr>
      <w:tr w:rsidR="006325C2" w:rsidRPr="00A82F71" w14:paraId="32A41597"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2F0BB0F4" w14:textId="77777777" w:rsidR="006325C2" w:rsidRPr="00325D0F" w:rsidRDefault="006325C2">
            <w:pPr>
              <w:jc w:val="both"/>
              <w:rPr>
                <w:rFonts w:ascii="Arial" w:hAnsi="Arial" w:cs="Arial"/>
                <w:b/>
                <w:sz w:val="22"/>
                <w:szCs w:val="22"/>
              </w:rPr>
            </w:pPr>
            <w:r w:rsidRPr="00325D0F">
              <w:rPr>
                <w:rFonts w:ascii="Arial" w:hAnsi="Arial" w:cs="Arial"/>
                <w:sz w:val="22"/>
                <w:szCs w:val="22"/>
              </w:rPr>
              <w:t>Ellátottak pénzbeli juttatásai</w:t>
            </w:r>
          </w:p>
        </w:tc>
        <w:tc>
          <w:tcPr>
            <w:tcW w:w="3118" w:type="dxa"/>
            <w:tcBorders>
              <w:top w:val="single" w:sz="4" w:space="0" w:color="auto"/>
              <w:left w:val="single" w:sz="4" w:space="0" w:color="auto"/>
              <w:bottom w:val="single" w:sz="4" w:space="0" w:color="auto"/>
              <w:right w:val="single" w:sz="4" w:space="0" w:color="auto"/>
            </w:tcBorders>
            <w:hideMark/>
          </w:tcPr>
          <w:p w14:paraId="6E90589B" w14:textId="5597CD58" w:rsidR="006325C2" w:rsidRPr="00A82F71" w:rsidRDefault="00325D0F">
            <w:pPr>
              <w:jc w:val="right"/>
              <w:rPr>
                <w:rFonts w:ascii="Arial" w:hAnsi="Arial" w:cs="Arial"/>
                <w:sz w:val="22"/>
                <w:szCs w:val="22"/>
                <w:highlight w:val="yellow"/>
              </w:rPr>
            </w:pPr>
            <w:r w:rsidRPr="00325D0F">
              <w:rPr>
                <w:rFonts w:ascii="Arial" w:hAnsi="Arial" w:cs="Arial"/>
                <w:sz w:val="22"/>
                <w:szCs w:val="22"/>
              </w:rPr>
              <w:t>18 020 000</w:t>
            </w:r>
          </w:p>
        </w:tc>
      </w:tr>
      <w:tr w:rsidR="006325C2" w:rsidRPr="00A82F71" w14:paraId="56070BC8"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5BDD0F41" w14:textId="77777777" w:rsidR="006325C2" w:rsidRPr="00325D0F" w:rsidRDefault="006325C2">
            <w:pPr>
              <w:jc w:val="both"/>
              <w:rPr>
                <w:rFonts w:ascii="Arial" w:hAnsi="Arial" w:cs="Arial"/>
                <w:b/>
                <w:sz w:val="22"/>
                <w:szCs w:val="22"/>
              </w:rPr>
            </w:pPr>
            <w:r w:rsidRPr="00325D0F">
              <w:rPr>
                <w:rFonts w:ascii="Arial" w:hAnsi="Arial" w:cs="Arial"/>
                <w:sz w:val="22"/>
                <w:szCs w:val="22"/>
              </w:rPr>
              <w:t>Egyéb működési célú kiadások</w:t>
            </w:r>
          </w:p>
        </w:tc>
        <w:tc>
          <w:tcPr>
            <w:tcW w:w="3118" w:type="dxa"/>
            <w:tcBorders>
              <w:top w:val="single" w:sz="4" w:space="0" w:color="auto"/>
              <w:left w:val="single" w:sz="4" w:space="0" w:color="auto"/>
              <w:bottom w:val="single" w:sz="4" w:space="0" w:color="auto"/>
              <w:right w:val="single" w:sz="4" w:space="0" w:color="auto"/>
            </w:tcBorders>
            <w:hideMark/>
          </w:tcPr>
          <w:p w14:paraId="4A9F22CE" w14:textId="1974F5E7" w:rsidR="006325C2" w:rsidRPr="00A82F71" w:rsidRDefault="001252F3">
            <w:pPr>
              <w:jc w:val="right"/>
              <w:rPr>
                <w:rFonts w:ascii="Arial" w:hAnsi="Arial" w:cs="Arial"/>
                <w:sz w:val="22"/>
                <w:szCs w:val="22"/>
                <w:highlight w:val="yellow"/>
              </w:rPr>
            </w:pPr>
            <w:r>
              <w:rPr>
                <w:rFonts w:ascii="Arial" w:hAnsi="Arial" w:cs="Arial"/>
                <w:sz w:val="22"/>
                <w:szCs w:val="22"/>
              </w:rPr>
              <w:t>1 147 183 818</w:t>
            </w:r>
            <w:r w:rsidR="00325D0F" w:rsidRPr="00325D0F">
              <w:rPr>
                <w:rFonts w:ascii="Arial" w:hAnsi="Arial" w:cs="Arial"/>
                <w:sz w:val="22"/>
                <w:szCs w:val="22"/>
                <w:highlight w:val="yellow"/>
              </w:rPr>
              <w:t xml:space="preserve"> </w:t>
            </w:r>
            <w:r w:rsidR="00902C79" w:rsidRPr="00A82F71">
              <w:rPr>
                <w:rFonts w:ascii="Arial" w:hAnsi="Arial" w:cs="Arial"/>
                <w:sz w:val="22"/>
                <w:szCs w:val="22"/>
                <w:highlight w:val="yellow"/>
              </w:rPr>
              <w:t xml:space="preserve"> </w:t>
            </w:r>
            <w:r w:rsidR="006C513A" w:rsidRPr="00A82F71">
              <w:rPr>
                <w:rFonts w:ascii="Arial" w:hAnsi="Arial" w:cs="Arial"/>
                <w:sz w:val="22"/>
                <w:szCs w:val="22"/>
                <w:highlight w:val="yellow"/>
              </w:rPr>
              <w:t xml:space="preserve"> </w:t>
            </w:r>
          </w:p>
        </w:tc>
      </w:tr>
      <w:tr w:rsidR="006325C2" w:rsidRPr="00A82F71" w14:paraId="5C11EE53"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675BD46A" w14:textId="75C2BD17" w:rsidR="006325C2" w:rsidRPr="00325D0F" w:rsidRDefault="006C513A">
            <w:pPr>
              <w:jc w:val="both"/>
              <w:rPr>
                <w:rFonts w:ascii="Arial" w:hAnsi="Arial" w:cs="Arial"/>
                <w:sz w:val="22"/>
                <w:szCs w:val="22"/>
              </w:rPr>
            </w:pPr>
            <w:r w:rsidRPr="00325D0F">
              <w:rPr>
                <w:rFonts w:ascii="Arial" w:hAnsi="Arial" w:cs="Arial"/>
                <w:sz w:val="22"/>
                <w:szCs w:val="22"/>
              </w:rPr>
              <w:t xml:space="preserve">       Ebből: </w:t>
            </w:r>
            <w:r w:rsidR="006325C2" w:rsidRPr="00325D0F">
              <w:rPr>
                <w:rFonts w:ascii="Arial" w:hAnsi="Arial" w:cs="Arial"/>
                <w:sz w:val="22"/>
                <w:szCs w:val="22"/>
              </w:rPr>
              <w:t>Tartalék</w:t>
            </w:r>
          </w:p>
        </w:tc>
        <w:tc>
          <w:tcPr>
            <w:tcW w:w="3118" w:type="dxa"/>
            <w:tcBorders>
              <w:top w:val="single" w:sz="4" w:space="0" w:color="auto"/>
              <w:left w:val="single" w:sz="4" w:space="0" w:color="auto"/>
              <w:bottom w:val="single" w:sz="4" w:space="0" w:color="auto"/>
              <w:right w:val="single" w:sz="4" w:space="0" w:color="auto"/>
            </w:tcBorders>
            <w:hideMark/>
          </w:tcPr>
          <w:p w14:paraId="48F0E1C4" w14:textId="4BB14FC4" w:rsidR="006325C2" w:rsidRPr="00A82F71" w:rsidRDefault="001252F3">
            <w:pPr>
              <w:jc w:val="right"/>
              <w:rPr>
                <w:rFonts w:ascii="Arial" w:hAnsi="Arial" w:cs="Arial"/>
                <w:sz w:val="22"/>
                <w:szCs w:val="22"/>
                <w:highlight w:val="yellow"/>
              </w:rPr>
            </w:pPr>
            <w:r>
              <w:rPr>
                <w:rFonts w:ascii="Arial" w:hAnsi="Arial" w:cs="Arial"/>
                <w:sz w:val="22"/>
                <w:szCs w:val="22"/>
              </w:rPr>
              <w:t>44 290 380</w:t>
            </w:r>
          </w:p>
        </w:tc>
      </w:tr>
      <w:tr w:rsidR="006325C2" w:rsidRPr="00A82F71" w14:paraId="261C5CEF"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36F0C2FD" w14:textId="77777777" w:rsidR="006325C2" w:rsidRPr="00325D0F" w:rsidRDefault="006325C2">
            <w:pPr>
              <w:jc w:val="both"/>
              <w:rPr>
                <w:rFonts w:ascii="Arial" w:hAnsi="Arial" w:cs="Arial"/>
                <w:b/>
                <w:sz w:val="22"/>
                <w:szCs w:val="22"/>
              </w:rPr>
            </w:pPr>
            <w:r w:rsidRPr="00325D0F">
              <w:rPr>
                <w:rFonts w:ascii="Arial" w:hAnsi="Arial" w:cs="Arial"/>
                <w:sz w:val="22"/>
                <w:szCs w:val="22"/>
              </w:rPr>
              <w:t>Beruházások</w:t>
            </w:r>
          </w:p>
        </w:tc>
        <w:tc>
          <w:tcPr>
            <w:tcW w:w="3118" w:type="dxa"/>
            <w:tcBorders>
              <w:top w:val="single" w:sz="4" w:space="0" w:color="auto"/>
              <w:left w:val="single" w:sz="4" w:space="0" w:color="auto"/>
              <w:bottom w:val="single" w:sz="4" w:space="0" w:color="auto"/>
              <w:right w:val="single" w:sz="4" w:space="0" w:color="auto"/>
            </w:tcBorders>
            <w:hideMark/>
          </w:tcPr>
          <w:p w14:paraId="4D753FC6" w14:textId="0F91EA96" w:rsidR="006325C2" w:rsidRPr="00A82F71" w:rsidRDefault="00325D0F">
            <w:pPr>
              <w:jc w:val="right"/>
              <w:rPr>
                <w:rFonts w:ascii="Arial" w:hAnsi="Arial" w:cs="Arial"/>
                <w:sz w:val="22"/>
                <w:szCs w:val="22"/>
                <w:highlight w:val="yellow"/>
              </w:rPr>
            </w:pPr>
            <w:r w:rsidRPr="00325D0F">
              <w:rPr>
                <w:rFonts w:ascii="Arial" w:hAnsi="Arial" w:cs="Arial"/>
                <w:sz w:val="22"/>
                <w:szCs w:val="22"/>
              </w:rPr>
              <w:t>938 400 512</w:t>
            </w:r>
          </w:p>
        </w:tc>
      </w:tr>
      <w:tr w:rsidR="006325C2" w:rsidRPr="00A82F71" w14:paraId="53DAAF69"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2925F3AC" w14:textId="77777777" w:rsidR="006325C2" w:rsidRPr="00325D0F" w:rsidRDefault="006325C2">
            <w:pPr>
              <w:jc w:val="both"/>
              <w:rPr>
                <w:rFonts w:ascii="Arial" w:hAnsi="Arial" w:cs="Arial"/>
                <w:b/>
                <w:sz w:val="22"/>
                <w:szCs w:val="22"/>
              </w:rPr>
            </w:pPr>
            <w:r w:rsidRPr="00325D0F">
              <w:rPr>
                <w:rFonts w:ascii="Arial" w:hAnsi="Arial" w:cs="Arial"/>
                <w:sz w:val="22"/>
                <w:szCs w:val="22"/>
              </w:rPr>
              <w:t>Felújítások</w:t>
            </w:r>
          </w:p>
        </w:tc>
        <w:tc>
          <w:tcPr>
            <w:tcW w:w="3118" w:type="dxa"/>
            <w:tcBorders>
              <w:top w:val="single" w:sz="4" w:space="0" w:color="auto"/>
              <w:left w:val="single" w:sz="4" w:space="0" w:color="auto"/>
              <w:bottom w:val="single" w:sz="4" w:space="0" w:color="auto"/>
              <w:right w:val="single" w:sz="4" w:space="0" w:color="auto"/>
            </w:tcBorders>
            <w:hideMark/>
          </w:tcPr>
          <w:p w14:paraId="3001E5D3" w14:textId="5FE3F2B8" w:rsidR="006325C2" w:rsidRPr="00A82F71" w:rsidRDefault="001252F3">
            <w:pPr>
              <w:jc w:val="right"/>
              <w:rPr>
                <w:rFonts w:ascii="Arial" w:hAnsi="Arial" w:cs="Arial"/>
                <w:sz w:val="22"/>
                <w:szCs w:val="22"/>
                <w:highlight w:val="yellow"/>
              </w:rPr>
            </w:pPr>
            <w:r>
              <w:rPr>
                <w:rFonts w:ascii="Arial" w:hAnsi="Arial" w:cs="Arial"/>
                <w:sz w:val="22"/>
                <w:szCs w:val="22"/>
              </w:rPr>
              <w:t>24 353 693</w:t>
            </w:r>
          </w:p>
        </w:tc>
      </w:tr>
      <w:tr w:rsidR="006325C2" w:rsidRPr="00A82F71" w14:paraId="6D43BB14"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07882E3B" w14:textId="77777777" w:rsidR="006325C2" w:rsidRPr="00325D0F" w:rsidRDefault="006325C2">
            <w:pPr>
              <w:jc w:val="both"/>
              <w:rPr>
                <w:rFonts w:ascii="Arial" w:hAnsi="Arial" w:cs="Arial"/>
                <w:b/>
                <w:sz w:val="22"/>
                <w:szCs w:val="22"/>
              </w:rPr>
            </w:pPr>
            <w:r w:rsidRPr="00325D0F">
              <w:rPr>
                <w:rFonts w:ascii="Arial" w:hAnsi="Arial" w:cs="Arial"/>
                <w:sz w:val="22"/>
                <w:szCs w:val="22"/>
              </w:rPr>
              <w:t>Egyéb felhalmozási kiadások</w:t>
            </w:r>
          </w:p>
        </w:tc>
        <w:tc>
          <w:tcPr>
            <w:tcW w:w="3118" w:type="dxa"/>
            <w:tcBorders>
              <w:top w:val="single" w:sz="4" w:space="0" w:color="auto"/>
              <w:left w:val="single" w:sz="4" w:space="0" w:color="auto"/>
              <w:bottom w:val="single" w:sz="4" w:space="0" w:color="auto"/>
              <w:right w:val="single" w:sz="4" w:space="0" w:color="auto"/>
            </w:tcBorders>
            <w:hideMark/>
          </w:tcPr>
          <w:p w14:paraId="0E62542B" w14:textId="2510C0D3" w:rsidR="006325C2" w:rsidRPr="00A82F71" w:rsidRDefault="00325D0F">
            <w:pPr>
              <w:jc w:val="right"/>
              <w:rPr>
                <w:rFonts w:ascii="Arial" w:hAnsi="Arial" w:cs="Arial"/>
                <w:sz w:val="22"/>
                <w:szCs w:val="22"/>
                <w:highlight w:val="yellow"/>
              </w:rPr>
            </w:pPr>
            <w:r w:rsidRPr="00325D0F">
              <w:rPr>
                <w:rFonts w:ascii="Arial" w:hAnsi="Arial" w:cs="Arial"/>
                <w:sz w:val="22"/>
                <w:szCs w:val="22"/>
              </w:rPr>
              <w:t>3 707 000</w:t>
            </w:r>
          </w:p>
        </w:tc>
      </w:tr>
      <w:tr w:rsidR="006325C2" w:rsidRPr="00A82F71" w14:paraId="77C7017E"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5A6CD6B7" w14:textId="77777777" w:rsidR="006325C2" w:rsidRPr="00325D0F" w:rsidRDefault="006325C2">
            <w:pPr>
              <w:jc w:val="both"/>
              <w:rPr>
                <w:rFonts w:ascii="Arial" w:hAnsi="Arial" w:cs="Arial"/>
                <w:b/>
                <w:sz w:val="22"/>
                <w:szCs w:val="22"/>
              </w:rPr>
            </w:pPr>
            <w:r w:rsidRPr="00325D0F">
              <w:rPr>
                <w:rFonts w:ascii="Arial" w:hAnsi="Arial" w:cs="Arial"/>
                <w:b/>
                <w:sz w:val="22"/>
                <w:szCs w:val="22"/>
              </w:rPr>
              <w:t>Költségvetési kiadások összesen:</w:t>
            </w:r>
          </w:p>
        </w:tc>
        <w:tc>
          <w:tcPr>
            <w:tcW w:w="3118" w:type="dxa"/>
            <w:tcBorders>
              <w:top w:val="single" w:sz="4" w:space="0" w:color="auto"/>
              <w:left w:val="single" w:sz="4" w:space="0" w:color="auto"/>
              <w:bottom w:val="single" w:sz="4" w:space="0" w:color="auto"/>
              <w:right w:val="single" w:sz="4" w:space="0" w:color="auto"/>
            </w:tcBorders>
            <w:hideMark/>
          </w:tcPr>
          <w:p w14:paraId="1C760C6A" w14:textId="4E44FD37" w:rsidR="006325C2" w:rsidRPr="00A82F71" w:rsidRDefault="001252F3">
            <w:pPr>
              <w:jc w:val="right"/>
              <w:rPr>
                <w:rFonts w:ascii="Arial" w:hAnsi="Arial" w:cs="Arial"/>
                <w:b/>
                <w:sz w:val="22"/>
                <w:szCs w:val="22"/>
                <w:highlight w:val="yellow"/>
              </w:rPr>
            </w:pPr>
            <w:r>
              <w:rPr>
                <w:rFonts w:ascii="Arial" w:hAnsi="Arial" w:cs="Arial"/>
                <w:b/>
                <w:sz w:val="22"/>
                <w:szCs w:val="22"/>
              </w:rPr>
              <w:t>2 743 677 701</w:t>
            </w:r>
          </w:p>
        </w:tc>
      </w:tr>
      <w:tr w:rsidR="006325C2" w:rsidRPr="00A82F71" w14:paraId="07888F5E"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28912773" w14:textId="77777777" w:rsidR="006325C2" w:rsidRPr="00325D0F" w:rsidRDefault="006325C2">
            <w:pPr>
              <w:rPr>
                <w:rFonts w:ascii="Arial" w:hAnsi="Arial" w:cs="Arial"/>
                <w:sz w:val="22"/>
                <w:szCs w:val="22"/>
              </w:rPr>
            </w:pPr>
            <w:r w:rsidRPr="00325D0F">
              <w:rPr>
                <w:rFonts w:ascii="Arial" w:hAnsi="Arial" w:cs="Arial"/>
                <w:sz w:val="22"/>
                <w:szCs w:val="22"/>
              </w:rPr>
              <w:t xml:space="preserve">Belföldi finanszírozás kiadásai </w:t>
            </w:r>
          </w:p>
        </w:tc>
        <w:tc>
          <w:tcPr>
            <w:tcW w:w="3118" w:type="dxa"/>
            <w:tcBorders>
              <w:top w:val="single" w:sz="4" w:space="0" w:color="auto"/>
              <w:left w:val="single" w:sz="4" w:space="0" w:color="auto"/>
              <w:bottom w:val="single" w:sz="4" w:space="0" w:color="auto"/>
              <w:right w:val="single" w:sz="4" w:space="0" w:color="auto"/>
            </w:tcBorders>
            <w:hideMark/>
          </w:tcPr>
          <w:p w14:paraId="63A3372C" w14:textId="6EAB518B" w:rsidR="006325C2" w:rsidRPr="00A82F71" w:rsidRDefault="00325D0F">
            <w:pPr>
              <w:jc w:val="right"/>
              <w:rPr>
                <w:rFonts w:ascii="Arial" w:hAnsi="Arial" w:cs="Arial"/>
                <w:sz w:val="22"/>
                <w:szCs w:val="22"/>
                <w:highlight w:val="yellow"/>
              </w:rPr>
            </w:pPr>
            <w:r w:rsidRPr="00325D0F">
              <w:rPr>
                <w:rFonts w:ascii="Arial" w:hAnsi="Arial" w:cs="Arial"/>
                <w:sz w:val="22"/>
                <w:szCs w:val="22"/>
              </w:rPr>
              <w:t>31 088 602</w:t>
            </w:r>
          </w:p>
        </w:tc>
      </w:tr>
      <w:tr w:rsidR="006325C2" w:rsidRPr="00A82F71" w14:paraId="1731A133"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1CF0D0B5" w14:textId="77777777" w:rsidR="006325C2" w:rsidRPr="00325D0F" w:rsidRDefault="006325C2">
            <w:pPr>
              <w:jc w:val="both"/>
              <w:rPr>
                <w:rFonts w:ascii="Arial" w:hAnsi="Arial" w:cs="Arial"/>
                <w:b/>
                <w:sz w:val="22"/>
                <w:szCs w:val="22"/>
              </w:rPr>
            </w:pPr>
            <w:r w:rsidRPr="00325D0F">
              <w:rPr>
                <w:rFonts w:ascii="Arial" w:hAnsi="Arial" w:cs="Arial"/>
                <w:b/>
                <w:sz w:val="22"/>
                <w:szCs w:val="22"/>
              </w:rPr>
              <w:t>Finanszírozás kiadások összesen:</w:t>
            </w:r>
          </w:p>
        </w:tc>
        <w:tc>
          <w:tcPr>
            <w:tcW w:w="3118" w:type="dxa"/>
            <w:tcBorders>
              <w:top w:val="single" w:sz="4" w:space="0" w:color="auto"/>
              <w:left w:val="single" w:sz="4" w:space="0" w:color="auto"/>
              <w:bottom w:val="single" w:sz="4" w:space="0" w:color="auto"/>
              <w:right w:val="single" w:sz="4" w:space="0" w:color="auto"/>
            </w:tcBorders>
            <w:hideMark/>
          </w:tcPr>
          <w:p w14:paraId="5D837523" w14:textId="02351559" w:rsidR="006325C2" w:rsidRPr="00A82F71" w:rsidRDefault="00325D0F">
            <w:pPr>
              <w:jc w:val="right"/>
              <w:rPr>
                <w:rFonts w:ascii="Arial" w:eastAsia="Calibri" w:hAnsi="Arial" w:cs="Arial"/>
                <w:b/>
                <w:sz w:val="22"/>
                <w:szCs w:val="22"/>
                <w:highlight w:val="yellow"/>
                <w:lang w:eastAsia="en-US"/>
              </w:rPr>
            </w:pPr>
            <w:r w:rsidRPr="00325D0F">
              <w:rPr>
                <w:rFonts w:ascii="Arial" w:eastAsia="Calibri" w:hAnsi="Arial" w:cs="Arial"/>
                <w:b/>
                <w:sz w:val="22"/>
                <w:szCs w:val="22"/>
                <w:lang w:eastAsia="en-US"/>
              </w:rPr>
              <w:t>31 088 602</w:t>
            </w:r>
          </w:p>
        </w:tc>
      </w:tr>
      <w:tr w:rsidR="006325C2" w:rsidRPr="00A82F71" w14:paraId="128E200F" w14:textId="77777777" w:rsidTr="006325C2">
        <w:tc>
          <w:tcPr>
            <w:tcW w:w="4928" w:type="dxa"/>
            <w:tcBorders>
              <w:top w:val="single" w:sz="4" w:space="0" w:color="auto"/>
              <w:left w:val="single" w:sz="4" w:space="0" w:color="auto"/>
              <w:bottom w:val="single" w:sz="4" w:space="0" w:color="auto"/>
              <w:right w:val="single" w:sz="4" w:space="0" w:color="auto"/>
            </w:tcBorders>
            <w:hideMark/>
          </w:tcPr>
          <w:p w14:paraId="6601E111" w14:textId="77777777" w:rsidR="006325C2" w:rsidRPr="00325D0F" w:rsidRDefault="006325C2">
            <w:pPr>
              <w:jc w:val="both"/>
              <w:rPr>
                <w:rFonts w:ascii="Arial" w:hAnsi="Arial" w:cs="Arial"/>
                <w:b/>
                <w:sz w:val="22"/>
                <w:szCs w:val="22"/>
              </w:rPr>
            </w:pPr>
            <w:r w:rsidRPr="00325D0F">
              <w:rPr>
                <w:rFonts w:ascii="Arial" w:hAnsi="Arial" w:cs="Arial"/>
                <w:b/>
                <w:sz w:val="22"/>
                <w:szCs w:val="22"/>
              </w:rPr>
              <w:t>KIADÁSOK ÖSSZESEN:</w:t>
            </w:r>
          </w:p>
        </w:tc>
        <w:tc>
          <w:tcPr>
            <w:tcW w:w="3118" w:type="dxa"/>
            <w:tcBorders>
              <w:top w:val="single" w:sz="4" w:space="0" w:color="auto"/>
              <w:left w:val="single" w:sz="4" w:space="0" w:color="auto"/>
              <w:bottom w:val="single" w:sz="4" w:space="0" w:color="auto"/>
              <w:right w:val="single" w:sz="4" w:space="0" w:color="auto"/>
            </w:tcBorders>
            <w:hideMark/>
          </w:tcPr>
          <w:p w14:paraId="71242436" w14:textId="3F3847AF" w:rsidR="006325C2" w:rsidRPr="00A82F71" w:rsidRDefault="001252F3">
            <w:pPr>
              <w:jc w:val="right"/>
              <w:rPr>
                <w:rFonts w:ascii="Arial" w:hAnsi="Arial" w:cs="Arial"/>
                <w:b/>
                <w:sz w:val="22"/>
                <w:szCs w:val="22"/>
                <w:highlight w:val="yellow"/>
              </w:rPr>
            </w:pPr>
            <w:r>
              <w:rPr>
                <w:rFonts w:ascii="Arial" w:hAnsi="Arial" w:cs="Arial"/>
                <w:b/>
                <w:sz w:val="22"/>
                <w:szCs w:val="22"/>
              </w:rPr>
              <w:t>2 774 766 303</w:t>
            </w:r>
          </w:p>
        </w:tc>
      </w:tr>
    </w:tbl>
    <w:p w14:paraId="71709D6A" w14:textId="77777777" w:rsidR="006325C2" w:rsidRPr="00A82F71" w:rsidRDefault="006325C2" w:rsidP="006325C2">
      <w:pPr>
        <w:spacing w:before="120"/>
        <w:jc w:val="both"/>
        <w:rPr>
          <w:rFonts w:ascii="Arial" w:hAnsi="Arial" w:cs="Arial"/>
          <w:b/>
          <w:sz w:val="22"/>
          <w:szCs w:val="22"/>
          <w:highlight w:val="yellow"/>
          <w:u w:val="single"/>
        </w:rPr>
      </w:pPr>
    </w:p>
    <w:p w14:paraId="0853CDAB" w14:textId="77777777" w:rsidR="006325C2" w:rsidRPr="00A82F71" w:rsidRDefault="006325C2" w:rsidP="006F433B">
      <w:pPr>
        <w:rPr>
          <w:rFonts w:ascii="Arial" w:hAnsi="Arial" w:cs="Arial"/>
          <w:sz w:val="22"/>
          <w:szCs w:val="22"/>
          <w:highlight w:val="yellow"/>
        </w:rPr>
      </w:pPr>
    </w:p>
    <w:p w14:paraId="1205CACD" w14:textId="77777777" w:rsidR="006325C2" w:rsidRPr="00A82F71" w:rsidRDefault="006325C2" w:rsidP="006325C2">
      <w:pPr>
        <w:jc w:val="both"/>
        <w:rPr>
          <w:rFonts w:ascii="Arial" w:hAnsi="Arial" w:cs="Arial"/>
          <w:sz w:val="22"/>
          <w:szCs w:val="22"/>
          <w:highlight w:val="yellow"/>
        </w:rPr>
      </w:pPr>
    </w:p>
    <w:p w14:paraId="0341DE5D" w14:textId="77777777" w:rsidR="006325C2" w:rsidRPr="00A82F71" w:rsidRDefault="006325C2" w:rsidP="006325C2">
      <w:pPr>
        <w:jc w:val="both"/>
        <w:rPr>
          <w:rFonts w:ascii="Arial" w:hAnsi="Arial" w:cs="Arial"/>
          <w:sz w:val="22"/>
          <w:szCs w:val="22"/>
          <w:highlight w:val="yellow"/>
        </w:rPr>
      </w:pPr>
    </w:p>
    <w:p w14:paraId="10FC38A1" w14:textId="77777777" w:rsidR="006325C2" w:rsidRPr="00A82F71" w:rsidRDefault="006325C2" w:rsidP="006325C2">
      <w:pPr>
        <w:jc w:val="both"/>
        <w:rPr>
          <w:rFonts w:ascii="Arial" w:hAnsi="Arial" w:cs="Arial"/>
          <w:sz w:val="22"/>
          <w:szCs w:val="22"/>
          <w:highlight w:val="yellow"/>
        </w:rPr>
      </w:pPr>
    </w:p>
    <w:p w14:paraId="78125DA8" w14:textId="33D33109" w:rsidR="00EC5BD3" w:rsidRPr="00A82F71" w:rsidRDefault="00EC5BD3" w:rsidP="006325C2">
      <w:pPr>
        <w:jc w:val="both"/>
        <w:rPr>
          <w:rFonts w:ascii="Arial" w:hAnsi="Arial" w:cs="Arial"/>
          <w:sz w:val="22"/>
          <w:szCs w:val="22"/>
          <w:highlight w:val="yellow"/>
        </w:rPr>
      </w:pPr>
    </w:p>
    <w:p w14:paraId="58A54557" w14:textId="5761F20C" w:rsidR="00EC5BD3" w:rsidRPr="00A82F71" w:rsidRDefault="00EC5BD3" w:rsidP="006325C2">
      <w:pPr>
        <w:jc w:val="both"/>
        <w:rPr>
          <w:rFonts w:ascii="Arial" w:hAnsi="Arial" w:cs="Arial"/>
          <w:sz w:val="22"/>
          <w:szCs w:val="22"/>
          <w:highlight w:val="yellow"/>
        </w:rPr>
      </w:pPr>
    </w:p>
    <w:p w14:paraId="638F8F39" w14:textId="157667E2" w:rsidR="00EC5BD3" w:rsidRPr="00A82F71" w:rsidRDefault="00EC5BD3" w:rsidP="006325C2">
      <w:pPr>
        <w:jc w:val="both"/>
        <w:rPr>
          <w:rFonts w:ascii="Arial" w:hAnsi="Arial" w:cs="Arial"/>
          <w:sz w:val="22"/>
          <w:szCs w:val="22"/>
          <w:highlight w:val="yellow"/>
        </w:rPr>
      </w:pPr>
    </w:p>
    <w:p w14:paraId="7A7C0B56" w14:textId="03CBD1F7" w:rsidR="00EC5BD3" w:rsidRPr="00A82F71" w:rsidRDefault="00EC5BD3" w:rsidP="006325C2">
      <w:pPr>
        <w:jc w:val="both"/>
        <w:rPr>
          <w:rFonts w:ascii="Arial" w:hAnsi="Arial" w:cs="Arial"/>
          <w:sz w:val="22"/>
          <w:szCs w:val="22"/>
          <w:highlight w:val="yellow"/>
        </w:rPr>
      </w:pPr>
    </w:p>
    <w:p w14:paraId="3D429D9D" w14:textId="3FA5624F" w:rsidR="00EC5BD3" w:rsidRPr="00A82F71" w:rsidRDefault="00EC5BD3" w:rsidP="006325C2">
      <w:pPr>
        <w:jc w:val="both"/>
        <w:rPr>
          <w:rFonts w:ascii="Arial" w:hAnsi="Arial" w:cs="Arial"/>
          <w:sz w:val="22"/>
          <w:szCs w:val="22"/>
          <w:highlight w:val="yellow"/>
        </w:rPr>
      </w:pPr>
    </w:p>
    <w:p w14:paraId="46B9351C" w14:textId="4A3746CB" w:rsidR="00EC5BD3" w:rsidRPr="00A82F71" w:rsidRDefault="00EC5BD3" w:rsidP="006325C2">
      <w:pPr>
        <w:jc w:val="both"/>
        <w:rPr>
          <w:rFonts w:ascii="Arial" w:hAnsi="Arial" w:cs="Arial"/>
          <w:sz w:val="22"/>
          <w:szCs w:val="22"/>
          <w:highlight w:val="yellow"/>
        </w:rPr>
      </w:pPr>
    </w:p>
    <w:p w14:paraId="45A3A87F" w14:textId="3283E64E" w:rsidR="00EC5BD3" w:rsidRPr="00A82F71" w:rsidRDefault="00EC5BD3" w:rsidP="006325C2">
      <w:pPr>
        <w:jc w:val="both"/>
        <w:rPr>
          <w:rFonts w:ascii="Arial" w:hAnsi="Arial" w:cs="Arial"/>
          <w:sz w:val="22"/>
          <w:szCs w:val="22"/>
          <w:highlight w:val="yellow"/>
        </w:rPr>
      </w:pPr>
    </w:p>
    <w:p w14:paraId="092713D5" w14:textId="3B308F85" w:rsidR="00EC5BD3" w:rsidRPr="00A82F71" w:rsidRDefault="00EC5BD3" w:rsidP="006325C2">
      <w:pPr>
        <w:jc w:val="both"/>
        <w:rPr>
          <w:rFonts w:ascii="Arial" w:hAnsi="Arial" w:cs="Arial"/>
          <w:sz w:val="22"/>
          <w:szCs w:val="22"/>
          <w:highlight w:val="yellow"/>
        </w:rPr>
      </w:pPr>
    </w:p>
    <w:p w14:paraId="50FEC38C" w14:textId="58A0B0B8" w:rsidR="00EC5BD3" w:rsidRPr="00A82F71" w:rsidRDefault="00EC5BD3" w:rsidP="006325C2">
      <w:pPr>
        <w:jc w:val="both"/>
        <w:rPr>
          <w:rFonts w:ascii="Arial" w:hAnsi="Arial" w:cs="Arial"/>
          <w:sz w:val="22"/>
          <w:szCs w:val="22"/>
          <w:highlight w:val="yellow"/>
        </w:rPr>
      </w:pPr>
    </w:p>
    <w:p w14:paraId="27A85B09" w14:textId="00B93A18" w:rsidR="00EC5BD3" w:rsidRPr="00A82F71" w:rsidRDefault="00EC5BD3" w:rsidP="006325C2">
      <w:pPr>
        <w:jc w:val="both"/>
        <w:rPr>
          <w:rFonts w:ascii="Arial" w:hAnsi="Arial" w:cs="Arial"/>
          <w:sz w:val="22"/>
          <w:szCs w:val="22"/>
          <w:highlight w:val="yellow"/>
        </w:rPr>
      </w:pPr>
    </w:p>
    <w:p w14:paraId="45CFCAF4" w14:textId="527B4D7E" w:rsidR="00EC5BD3" w:rsidRPr="00A82F71" w:rsidRDefault="00EC5BD3" w:rsidP="006325C2">
      <w:pPr>
        <w:jc w:val="both"/>
        <w:rPr>
          <w:rFonts w:ascii="Arial" w:hAnsi="Arial" w:cs="Arial"/>
          <w:sz w:val="22"/>
          <w:szCs w:val="22"/>
          <w:highlight w:val="yellow"/>
        </w:rPr>
      </w:pPr>
    </w:p>
    <w:p w14:paraId="3D6FFAE0" w14:textId="77777777" w:rsidR="00EC5BD3" w:rsidRPr="00A82F71" w:rsidRDefault="00EC5BD3" w:rsidP="006325C2">
      <w:pPr>
        <w:jc w:val="both"/>
        <w:rPr>
          <w:rFonts w:ascii="Arial" w:hAnsi="Arial" w:cs="Arial"/>
          <w:sz w:val="22"/>
          <w:szCs w:val="22"/>
          <w:highlight w:val="yellow"/>
        </w:rPr>
      </w:pPr>
    </w:p>
    <w:p w14:paraId="37153DBA" w14:textId="510CD977" w:rsidR="006325C2" w:rsidRPr="00782463" w:rsidRDefault="00EC5BD3" w:rsidP="006325C2">
      <w:pPr>
        <w:jc w:val="both"/>
        <w:rPr>
          <w:rFonts w:ascii="Arial" w:hAnsi="Arial" w:cs="Arial"/>
          <w:sz w:val="22"/>
          <w:szCs w:val="22"/>
        </w:rPr>
      </w:pPr>
      <w:r w:rsidRPr="00782463">
        <w:rPr>
          <w:rFonts w:ascii="Arial" w:hAnsi="Arial" w:cs="Arial"/>
          <w:sz w:val="22"/>
          <w:szCs w:val="22"/>
        </w:rPr>
        <w:t xml:space="preserve">A </w:t>
      </w:r>
      <w:r w:rsidR="000943F3" w:rsidRPr="00782463">
        <w:rPr>
          <w:rFonts w:ascii="Arial" w:hAnsi="Arial" w:cs="Arial"/>
          <w:sz w:val="22"/>
          <w:szCs w:val="22"/>
        </w:rPr>
        <w:t>202</w:t>
      </w:r>
      <w:r w:rsidR="00782463" w:rsidRPr="00782463">
        <w:rPr>
          <w:rFonts w:ascii="Arial" w:hAnsi="Arial" w:cs="Arial"/>
          <w:sz w:val="22"/>
          <w:szCs w:val="22"/>
        </w:rPr>
        <w:t>5</w:t>
      </w:r>
      <w:r w:rsidR="006325C2" w:rsidRPr="00782463">
        <w:rPr>
          <w:rFonts w:ascii="Arial" w:hAnsi="Arial" w:cs="Arial"/>
          <w:sz w:val="22"/>
          <w:szCs w:val="22"/>
        </w:rPr>
        <w:t xml:space="preserve">. évi költségvetési kiadások tervezett előirányzata </w:t>
      </w:r>
      <w:r w:rsidR="00F035F4" w:rsidRPr="00782463">
        <w:rPr>
          <w:rFonts w:ascii="Arial" w:hAnsi="Arial" w:cs="Arial"/>
          <w:sz w:val="22"/>
          <w:szCs w:val="22"/>
        </w:rPr>
        <w:t>2</w:t>
      </w:r>
      <w:r w:rsidR="00C711FD">
        <w:rPr>
          <w:rFonts w:ascii="Arial" w:hAnsi="Arial" w:cs="Arial"/>
          <w:sz w:val="22"/>
          <w:szCs w:val="22"/>
        </w:rPr>
        <w:t> 743 677 701</w:t>
      </w:r>
      <w:r w:rsidR="006325C2" w:rsidRPr="00782463">
        <w:rPr>
          <w:rFonts w:ascii="Arial" w:hAnsi="Arial" w:cs="Arial"/>
          <w:sz w:val="22"/>
          <w:szCs w:val="22"/>
        </w:rPr>
        <w:t xml:space="preserve"> Ft</w:t>
      </w:r>
      <w:r w:rsidR="006325C2" w:rsidRPr="00782463">
        <w:rPr>
          <w:rFonts w:ascii="Arial" w:hAnsi="Arial" w:cs="Arial"/>
          <w:b/>
          <w:sz w:val="22"/>
          <w:szCs w:val="22"/>
        </w:rPr>
        <w:t>,</w:t>
      </w:r>
      <w:r w:rsidR="000943F3" w:rsidRPr="00782463">
        <w:rPr>
          <w:rFonts w:ascii="Arial" w:hAnsi="Arial" w:cs="Arial"/>
          <w:sz w:val="22"/>
          <w:szCs w:val="22"/>
        </w:rPr>
        <w:t xml:space="preserve"> a finanszírozási kiadások előirányzata </w:t>
      </w:r>
      <w:r w:rsidR="00782463" w:rsidRPr="00782463">
        <w:rPr>
          <w:rFonts w:ascii="Arial" w:hAnsi="Arial" w:cs="Arial"/>
          <w:sz w:val="22"/>
          <w:szCs w:val="22"/>
        </w:rPr>
        <w:t>31 088 602</w:t>
      </w:r>
      <w:r w:rsidR="000943F3" w:rsidRPr="00782463">
        <w:rPr>
          <w:rFonts w:ascii="Arial" w:hAnsi="Arial" w:cs="Arial"/>
          <w:sz w:val="22"/>
          <w:szCs w:val="22"/>
        </w:rPr>
        <w:t xml:space="preserve"> Ft</w:t>
      </w:r>
      <w:r w:rsidR="000943F3" w:rsidRPr="00782463">
        <w:rPr>
          <w:rFonts w:ascii="Arial" w:hAnsi="Arial" w:cs="Arial"/>
          <w:b/>
          <w:sz w:val="22"/>
          <w:szCs w:val="22"/>
        </w:rPr>
        <w:t>, a kiadási fő összeg</w:t>
      </w:r>
      <w:r w:rsidR="000943F3" w:rsidRPr="00782463">
        <w:rPr>
          <w:rFonts w:ascii="Arial" w:hAnsi="Arial" w:cs="Arial"/>
          <w:sz w:val="22"/>
          <w:szCs w:val="22"/>
        </w:rPr>
        <w:t xml:space="preserve"> </w:t>
      </w:r>
      <w:r w:rsidR="00F035F4" w:rsidRPr="00782463">
        <w:rPr>
          <w:rFonts w:ascii="Arial" w:hAnsi="Arial" w:cs="Arial"/>
          <w:b/>
          <w:sz w:val="22"/>
          <w:szCs w:val="22"/>
        </w:rPr>
        <w:t>2</w:t>
      </w:r>
      <w:r w:rsidR="00C711FD">
        <w:rPr>
          <w:rFonts w:ascii="Arial" w:hAnsi="Arial" w:cs="Arial"/>
          <w:b/>
          <w:sz w:val="22"/>
          <w:szCs w:val="22"/>
        </w:rPr>
        <w:t> 774 766 303</w:t>
      </w:r>
      <w:r w:rsidR="006325C2" w:rsidRPr="00782463">
        <w:rPr>
          <w:rFonts w:ascii="Arial" w:hAnsi="Arial" w:cs="Arial"/>
          <w:b/>
          <w:sz w:val="22"/>
          <w:szCs w:val="22"/>
        </w:rPr>
        <w:t xml:space="preserve"> Ft</w:t>
      </w:r>
      <w:r w:rsidR="00F035F4" w:rsidRPr="00782463">
        <w:rPr>
          <w:rFonts w:ascii="Arial" w:hAnsi="Arial" w:cs="Arial"/>
          <w:sz w:val="22"/>
          <w:szCs w:val="22"/>
        </w:rPr>
        <w:t xml:space="preserve">, </w:t>
      </w:r>
      <w:r w:rsidR="000D4BE9" w:rsidRPr="00782463">
        <w:rPr>
          <w:rFonts w:ascii="Arial" w:hAnsi="Arial" w:cs="Arial"/>
          <w:sz w:val="22"/>
          <w:szCs w:val="22"/>
        </w:rPr>
        <w:t xml:space="preserve">mely </w:t>
      </w:r>
      <w:r w:rsidR="00782463" w:rsidRPr="00782463">
        <w:rPr>
          <w:rFonts w:ascii="Arial" w:hAnsi="Arial" w:cs="Arial"/>
          <w:sz w:val="22"/>
          <w:szCs w:val="22"/>
        </w:rPr>
        <w:t>22</w:t>
      </w:r>
      <w:r w:rsidR="00C711FD">
        <w:rPr>
          <w:rFonts w:ascii="Arial" w:hAnsi="Arial" w:cs="Arial"/>
          <w:sz w:val="22"/>
          <w:szCs w:val="22"/>
        </w:rPr>
        <w:t>,2</w:t>
      </w:r>
      <w:r w:rsidR="001F0C1D" w:rsidRPr="00782463">
        <w:rPr>
          <w:rFonts w:ascii="Arial" w:hAnsi="Arial" w:cs="Arial"/>
          <w:sz w:val="22"/>
          <w:szCs w:val="22"/>
        </w:rPr>
        <w:t xml:space="preserve"> %-kal magasabb az előző évinél.</w:t>
      </w:r>
    </w:p>
    <w:p w14:paraId="02B47BC3" w14:textId="77777777" w:rsidR="00DF1AA2" w:rsidRPr="00A82F71" w:rsidRDefault="00DF1AA2" w:rsidP="006325C2">
      <w:pPr>
        <w:jc w:val="both"/>
        <w:rPr>
          <w:rFonts w:ascii="Arial" w:hAnsi="Arial" w:cs="Arial"/>
          <w:sz w:val="22"/>
          <w:szCs w:val="22"/>
          <w:highlight w:val="yellow"/>
        </w:rPr>
      </w:pPr>
    </w:p>
    <w:p w14:paraId="44EDCCC1" w14:textId="401E1A7A" w:rsidR="006325C2" w:rsidRPr="00782463" w:rsidRDefault="00DF1AA2" w:rsidP="006325C2">
      <w:pPr>
        <w:jc w:val="both"/>
        <w:rPr>
          <w:rFonts w:ascii="Arial" w:hAnsi="Arial" w:cs="Arial"/>
          <w:sz w:val="22"/>
          <w:szCs w:val="22"/>
        </w:rPr>
      </w:pPr>
      <w:r w:rsidRPr="00782463">
        <w:rPr>
          <w:rFonts w:ascii="Arial" w:hAnsi="Arial" w:cs="Arial"/>
          <w:sz w:val="22"/>
          <w:szCs w:val="22"/>
        </w:rPr>
        <w:t xml:space="preserve">A feladatellátási </w:t>
      </w:r>
      <w:proofErr w:type="gramStart"/>
      <w:r w:rsidRPr="00782463">
        <w:rPr>
          <w:rFonts w:ascii="Arial" w:hAnsi="Arial" w:cs="Arial"/>
          <w:sz w:val="22"/>
          <w:szCs w:val="22"/>
        </w:rPr>
        <w:t>struktúránk</w:t>
      </w:r>
      <w:proofErr w:type="gramEnd"/>
      <w:r w:rsidRPr="00782463">
        <w:rPr>
          <w:rFonts w:ascii="Arial" w:hAnsi="Arial" w:cs="Arial"/>
          <w:sz w:val="22"/>
          <w:szCs w:val="22"/>
        </w:rPr>
        <w:t xml:space="preserve"> </w:t>
      </w:r>
      <w:r w:rsidR="00313326" w:rsidRPr="00782463">
        <w:rPr>
          <w:rFonts w:ascii="Arial" w:hAnsi="Arial" w:cs="Arial"/>
          <w:sz w:val="22"/>
          <w:szCs w:val="22"/>
        </w:rPr>
        <w:t>a 202</w:t>
      </w:r>
      <w:r w:rsidR="00782463" w:rsidRPr="00782463">
        <w:rPr>
          <w:rFonts w:ascii="Arial" w:hAnsi="Arial" w:cs="Arial"/>
          <w:sz w:val="22"/>
          <w:szCs w:val="22"/>
        </w:rPr>
        <w:t>4</w:t>
      </w:r>
      <w:r w:rsidR="00313326" w:rsidRPr="00782463">
        <w:rPr>
          <w:rFonts w:ascii="Arial" w:hAnsi="Arial" w:cs="Arial"/>
          <w:sz w:val="22"/>
          <w:szCs w:val="22"/>
        </w:rPr>
        <w:t>. évhez képest n</w:t>
      </w:r>
      <w:r w:rsidRPr="00782463">
        <w:rPr>
          <w:rFonts w:ascii="Arial" w:hAnsi="Arial" w:cs="Arial"/>
          <w:sz w:val="22"/>
          <w:szCs w:val="22"/>
        </w:rPr>
        <w:t xml:space="preserve">em változik: Bátaszék Város Önkormányzata 100 %-os tulajdonosként továbbra is két Kft.-t működtet, továbbá két társulásban vesz részt gesztorként, társulásonként egy-egy intézmény fenntartásában érintett. (MOB és Gondozási Központ). Emellett szakmailag önálló intézményként működteti a Keresztély Gyula Városi Könyvtárat, a KÖH fenntartásában pedig a társult önkormányzatokkal működik együtt. </w:t>
      </w:r>
      <w:r w:rsidR="00782463" w:rsidRPr="00782463">
        <w:rPr>
          <w:rFonts w:ascii="Arial" w:hAnsi="Arial" w:cs="Arial"/>
          <w:sz w:val="22"/>
          <w:szCs w:val="22"/>
        </w:rPr>
        <w:t>A KÖH Társuláshoz ez évben Várdomb Község Önkormányzata csatlakozott új belépőként.</w:t>
      </w:r>
    </w:p>
    <w:p w14:paraId="30A87A67" w14:textId="77777777" w:rsidR="00C70E20" w:rsidRPr="00A82F71" w:rsidRDefault="00C70E20" w:rsidP="006325C2">
      <w:pPr>
        <w:jc w:val="both"/>
        <w:rPr>
          <w:rFonts w:ascii="Arial" w:hAnsi="Arial" w:cs="Arial"/>
          <w:sz w:val="22"/>
          <w:szCs w:val="22"/>
          <w:highlight w:val="yellow"/>
        </w:rPr>
      </w:pPr>
    </w:p>
    <w:p w14:paraId="71D4ED30" w14:textId="387FB551" w:rsidR="006325C2" w:rsidRPr="00782463" w:rsidRDefault="00EC5BD3" w:rsidP="006325C2">
      <w:pPr>
        <w:jc w:val="both"/>
        <w:rPr>
          <w:rFonts w:ascii="Arial" w:hAnsi="Arial" w:cs="Arial"/>
          <w:i/>
          <w:sz w:val="22"/>
          <w:szCs w:val="22"/>
        </w:rPr>
      </w:pPr>
      <w:r w:rsidRPr="00782463">
        <w:rPr>
          <w:rFonts w:ascii="Arial" w:hAnsi="Arial" w:cs="Arial"/>
          <w:sz w:val="22"/>
          <w:szCs w:val="22"/>
        </w:rPr>
        <w:t>A</w:t>
      </w:r>
      <w:r w:rsidR="006325C2" w:rsidRPr="00782463">
        <w:rPr>
          <w:rFonts w:ascii="Arial" w:hAnsi="Arial" w:cs="Arial"/>
          <w:sz w:val="22"/>
          <w:szCs w:val="22"/>
        </w:rPr>
        <w:t xml:space="preserve"> költségvetés</w:t>
      </w:r>
      <w:r w:rsidRPr="00782463">
        <w:rPr>
          <w:rFonts w:ascii="Arial" w:hAnsi="Arial" w:cs="Arial"/>
          <w:sz w:val="22"/>
          <w:szCs w:val="22"/>
        </w:rPr>
        <w:t xml:space="preserve">i kiadások </w:t>
      </w:r>
      <w:proofErr w:type="gramStart"/>
      <w:r w:rsidRPr="00782463">
        <w:rPr>
          <w:rFonts w:ascii="Arial" w:hAnsi="Arial" w:cs="Arial"/>
          <w:sz w:val="22"/>
          <w:szCs w:val="22"/>
        </w:rPr>
        <w:t>konszolidált</w:t>
      </w:r>
      <w:proofErr w:type="gramEnd"/>
      <w:r w:rsidRPr="00782463">
        <w:rPr>
          <w:rFonts w:ascii="Arial" w:hAnsi="Arial" w:cs="Arial"/>
          <w:sz w:val="22"/>
          <w:szCs w:val="22"/>
        </w:rPr>
        <w:t xml:space="preserve"> összegei tartalmazzák </w:t>
      </w:r>
      <w:r w:rsidR="006325C2" w:rsidRPr="00782463">
        <w:rPr>
          <w:rFonts w:ascii="Arial" w:hAnsi="Arial" w:cs="Arial"/>
          <w:sz w:val="22"/>
          <w:szCs w:val="22"/>
        </w:rPr>
        <w:t xml:space="preserve">Bátaszék Város Önkormányzata, a Közös Önkormányzati Hivatal, valamint a Keresztély Gyula Könyvtár </w:t>
      </w:r>
      <w:r w:rsidR="00C55948" w:rsidRPr="00782463">
        <w:rPr>
          <w:rFonts w:ascii="Arial" w:hAnsi="Arial" w:cs="Arial"/>
          <w:sz w:val="22"/>
          <w:szCs w:val="22"/>
        </w:rPr>
        <w:t>kiadásait is</w:t>
      </w:r>
      <w:r w:rsidR="00DF1AA2" w:rsidRPr="00782463">
        <w:rPr>
          <w:rFonts w:ascii="Arial" w:hAnsi="Arial" w:cs="Arial"/>
          <w:sz w:val="22"/>
          <w:szCs w:val="22"/>
        </w:rPr>
        <w:t>, illetve a Társulások, valamint a Kft.-k útján ellátott feladatokkal összefüggő, az érintett szervezetekhez fűződő költségvetési kapcsolatainak pénzügyi vonzatait</w:t>
      </w:r>
      <w:r w:rsidR="00C70E20" w:rsidRPr="00782463">
        <w:rPr>
          <w:rFonts w:ascii="Arial" w:hAnsi="Arial" w:cs="Arial"/>
          <w:sz w:val="22"/>
          <w:szCs w:val="22"/>
        </w:rPr>
        <w:t xml:space="preserve"> is</w:t>
      </w:r>
      <w:r w:rsidR="00DF1AA2" w:rsidRPr="00782463">
        <w:rPr>
          <w:rFonts w:ascii="Arial" w:hAnsi="Arial" w:cs="Arial"/>
          <w:sz w:val="22"/>
          <w:szCs w:val="22"/>
        </w:rPr>
        <w:t xml:space="preserve">. </w:t>
      </w:r>
    </w:p>
    <w:p w14:paraId="109C4BEB" w14:textId="77777777" w:rsidR="006325C2" w:rsidRPr="00782463" w:rsidRDefault="006325C2" w:rsidP="006325C2">
      <w:pPr>
        <w:jc w:val="both"/>
        <w:rPr>
          <w:rFonts w:ascii="Arial" w:hAnsi="Arial" w:cs="Arial"/>
          <w:sz w:val="22"/>
          <w:szCs w:val="22"/>
          <w:u w:val="single"/>
        </w:rPr>
      </w:pPr>
    </w:p>
    <w:p w14:paraId="5719250D" w14:textId="62136A27" w:rsidR="006325C2" w:rsidRPr="00EF346D" w:rsidRDefault="000943F3" w:rsidP="006325C2">
      <w:pPr>
        <w:jc w:val="both"/>
        <w:rPr>
          <w:rFonts w:ascii="Arial" w:hAnsi="Arial" w:cs="Arial"/>
          <w:bCs/>
          <w:sz w:val="22"/>
          <w:szCs w:val="22"/>
        </w:rPr>
      </w:pPr>
      <w:r w:rsidRPr="00EF346D">
        <w:rPr>
          <w:rFonts w:ascii="Arial" w:hAnsi="Arial" w:cs="Arial"/>
          <w:b/>
          <w:sz w:val="22"/>
          <w:szCs w:val="22"/>
          <w:u w:val="single"/>
        </w:rPr>
        <w:t>A személyi juttatások előirányzata</w:t>
      </w:r>
      <w:r w:rsidR="00EF346D" w:rsidRPr="00EF346D">
        <w:rPr>
          <w:bCs/>
          <w:u w:val="single"/>
        </w:rPr>
        <w:t xml:space="preserve"> </w:t>
      </w:r>
      <w:r w:rsidR="00EF346D" w:rsidRPr="00EF346D">
        <w:rPr>
          <w:rFonts w:ascii="Arial" w:hAnsi="Arial" w:cs="Arial"/>
          <w:bCs/>
          <w:sz w:val="22"/>
          <w:szCs w:val="22"/>
        </w:rPr>
        <w:t>322 781 831</w:t>
      </w:r>
      <w:r w:rsidRPr="00EF346D">
        <w:rPr>
          <w:rFonts w:ascii="Arial" w:hAnsi="Arial" w:cs="Arial"/>
          <w:bCs/>
          <w:sz w:val="22"/>
          <w:szCs w:val="22"/>
        </w:rPr>
        <w:t xml:space="preserve"> </w:t>
      </w:r>
      <w:r w:rsidR="004776E2" w:rsidRPr="00EF346D">
        <w:rPr>
          <w:rFonts w:ascii="Arial" w:hAnsi="Arial" w:cs="Arial"/>
          <w:bCs/>
          <w:sz w:val="22"/>
          <w:szCs w:val="22"/>
        </w:rPr>
        <w:t xml:space="preserve">Ft az előző évre tervezett </w:t>
      </w:r>
      <w:r w:rsidR="00782463" w:rsidRPr="00EF346D">
        <w:rPr>
          <w:rFonts w:ascii="Arial" w:hAnsi="Arial" w:cs="Arial"/>
          <w:bCs/>
          <w:sz w:val="22"/>
          <w:szCs w:val="22"/>
        </w:rPr>
        <w:t>236 589 545</w:t>
      </w:r>
      <w:r w:rsidR="00C45C6A" w:rsidRPr="00EF346D">
        <w:rPr>
          <w:rFonts w:ascii="Arial" w:hAnsi="Arial" w:cs="Arial"/>
          <w:bCs/>
          <w:sz w:val="22"/>
          <w:szCs w:val="22"/>
        </w:rPr>
        <w:t xml:space="preserve"> Ft</w:t>
      </w:r>
      <w:r w:rsidR="004776E2" w:rsidRPr="00EF346D">
        <w:rPr>
          <w:rFonts w:ascii="Arial" w:hAnsi="Arial" w:cs="Arial"/>
          <w:bCs/>
          <w:sz w:val="22"/>
          <w:szCs w:val="22"/>
        </w:rPr>
        <w:t>-tal szemben</w:t>
      </w:r>
      <w:r w:rsidR="00EF346D" w:rsidRPr="00EF346D">
        <w:rPr>
          <w:rFonts w:ascii="Arial" w:hAnsi="Arial" w:cs="Arial"/>
          <w:bCs/>
          <w:sz w:val="22"/>
          <w:szCs w:val="22"/>
        </w:rPr>
        <w:t>, a változás mértéke 36,4 %.</w:t>
      </w:r>
      <w:r w:rsidR="00C04312">
        <w:rPr>
          <w:rFonts w:ascii="Arial" w:hAnsi="Arial" w:cs="Arial"/>
          <w:bCs/>
          <w:sz w:val="22"/>
          <w:szCs w:val="22"/>
        </w:rPr>
        <w:t xml:space="preserve"> A növekedésben tükröződik a központi béremelések hatása, az önkormányzat által prioritásként elfogadott béremelés hatása, a </w:t>
      </w:r>
      <w:proofErr w:type="spellStart"/>
      <w:r w:rsidR="00C04312">
        <w:rPr>
          <w:rFonts w:ascii="Arial" w:hAnsi="Arial" w:cs="Arial"/>
          <w:bCs/>
          <w:sz w:val="22"/>
          <w:szCs w:val="22"/>
        </w:rPr>
        <w:t>cafetéria</w:t>
      </w:r>
      <w:proofErr w:type="spellEnd"/>
      <w:r w:rsidR="00C04312">
        <w:rPr>
          <w:rFonts w:ascii="Arial" w:hAnsi="Arial" w:cs="Arial"/>
          <w:bCs/>
          <w:sz w:val="22"/>
          <w:szCs w:val="22"/>
        </w:rPr>
        <w:t xml:space="preserve"> juttatás emelése</w:t>
      </w:r>
      <w:r w:rsidR="00640F60">
        <w:rPr>
          <w:rFonts w:ascii="Arial" w:hAnsi="Arial" w:cs="Arial"/>
          <w:bCs/>
          <w:sz w:val="22"/>
          <w:szCs w:val="22"/>
        </w:rPr>
        <w:t xml:space="preserve"> miatti</w:t>
      </w:r>
      <w:r w:rsidR="00C04312">
        <w:rPr>
          <w:rFonts w:ascii="Arial" w:hAnsi="Arial" w:cs="Arial"/>
          <w:bCs/>
          <w:sz w:val="22"/>
          <w:szCs w:val="22"/>
        </w:rPr>
        <w:t>,</w:t>
      </w:r>
      <w:r w:rsidR="00640F60">
        <w:rPr>
          <w:rFonts w:ascii="Arial" w:hAnsi="Arial" w:cs="Arial"/>
          <w:bCs/>
          <w:sz w:val="22"/>
          <w:szCs w:val="22"/>
        </w:rPr>
        <w:t xml:space="preserve"> </w:t>
      </w:r>
      <w:r w:rsidR="00C04312">
        <w:rPr>
          <w:rFonts w:ascii="Arial" w:hAnsi="Arial" w:cs="Arial"/>
          <w:bCs/>
          <w:sz w:val="22"/>
          <w:szCs w:val="22"/>
        </w:rPr>
        <w:t>valamint a létszámnövekedéshez kapcsolódó többletforrás igény is.</w:t>
      </w:r>
    </w:p>
    <w:p w14:paraId="7AAF43C7" w14:textId="77777777" w:rsidR="006325C2" w:rsidRPr="00EF346D" w:rsidRDefault="006325C2" w:rsidP="006325C2">
      <w:pPr>
        <w:jc w:val="both"/>
        <w:rPr>
          <w:rFonts w:ascii="Arial" w:hAnsi="Arial" w:cs="Arial"/>
          <w:sz w:val="22"/>
          <w:szCs w:val="22"/>
          <w:u w:val="single"/>
        </w:rPr>
      </w:pPr>
    </w:p>
    <w:p w14:paraId="30C82440" w14:textId="63066EB2" w:rsidR="006325C2" w:rsidRPr="00EF346D" w:rsidRDefault="006325C2" w:rsidP="006325C2">
      <w:pPr>
        <w:jc w:val="both"/>
        <w:rPr>
          <w:rFonts w:ascii="Arial" w:hAnsi="Arial" w:cs="Arial"/>
          <w:sz w:val="22"/>
          <w:szCs w:val="22"/>
        </w:rPr>
      </w:pPr>
      <w:r w:rsidRPr="00EF346D">
        <w:rPr>
          <w:rFonts w:ascii="Arial" w:hAnsi="Arial" w:cs="Arial"/>
          <w:sz w:val="22"/>
          <w:szCs w:val="22"/>
        </w:rPr>
        <w:t xml:space="preserve">A személyi juttatások keretében terveztük meg a rendszeres (munkabérek) és nem rendszeres egyéb kifizetéseket (közlekedési költségtérítés, </w:t>
      </w:r>
      <w:proofErr w:type="spellStart"/>
      <w:r w:rsidRPr="00EF346D">
        <w:rPr>
          <w:rFonts w:ascii="Arial" w:hAnsi="Arial" w:cs="Arial"/>
          <w:sz w:val="22"/>
          <w:szCs w:val="22"/>
        </w:rPr>
        <w:t>cafetéria</w:t>
      </w:r>
      <w:proofErr w:type="spellEnd"/>
      <w:r w:rsidRPr="00EF346D">
        <w:rPr>
          <w:rFonts w:ascii="Arial" w:hAnsi="Arial" w:cs="Arial"/>
          <w:sz w:val="22"/>
          <w:szCs w:val="22"/>
        </w:rPr>
        <w:t>, bankszámlavezetési díj, jubileumi jutalom,</w:t>
      </w:r>
      <w:r w:rsidR="00C55948" w:rsidRPr="00EF346D">
        <w:rPr>
          <w:rFonts w:ascii="Arial" w:hAnsi="Arial" w:cs="Arial"/>
          <w:sz w:val="22"/>
          <w:szCs w:val="22"/>
        </w:rPr>
        <w:t xml:space="preserve"> megbízási díjak).  202</w:t>
      </w:r>
      <w:r w:rsidR="00EF346D" w:rsidRPr="00EF346D">
        <w:rPr>
          <w:rFonts w:ascii="Arial" w:hAnsi="Arial" w:cs="Arial"/>
          <w:sz w:val="22"/>
          <w:szCs w:val="22"/>
        </w:rPr>
        <w:t>5</w:t>
      </w:r>
      <w:r w:rsidRPr="00EF346D">
        <w:rPr>
          <w:rFonts w:ascii="Arial" w:hAnsi="Arial" w:cs="Arial"/>
          <w:sz w:val="22"/>
          <w:szCs w:val="22"/>
        </w:rPr>
        <w:t xml:space="preserve">. </w:t>
      </w:r>
      <w:r w:rsidR="00EF346D" w:rsidRPr="00EF346D">
        <w:rPr>
          <w:rFonts w:ascii="Arial" w:hAnsi="Arial" w:cs="Arial"/>
          <w:sz w:val="22"/>
          <w:szCs w:val="22"/>
        </w:rPr>
        <w:t>január</w:t>
      </w:r>
      <w:r w:rsidR="008B0343" w:rsidRPr="00EF346D">
        <w:rPr>
          <w:rFonts w:ascii="Arial" w:hAnsi="Arial" w:cs="Arial"/>
          <w:sz w:val="22"/>
          <w:szCs w:val="22"/>
        </w:rPr>
        <w:t xml:space="preserve"> </w:t>
      </w:r>
      <w:r w:rsidRPr="00EF346D">
        <w:rPr>
          <w:rFonts w:ascii="Arial" w:hAnsi="Arial" w:cs="Arial"/>
          <w:sz w:val="22"/>
          <w:szCs w:val="22"/>
        </w:rPr>
        <w:t>1-től változott a minimálbér és a garantált bérminimum összege, így a minimálbér ese</w:t>
      </w:r>
      <w:r w:rsidR="00C55948" w:rsidRPr="00EF346D">
        <w:rPr>
          <w:rFonts w:ascii="Arial" w:hAnsi="Arial" w:cs="Arial"/>
          <w:sz w:val="22"/>
          <w:szCs w:val="22"/>
        </w:rPr>
        <w:t xml:space="preserve">tében a meghatározott bruttó </w:t>
      </w:r>
      <w:r w:rsidR="00F42354" w:rsidRPr="00EF346D">
        <w:rPr>
          <w:rFonts w:ascii="Arial" w:hAnsi="Arial" w:cs="Arial"/>
          <w:sz w:val="22"/>
          <w:szCs w:val="22"/>
        </w:rPr>
        <w:t>2</w:t>
      </w:r>
      <w:r w:rsidR="00EF346D" w:rsidRPr="00EF346D">
        <w:rPr>
          <w:rFonts w:ascii="Arial" w:hAnsi="Arial" w:cs="Arial"/>
          <w:sz w:val="22"/>
          <w:szCs w:val="22"/>
        </w:rPr>
        <w:t>90</w:t>
      </w:r>
      <w:r w:rsidR="00F42354" w:rsidRPr="00EF346D">
        <w:rPr>
          <w:rFonts w:ascii="Arial" w:hAnsi="Arial" w:cs="Arial"/>
          <w:sz w:val="22"/>
          <w:szCs w:val="22"/>
        </w:rPr>
        <w:t xml:space="preserve"> 800</w:t>
      </w:r>
      <w:r w:rsidRPr="00EF346D">
        <w:rPr>
          <w:rFonts w:ascii="Arial" w:hAnsi="Arial" w:cs="Arial"/>
          <w:sz w:val="22"/>
          <w:szCs w:val="22"/>
        </w:rPr>
        <w:t xml:space="preserve"> Ft-tal, a garantált bérminimum</w:t>
      </w:r>
      <w:r w:rsidR="00F42354" w:rsidRPr="00EF346D">
        <w:rPr>
          <w:rFonts w:ascii="Arial" w:hAnsi="Arial" w:cs="Arial"/>
          <w:sz w:val="22"/>
          <w:szCs w:val="22"/>
        </w:rPr>
        <w:t xml:space="preserve"> esetében pedig a bruttó 3</w:t>
      </w:r>
      <w:r w:rsidR="00EF346D" w:rsidRPr="00EF346D">
        <w:rPr>
          <w:rFonts w:ascii="Arial" w:hAnsi="Arial" w:cs="Arial"/>
          <w:sz w:val="22"/>
          <w:szCs w:val="22"/>
        </w:rPr>
        <w:t>48 8</w:t>
      </w:r>
      <w:r w:rsidR="00F42354" w:rsidRPr="00EF346D">
        <w:rPr>
          <w:rFonts w:ascii="Arial" w:hAnsi="Arial" w:cs="Arial"/>
          <w:sz w:val="22"/>
          <w:szCs w:val="22"/>
        </w:rPr>
        <w:t>00</w:t>
      </w:r>
      <w:r w:rsidRPr="00EF346D">
        <w:rPr>
          <w:rFonts w:ascii="Arial" w:hAnsi="Arial" w:cs="Arial"/>
          <w:sz w:val="22"/>
          <w:szCs w:val="22"/>
        </w:rPr>
        <w:t xml:space="preserve"> Ft-tal számoltunk. </w:t>
      </w:r>
    </w:p>
    <w:p w14:paraId="092387F1" w14:textId="77777777" w:rsidR="006325C2" w:rsidRPr="00A82F71" w:rsidRDefault="006325C2" w:rsidP="006325C2">
      <w:pPr>
        <w:jc w:val="both"/>
        <w:rPr>
          <w:rFonts w:ascii="Arial" w:hAnsi="Arial" w:cs="Arial"/>
          <w:sz w:val="22"/>
          <w:szCs w:val="22"/>
          <w:highlight w:val="yellow"/>
        </w:rPr>
      </w:pPr>
    </w:p>
    <w:p w14:paraId="3322D01D" w14:textId="0F5C2917" w:rsidR="006325C2" w:rsidRDefault="006325C2" w:rsidP="006325C2">
      <w:pPr>
        <w:spacing w:line="276" w:lineRule="auto"/>
        <w:jc w:val="both"/>
        <w:rPr>
          <w:rFonts w:ascii="Arial" w:hAnsi="Arial" w:cs="Arial"/>
          <w:sz w:val="22"/>
          <w:szCs w:val="22"/>
        </w:rPr>
      </w:pPr>
      <w:r w:rsidRPr="00EF346D">
        <w:rPr>
          <w:rFonts w:ascii="Arial" w:hAnsi="Arial" w:cs="Arial"/>
          <w:b/>
          <w:bCs/>
          <w:sz w:val="22"/>
          <w:szCs w:val="22"/>
          <w:u w:val="single"/>
        </w:rPr>
        <w:t>Bátaszék Város Önkormányzatának</w:t>
      </w:r>
      <w:r w:rsidRPr="00EF346D">
        <w:rPr>
          <w:rFonts w:ascii="Arial" w:hAnsi="Arial" w:cs="Arial"/>
          <w:sz w:val="22"/>
          <w:szCs w:val="22"/>
        </w:rPr>
        <w:t xml:space="preserve"> létszáma </w:t>
      </w:r>
      <w:r w:rsidR="00EF346D" w:rsidRPr="00EF346D">
        <w:rPr>
          <w:rFonts w:ascii="Arial" w:hAnsi="Arial" w:cs="Arial"/>
          <w:sz w:val="22"/>
          <w:szCs w:val="22"/>
        </w:rPr>
        <w:t>3</w:t>
      </w:r>
      <w:r w:rsidRPr="00EF346D">
        <w:rPr>
          <w:rFonts w:ascii="Arial" w:hAnsi="Arial" w:cs="Arial"/>
          <w:sz w:val="22"/>
          <w:szCs w:val="22"/>
        </w:rPr>
        <w:t xml:space="preserve"> fő. A IV. háziorvosi körzet feladat-ellátását </w:t>
      </w:r>
      <w:r w:rsidR="00EF346D" w:rsidRPr="00EF346D">
        <w:rPr>
          <w:rFonts w:ascii="Arial" w:hAnsi="Arial" w:cs="Arial"/>
          <w:sz w:val="22"/>
          <w:szCs w:val="22"/>
        </w:rPr>
        <w:t>az elmúlt évben az orvosi státusz vonatkozásában is sikerült saját foglalkoztatással megoldani, emellett</w:t>
      </w:r>
      <w:r w:rsidRPr="00EF346D">
        <w:rPr>
          <w:rFonts w:ascii="Arial" w:hAnsi="Arial" w:cs="Arial"/>
          <w:sz w:val="22"/>
          <w:szCs w:val="22"/>
        </w:rPr>
        <w:t xml:space="preserve"> az asszisztens </w:t>
      </w:r>
      <w:r w:rsidR="00EF346D" w:rsidRPr="00EF346D">
        <w:rPr>
          <w:rFonts w:ascii="Arial" w:hAnsi="Arial" w:cs="Arial"/>
          <w:sz w:val="22"/>
          <w:szCs w:val="22"/>
        </w:rPr>
        <w:t xml:space="preserve">van még </w:t>
      </w:r>
      <w:r w:rsidR="00EF346D">
        <w:rPr>
          <w:rFonts w:ascii="Arial" w:hAnsi="Arial" w:cs="Arial"/>
          <w:sz w:val="22"/>
          <w:szCs w:val="22"/>
        </w:rPr>
        <w:t xml:space="preserve">az előző évekhez hasonlóan </w:t>
      </w:r>
      <w:r w:rsidRPr="00EF346D">
        <w:rPr>
          <w:rFonts w:ascii="Arial" w:hAnsi="Arial" w:cs="Arial"/>
          <w:sz w:val="22"/>
          <w:szCs w:val="22"/>
        </w:rPr>
        <w:t>önkormányzati állományba</w:t>
      </w:r>
      <w:r w:rsidR="00EF346D" w:rsidRPr="00EF346D">
        <w:rPr>
          <w:rFonts w:ascii="Arial" w:hAnsi="Arial" w:cs="Arial"/>
          <w:sz w:val="22"/>
          <w:szCs w:val="22"/>
        </w:rPr>
        <w:t>n</w:t>
      </w:r>
      <w:r w:rsidR="00527184" w:rsidRPr="00EF346D">
        <w:rPr>
          <w:rFonts w:ascii="Arial" w:hAnsi="Arial" w:cs="Arial"/>
          <w:sz w:val="22"/>
          <w:szCs w:val="22"/>
        </w:rPr>
        <w:t xml:space="preserve"> egészségügyi szolgálati jogviszonyban</w:t>
      </w:r>
      <w:r w:rsidRPr="00EF346D">
        <w:rPr>
          <w:rFonts w:ascii="Arial" w:hAnsi="Arial" w:cs="Arial"/>
          <w:sz w:val="22"/>
          <w:szCs w:val="22"/>
        </w:rPr>
        <w:t>.</w:t>
      </w:r>
      <w:r w:rsidR="00EE5C76" w:rsidRPr="00EF346D">
        <w:rPr>
          <w:rFonts w:ascii="Arial" w:hAnsi="Arial" w:cs="Arial"/>
          <w:sz w:val="22"/>
          <w:szCs w:val="22"/>
        </w:rPr>
        <w:t xml:space="preserve"> </w:t>
      </w:r>
      <w:r w:rsidR="00527184" w:rsidRPr="00EF346D">
        <w:rPr>
          <w:rFonts w:ascii="Arial" w:hAnsi="Arial" w:cs="Arial"/>
          <w:sz w:val="22"/>
          <w:szCs w:val="22"/>
        </w:rPr>
        <w:t xml:space="preserve">Bérnövekedéssel </w:t>
      </w:r>
      <w:r w:rsidR="00343BC1">
        <w:rPr>
          <w:rFonts w:ascii="Arial" w:hAnsi="Arial" w:cs="Arial"/>
          <w:sz w:val="22"/>
          <w:szCs w:val="22"/>
        </w:rPr>
        <w:t xml:space="preserve">esetükben </w:t>
      </w:r>
      <w:r w:rsidR="00F97F3C" w:rsidRPr="00EF346D">
        <w:rPr>
          <w:rFonts w:ascii="Arial" w:hAnsi="Arial" w:cs="Arial"/>
          <w:sz w:val="22"/>
          <w:szCs w:val="22"/>
        </w:rPr>
        <w:t xml:space="preserve">a tervezetben </w:t>
      </w:r>
      <w:r w:rsidR="000766C9">
        <w:rPr>
          <w:rFonts w:ascii="Arial" w:hAnsi="Arial" w:cs="Arial"/>
          <w:sz w:val="22"/>
          <w:szCs w:val="22"/>
        </w:rPr>
        <w:t xml:space="preserve">nem számoltunk. </w:t>
      </w:r>
      <w:r w:rsidR="00FB3B08" w:rsidRPr="00EF346D">
        <w:rPr>
          <w:rFonts w:ascii="Arial" w:hAnsi="Arial" w:cs="Arial"/>
          <w:sz w:val="22"/>
          <w:szCs w:val="22"/>
        </w:rPr>
        <w:t xml:space="preserve">A </w:t>
      </w:r>
      <w:r w:rsidR="00EF346D">
        <w:rPr>
          <w:rFonts w:ascii="Arial" w:hAnsi="Arial" w:cs="Arial"/>
          <w:sz w:val="22"/>
          <w:szCs w:val="22"/>
        </w:rPr>
        <w:t>harmadik</w:t>
      </w:r>
      <w:r w:rsidR="00FB3B08" w:rsidRPr="00EF346D">
        <w:rPr>
          <w:rFonts w:ascii="Arial" w:hAnsi="Arial" w:cs="Arial"/>
          <w:sz w:val="22"/>
          <w:szCs w:val="22"/>
        </w:rPr>
        <w:t xml:space="preserve"> dolgozó esetében bruttó </w:t>
      </w:r>
      <w:r w:rsidR="00EF346D">
        <w:rPr>
          <w:rFonts w:ascii="Arial" w:hAnsi="Arial" w:cs="Arial"/>
          <w:sz w:val="22"/>
          <w:szCs w:val="22"/>
        </w:rPr>
        <w:t>3</w:t>
      </w:r>
      <w:r w:rsidR="00FB3B08" w:rsidRPr="00EF346D">
        <w:rPr>
          <w:rFonts w:ascii="Arial" w:hAnsi="Arial" w:cs="Arial"/>
          <w:sz w:val="22"/>
          <w:szCs w:val="22"/>
        </w:rPr>
        <w:t>0 000 Ft béremelést terveztünk.</w:t>
      </w:r>
    </w:p>
    <w:p w14:paraId="7315AD3B" w14:textId="081429DC" w:rsidR="000766C9" w:rsidRDefault="00200C1F" w:rsidP="006325C2">
      <w:pPr>
        <w:spacing w:line="276" w:lineRule="auto"/>
        <w:jc w:val="both"/>
        <w:rPr>
          <w:rFonts w:ascii="Arial" w:hAnsi="Arial" w:cs="Arial"/>
          <w:sz w:val="22"/>
          <w:szCs w:val="22"/>
        </w:rPr>
      </w:pPr>
      <w:r w:rsidRPr="000766C9">
        <w:rPr>
          <w:rFonts w:ascii="Arial" w:hAnsi="Arial" w:cs="Arial"/>
          <w:sz w:val="22"/>
          <w:szCs w:val="22"/>
        </w:rPr>
        <w:t xml:space="preserve">A képviselői tiszteletdíjak 2025. évi előirányzat összege </w:t>
      </w:r>
      <w:r w:rsidR="000766C9" w:rsidRPr="000766C9">
        <w:rPr>
          <w:rFonts w:ascii="Arial" w:hAnsi="Arial" w:cs="Arial"/>
          <w:sz w:val="22"/>
          <w:szCs w:val="22"/>
        </w:rPr>
        <w:t xml:space="preserve">éves szinten </w:t>
      </w:r>
      <w:r w:rsidRPr="000766C9">
        <w:rPr>
          <w:rFonts w:ascii="Arial" w:hAnsi="Arial" w:cs="Arial"/>
          <w:sz w:val="22"/>
          <w:szCs w:val="22"/>
        </w:rPr>
        <w:t xml:space="preserve">10 887 000 Ft, melynek a járulék vonzata 1 273 779 Ft. </w:t>
      </w:r>
      <w:r w:rsidR="00314424" w:rsidRPr="000766C9">
        <w:rPr>
          <w:rFonts w:ascii="Arial" w:hAnsi="Arial" w:cs="Arial"/>
          <w:sz w:val="22"/>
          <w:szCs w:val="22"/>
        </w:rPr>
        <w:t>Az a</w:t>
      </w:r>
      <w:r w:rsidRPr="000766C9">
        <w:rPr>
          <w:rFonts w:ascii="Arial" w:hAnsi="Arial" w:cs="Arial"/>
          <w:sz w:val="22"/>
          <w:szCs w:val="22"/>
        </w:rPr>
        <w:t>lpolgármesteri tiszteletdíj bruttó összege 4 416 000 Ft, a</w:t>
      </w:r>
      <w:r w:rsidR="000766C9" w:rsidRPr="000766C9">
        <w:rPr>
          <w:rFonts w:ascii="Arial" w:hAnsi="Arial" w:cs="Arial"/>
          <w:sz w:val="22"/>
          <w:szCs w:val="22"/>
        </w:rPr>
        <w:t xml:space="preserve">melyhez </w:t>
      </w:r>
      <w:r w:rsidRPr="000766C9">
        <w:rPr>
          <w:rFonts w:ascii="Arial" w:hAnsi="Arial" w:cs="Arial"/>
          <w:sz w:val="22"/>
          <w:szCs w:val="22"/>
        </w:rPr>
        <w:t>574 080 járulék</w:t>
      </w:r>
      <w:r w:rsidR="000766C9" w:rsidRPr="000766C9">
        <w:rPr>
          <w:rFonts w:ascii="Arial" w:hAnsi="Arial" w:cs="Arial"/>
          <w:sz w:val="22"/>
          <w:szCs w:val="22"/>
        </w:rPr>
        <w:t>teher kapcsolódik</w:t>
      </w:r>
      <w:r w:rsidRPr="000766C9">
        <w:rPr>
          <w:rFonts w:ascii="Arial" w:hAnsi="Arial" w:cs="Arial"/>
          <w:sz w:val="22"/>
          <w:szCs w:val="22"/>
        </w:rPr>
        <w:t xml:space="preserve">. </w:t>
      </w:r>
      <w:r w:rsidR="00314424" w:rsidRPr="000766C9">
        <w:rPr>
          <w:rFonts w:ascii="Arial" w:hAnsi="Arial" w:cs="Arial"/>
          <w:sz w:val="22"/>
          <w:szCs w:val="22"/>
        </w:rPr>
        <w:t>A h</w:t>
      </w:r>
      <w:r w:rsidRPr="000766C9">
        <w:rPr>
          <w:rFonts w:ascii="Arial" w:hAnsi="Arial" w:cs="Arial"/>
          <w:sz w:val="22"/>
          <w:szCs w:val="22"/>
        </w:rPr>
        <w:t>áziorvosi praxis bruttó bére 22 422 804 Ft</w:t>
      </w:r>
      <w:r w:rsidR="00314424" w:rsidRPr="000766C9">
        <w:rPr>
          <w:rFonts w:ascii="Arial" w:hAnsi="Arial" w:cs="Arial"/>
          <w:sz w:val="22"/>
          <w:szCs w:val="22"/>
        </w:rPr>
        <w:t>,</w:t>
      </w:r>
      <w:r w:rsidRPr="000766C9">
        <w:rPr>
          <w:rFonts w:ascii="Arial" w:hAnsi="Arial" w:cs="Arial"/>
          <w:sz w:val="22"/>
          <w:szCs w:val="22"/>
        </w:rPr>
        <w:t xml:space="preserve"> </w:t>
      </w:r>
      <w:r w:rsidR="000766C9" w:rsidRPr="000766C9">
        <w:rPr>
          <w:rFonts w:ascii="Arial" w:hAnsi="Arial" w:cs="Arial"/>
          <w:sz w:val="22"/>
          <w:szCs w:val="22"/>
        </w:rPr>
        <w:t xml:space="preserve">a </w:t>
      </w:r>
      <w:r w:rsidRPr="000766C9">
        <w:rPr>
          <w:rFonts w:ascii="Arial" w:hAnsi="Arial" w:cs="Arial"/>
          <w:sz w:val="22"/>
          <w:szCs w:val="22"/>
        </w:rPr>
        <w:t xml:space="preserve">járulékvonzata 2 914 965 Ft. A háziorvosi asszisztens bruttó bére 6 540 000 Ft, járulékvonzata 850 200 Ft. </w:t>
      </w:r>
      <w:r w:rsidR="000766C9" w:rsidRPr="000766C9">
        <w:rPr>
          <w:rFonts w:ascii="Arial" w:hAnsi="Arial" w:cs="Arial"/>
          <w:sz w:val="22"/>
          <w:szCs w:val="22"/>
        </w:rPr>
        <w:t xml:space="preserve">A jelenleg érvényes </w:t>
      </w:r>
      <w:r w:rsidR="000766C9">
        <w:rPr>
          <w:rFonts w:ascii="Arial" w:hAnsi="Arial" w:cs="Arial"/>
          <w:sz w:val="22"/>
          <w:szCs w:val="22"/>
        </w:rPr>
        <w:t xml:space="preserve">szerződésünk alapján </w:t>
      </w:r>
      <w:r w:rsidR="000766C9" w:rsidRPr="000766C9">
        <w:rPr>
          <w:rFonts w:ascii="Arial" w:hAnsi="Arial" w:cs="Arial"/>
          <w:sz w:val="22"/>
          <w:szCs w:val="22"/>
        </w:rPr>
        <w:t xml:space="preserve">a bér és járulékköltség </w:t>
      </w:r>
      <w:r w:rsidR="000766C9">
        <w:rPr>
          <w:rFonts w:ascii="Arial" w:hAnsi="Arial" w:cs="Arial"/>
          <w:sz w:val="22"/>
          <w:szCs w:val="22"/>
        </w:rPr>
        <w:t xml:space="preserve">teljes egészében a </w:t>
      </w:r>
      <w:r w:rsidR="000766C9" w:rsidRPr="000766C9">
        <w:rPr>
          <w:rFonts w:ascii="Arial" w:hAnsi="Arial" w:cs="Arial"/>
          <w:sz w:val="22"/>
          <w:szCs w:val="22"/>
        </w:rPr>
        <w:t>NEAK támogatás keretében megigényelhető.</w:t>
      </w:r>
      <w:r w:rsidR="000766C9">
        <w:rPr>
          <w:rFonts w:ascii="Arial" w:hAnsi="Arial" w:cs="Arial"/>
          <w:sz w:val="22"/>
          <w:szCs w:val="22"/>
        </w:rPr>
        <w:t xml:space="preserve"> </w:t>
      </w:r>
    </w:p>
    <w:p w14:paraId="1B77E01C" w14:textId="77777777" w:rsidR="000766C9" w:rsidRDefault="000766C9" w:rsidP="006325C2">
      <w:pPr>
        <w:spacing w:line="276" w:lineRule="auto"/>
        <w:jc w:val="both"/>
        <w:rPr>
          <w:rFonts w:ascii="Arial" w:hAnsi="Arial" w:cs="Arial"/>
          <w:sz w:val="22"/>
          <w:szCs w:val="22"/>
        </w:rPr>
      </w:pPr>
    </w:p>
    <w:p w14:paraId="4D19DFCC" w14:textId="0646BD69" w:rsidR="00200C1F" w:rsidRPr="00EF346D" w:rsidRDefault="00200C1F" w:rsidP="006325C2">
      <w:pPr>
        <w:spacing w:line="276" w:lineRule="auto"/>
        <w:jc w:val="both"/>
        <w:rPr>
          <w:rFonts w:ascii="Arial" w:hAnsi="Arial" w:cs="Arial"/>
          <w:sz w:val="22"/>
          <w:szCs w:val="22"/>
        </w:rPr>
      </w:pPr>
      <w:r w:rsidRPr="000766C9">
        <w:rPr>
          <w:rFonts w:ascii="Arial" w:hAnsi="Arial" w:cs="Arial"/>
          <w:sz w:val="22"/>
          <w:szCs w:val="22"/>
        </w:rPr>
        <w:t xml:space="preserve">A kézbesítő bruttó bére </w:t>
      </w:r>
      <w:r w:rsidR="000766C9" w:rsidRPr="000766C9">
        <w:rPr>
          <w:rFonts w:ascii="Arial" w:hAnsi="Arial" w:cs="Arial"/>
          <w:sz w:val="22"/>
          <w:szCs w:val="22"/>
        </w:rPr>
        <w:t xml:space="preserve">éves szinten </w:t>
      </w:r>
      <w:r w:rsidRPr="000766C9">
        <w:rPr>
          <w:rFonts w:ascii="Arial" w:hAnsi="Arial" w:cs="Arial"/>
          <w:sz w:val="22"/>
          <w:szCs w:val="22"/>
        </w:rPr>
        <w:t>4 183 020 Ft</w:t>
      </w:r>
      <w:r w:rsidR="000766C9" w:rsidRPr="000766C9">
        <w:rPr>
          <w:rFonts w:ascii="Arial" w:hAnsi="Arial" w:cs="Arial"/>
          <w:sz w:val="22"/>
          <w:szCs w:val="22"/>
        </w:rPr>
        <w:t xml:space="preserve">, </w:t>
      </w:r>
      <w:r w:rsidR="000766C9">
        <w:rPr>
          <w:rFonts w:ascii="Arial" w:hAnsi="Arial" w:cs="Arial"/>
          <w:sz w:val="22"/>
          <w:szCs w:val="22"/>
        </w:rPr>
        <w:t xml:space="preserve">a </w:t>
      </w:r>
      <w:r w:rsidRPr="000766C9">
        <w:rPr>
          <w:rFonts w:ascii="Arial" w:hAnsi="Arial" w:cs="Arial"/>
          <w:sz w:val="22"/>
          <w:szCs w:val="22"/>
        </w:rPr>
        <w:t>járulékvonzata 543 793Ft.</w:t>
      </w:r>
    </w:p>
    <w:p w14:paraId="5996BEC7" w14:textId="77777777" w:rsidR="006325C2" w:rsidRPr="00640F60" w:rsidRDefault="006325C2" w:rsidP="006325C2">
      <w:pPr>
        <w:spacing w:line="276" w:lineRule="auto"/>
        <w:jc w:val="both"/>
        <w:rPr>
          <w:rFonts w:ascii="Arial" w:hAnsi="Arial" w:cs="Arial"/>
          <w:sz w:val="22"/>
          <w:szCs w:val="22"/>
          <w:highlight w:val="yellow"/>
          <w:u w:val="single"/>
        </w:rPr>
      </w:pPr>
    </w:p>
    <w:p w14:paraId="0721B4C2" w14:textId="58309D3E" w:rsidR="006325C2" w:rsidRDefault="006325C2" w:rsidP="006325C2">
      <w:pPr>
        <w:suppressAutoHyphens/>
        <w:overflowPunct w:val="0"/>
        <w:autoSpaceDE w:val="0"/>
        <w:spacing w:line="276" w:lineRule="auto"/>
        <w:jc w:val="both"/>
        <w:textAlignment w:val="baseline"/>
        <w:rPr>
          <w:rFonts w:ascii="Arial" w:hAnsi="Arial" w:cs="Arial"/>
          <w:sz w:val="22"/>
          <w:szCs w:val="22"/>
        </w:rPr>
      </w:pPr>
      <w:r w:rsidRPr="00640F60">
        <w:rPr>
          <w:rFonts w:ascii="Arial" w:hAnsi="Arial" w:cs="Arial"/>
          <w:sz w:val="22"/>
          <w:szCs w:val="22"/>
          <w:u w:val="single"/>
        </w:rPr>
        <w:t xml:space="preserve">A </w:t>
      </w:r>
      <w:r w:rsidRPr="00640F60">
        <w:rPr>
          <w:rFonts w:ascii="Arial" w:hAnsi="Arial" w:cs="Arial"/>
          <w:b/>
          <w:bCs/>
          <w:sz w:val="22"/>
          <w:szCs w:val="22"/>
          <w:u w:val="single"/>
        </w:rPr>
        <w:t>Közös Önkormányzati Hivatalnál</w:t>
      </w:r>
      <w:r w:rsidRPr="00640F60">
        <w:rPr>
          <w:rFonts w:ascii="Arial" w:hAnsi="Arial" w:cs="Arial"/>
          <w:sz w:val="22"/>
          <w:szCs w:val="22"/>
        </w:rPr>
        <w:t xml:space="preserve"> </w:t>
      </w:r>
      <w:r w:rsidR="001F0C1D" w:rsidRPr="00640F60">
        <w:rPr>
          <w:rFonts w:ascii="Arial" w:hAnsi="Arial" w:cs="Arial"/>
          <w:sz w:val="22"/>
          <w:szCs w:val="22"/>
        </w:rPr>
        <w:t xml:space="preserve">az előző évhez </w:t>
      </w:r>
      <w:r w:rsidR="00992097" w:rsidRPr="00640F60">
        <w:rPr>
          <w:rFonts w:ascii="Arial" w:hAnsi="Arial" w:cs="Arial"/>
          <w:sz w:val="22"/>
          <w:szCs w:val="22"/>
        </w:rPr>
        <w:t>képest feladatbővülés következett be Várdomb Község csat</w:t>
      </w:r>
      <w:r w:rsidR="00C04312" w:rsidRPr="00640F60">
        <w:rPr>
          <w:rFonts w:ascii="Arial" w:hAnsi="Arial" w:cs="Arial"/>
          <w:sz w:val="22"/>
          <w:szCs w:val="22"/>
        </w:rPr>
        <w:t>lakozásával, alapvetően ez indokolja a költségvetésben már elfogadott 3,5 fő álláshely</w:t>
      </w:r>
      <w:r w:rsidR="00992097" w:rsidRPr="00640F60">
        <w:rPr>
          <w:rFonts w:ascii="Arial" w:hAnsi="Arial" w:cs="Arial"/>
          <w:sz w:val="22"/>
          <w:szCs w:val="22"/>
        </w:rPr>
        <w:t xml:space="preserve"> </w:t>
      </w:r>
      <w:r w:rsidR="00C04312" w:rsidRPr="00640F60">
        <w:rPr>
          <w:rFonts w:ascii="Arial" w:hAnsi="Arial" w:cs="Arial"/>
          <w:sz w:val="22"/>
          <w:szCs w:val="22"/>
        </w:rPr>
        <w:t xml:space="preserve">többletet a </w:t>
      </w:r>
      <w:r w:rsidRPr="00640F60">
        <w:rPr>
          <w:rFonts w:ascii="Arial" w:hAnsi="Arial" w:cs="Arial"/>
          <w:sz w:val="22"/>
          <w:szCs w:val="22"/>
        </w:rPr>
        <w:t>közszolgálati tisztvisel</w:t>
      </w:r>
      <w:r w:rsidR="001F0C1D" w:rsidRPr="00640F60">
        <w:rPr>
          <w:rFonts w:ascii="Arial" w:hAnsi="Arial" w:cs="Arial"/>
          <w:sz w:val="22"/>
          <w:szCs w:val="22"/>
        </w:rPr>
        <w:t>ő</w:t>
      </w:r>
      <w:r w:rsidR="00C04312" w:rsidRPr="00640F60">
        <w:rPr>
          <w:rFonts w:ascii="Arial" w:hAnsi="Arial" w:cs="Arial"/>
          <w:sz w:val="22"/>
          <w:szCs w:val="22"/>
        </w:rPr>
        <w:t>i</w:t>
      </w:r>
      <w:r w:rsidR="001F0C1D" w:rsidRPr="00640F60">
        <w:rPr>
          <w:rFonts w:ascii="Arial" w:hAnsi="Arial" w:cs="Arial"/>
          <w:sz w:val="22"/>
          <w:szCs w:val="22"/>
        </w:rPr>
        <w:t xml:space="preserve"> foglalkoztatás</w:t>
      </w:r>
      <w:r w:rsidR="00C04312" w:rsidRPr="00640F60">
        <w:rPr>
          <w:rFonts w:ascii="Arial" w:hAnsi="Arial" w:cs="Arial"/>
          <w:sz w:val="22"/>
          <w:szCs w:val="22"/>
        </w:rPr>
        <w:t>nál, így 33,5 fővel</w:t>
      </w:r>
      <w:r w:rsidR="001F0C1D" w:rsidRPr="00640F60">
        <w:rPr>
          <w:rFonts w:ascii="Arial" w:hAnsi="Arial" w:cs="Arial"/>
          <w:sz w:val="22"/>
          <w:szCs w:val="22"/>
        </w:rPr>
        <w:t xml:space="preserve"> terveztün</w:t>
      </w:r>
      <w:r w:rsidR="00C04312" w:rsidRPr="00640F60">
        <w:rPr>
          <w:rFonts w:ascii="Arial" w:hAnsi="Arial" w:cs="Arial"/>
          <w:sz w:val="22"/>
          <w:szCs w:val="22"/>
        </w:rPr>
        <w:t>k.</w:t>
      </w:r>
      <w:r w:rsidR="001F0C1D" w:rsidRPr="00640F60">
        <w:rPr>
          <w:rFonts w:ascii="Arial" w:hAnsi="Arial" w:cs="Arial"/>
          <w:sz w:val="22"/>
          <w:szCs w:val="22"/>
        </w:rPr>
        <w:t xml:space="preserve"> </w:t>
      </w:r>
      <w:r w:rsidR="00C04312" w:rsidRPr="00640F60">
        <w:rPr>
          <w:rFonts w:ascii="Arial" w:hAnsi="Arial" w:cs="Arial"/>
          <w:sz w:val="22"/>
          <w:szCs w:val="22"/>
        </w:rPr>
        <w:t>Emellett az elmúlt évek gyakorlatához igazodóan</w:t>
      </w:r>
      <w:r w:rsidR="001F0C1D" w:rsidRPr="00640F60">
        <w:rPr>
          <w:rFonts w:ascii="Arial" w:hAnsi="Arial" w:cs="Arial"/>
          <w:sz w:val="22"/>
          <w:szCs w:val="22"/>
        </w:rPr>
        <w:t xml:space="preserve"> 1</w:t>
      </w:r>
      <w:r w:rsidRPr="00640F60">
        <w:rPr>
          <w:rFonts w:ascii="Arial" w:hAnsi="Arial" w:cs="Arial"/>
          <w:sz w:val="22"/>
          <w:szCs w:val="22"/>
        </w:rPr>
        <w:t xml:space="preserve"> fő 4 </w:t>
      </w:r>
      <w:r w:rsidR="001F0C1D" w:rsidRPr="00640F60">
        <w:rPr>
          <w:rFonts w:ascii="Arial" w:hAnsi="Arial" w:cs="Arial"/>
          <w:sz w:val="22"/>
          <w:szCs w:val="22"/>
        </w:rPr>
        <w:t xml:space="preserve">órás </w:t>
      </w:r>
      <w:r w:rsidRPr="00640F60">
        <w:rPr>
          <w:rFonts w:ascii="Arial" w:hAnsi="Arial" w:cs="Arial"/>
          <w:sz w:val="22"/>
          <w:szCs w:val="22"/>
        </w:rPr>
        <w:t xml:space="preserve">és </w:t>
      </w:r>
      <w:r w:rsidR="001F0C1D" w:rsidRPr="00640F60">
        <w:rPr>
          <w:rFonts w:ascii="Arial" w:hAnsi="Arial" w:cs="Arial"/>
          <w:sz w:val="22"/>
          <w:szCs w:val="22"/>
        </w:rPr>
        <w:t xml:space="preserve">1 fő </w:t>
      </w:r>
      <w:r w:rsidRPr="00640F60">
        <w:rPr>
          <w:rFonts w:ascii="Arial" w:hAnsi="Arial" w:cs="Arial"/>
          <w:sz w:val="22"/>
          <w:szCs w:val="22"/>
        </w:rPr>
        <w:t xml:space="preserve">5 órás Munka törvénykönyve alapján foglalkoztatott </w:t>
      </w:r>
      <w:r w:rsidR="00C04312" w:rsidRPr="00640F60">
        <w:rPr>
          <w:rFonts w:ascii="Arial" w:hAnsi="Arial" w:cs="Arial"/>
          <w:sz w:val="22"/>
          <w:szCs w:val="22"/>
        </w:rPr>
        <w:t xml:space="preserve">megváltozott munkaképességű </w:t>
      </w:r>
      <w:r w:rsidRPr="00640F60">
        <w:rPr>
          <w:rFonts w:ascii="Arial" w:hAnsi="Arial" w:cs="Arial"/>
          <w:sz w:val="22"/>
          <w:szCs w:val="22"/>
        </w:rPr>
        <w:t>munkatárssal</w:t>
      </w:r>
      <w:r w:rsidR="00C04312" w:rsidRPr="00640F60">
        <w:rPr>
          <w:rFonts w:ascii="Arial" w:hAnsi="Arial" w:cs="Arial"/>
          <w:sz w:val="22"/>
          <w:szCs w:val="22"/>
        </w:rPr>
        <w:t xml:space="preserve"> </w:t>
      </w:r>
      <w:r w:rsidR="00C04312" w:rsidRPr="00DB143E">
        <w:rPr>
          <w:rFonts w:ascii="Arial" w:hAnsi="Arial" w:cs="Arial"/>
          <w:sz w:val="22"/>
          <w:szCs w:val="22"/>
        </w:rPr>
        <w:t>számoltunk</w:t>
      </w:r>
      <w:r w:rsidR="00DB143E">
        <w:rPr>
          <w:rFonts w:ascii="Arial" w:hAnsi="Arial" w:cs="Arial"/>
          <w:sz w:val="22"/>
          <w:szCs w:val="22"/>
        </w:rPr>
        <w:t>.</w:t>
      </w:r>
      <w:r w:rsidRPr="00DB143E">
        <w:rPr>
          <w:rFonts w:ascii="Arial" w:hAnsi="Arial" w:cs="Arial"/>
          <w:sz w:val="22"/>
          <w:szCs w:val="22"/>
        </w:rPr>
        <w:t xml:space="preserve"> </w:t>
      </w:r>
      <w:r w:rsidR="00DB143E" w:rsidRPr="00DB143E">
        <w:rPr>
          <w:rFonts w:ascii="Arial" w:hAnsi="Arial" w:cs="Arial"/>
          <w:sz w:val="22"/>
          <w:szCs w:val="22"/>
        </w:rPr>
        <w:t>A kiadások tervezésénél prioritásként kezel</w:t>
      </w:r>
      <w:r w:rsidR="00DB143E">
        <w:rPr>
          <w:rFonts w:ascii="Arial" w:hAnsi="Arial" w:cs="Arial"/>
          <w:sz w:val="22"/>
          <w:szCs w:val="22"/>
        </w:rPr>
        <w:t xml:space="preserve">te </w:t>
      </w:r>
      <w:r w:rsidR="00DB143E" w:rsidRPr="00DB143E">
        <w:rPr>
          <w:rFonts w:ascii="Arial" w:hAnsi="Arial" w:cs="Arial"/>
          <w:sz w:val="22"/>
          <w:szCs w:val="22"/>
        </w:rPr>
        <w:t>a javaslat a dolgozói keresetek reálérték csökkenésének enyhítése érdekében juttatandó béremelést, melyre a 2024. decemberi havi bérek figyelembevételével a középiskolai végzettségű beosztott dolgozók vonatkozásában bruttó 30 000 Ft/fő/hó, a felsőfokú végzettségűek esetén bruttó 50 000 Ft/fő/hó, a vezetői bérek esetén mintegy 60 000 Ft/fő/hó összegű emelésnek megfelelő forrás áll rendelkezésre</w:t>
      </w:r>
      <w:r w:rsidR="00DB143E">
        <w:rPr>
          <w:rFonts w:ascii="Arial" w:hAnsi="Arial" w:cs="Arial"/>
          <w:sz w:val="22"/>
          <w:szCs w:val="22"/>
        </w:rPr>
        <w:t xml:space="preserve">. </w:t>
      </w:r>
      <w:r w:rsidR="00471A08" w:rsidRPr="0019528C">
        <w:rPr>
          <w:rFonts w:ascii="Arial" w:hAnsi="Arial" w:cs="Arial"/>
          <w:sz w:val="22"/>
          <w:szCs w:val="22"/>
        </w:rPr>
        <w:t>Az évben</w:t>
      </w:r>
      <w:r w:rsidR="0056555E" w:rsidRPr="0019528C">
        <w:rPr>
          <w:rFonts w:ascii="Arial" w:hAnsi="Arial" w:cs="Arial"/>
          <w:sz w:val="22"/>
          <w:szCs w:val="22"/>
        </w:rPr>
        <w:t xml:space="preserve"> végkielégítés </w:t>
      </w:r>
      <w:r w:rsidR="00471A08" w:rsidRPr="0019528C">
        <w:rPr>
          <w:rFonts w:ascii="Arial" w:hAnsi="Arial" w:cs="Arial"/>
          <w:sz w:val="22"/>
          <w:szCs w:val="22"/>
        </w:rPr>
        <w:t xml:space="preserve">nem </w:t>
      </w:r>
      <w:r w:rsidR="0056555E" w:rsidRPr="0019528C">
        <w:rPr>
          <w:rFonts w:ascii="Arial" w:hAnsi="Arial" w:cs="Arial"/>
          <w:sz w:val="22"/>
          <w:szCs w:val="22"/>
        </w:rPr>
        <w:t>merül fe</w:t>
      </w:r>
      <w:r w:rsidR="00471A08" w:rsidRPr="0019528C">
        <w:rPr>
          <w:rFonts w:ascii="Arial" w:hAnsi="Arial" w:cs="Arial"/>
          <w:sz w:val="22"/>
          <w:szCs w:val="22"/>
        </w:rPr>
        <w:t>l,</w:t>
      </w:r>
      <w:r w:rsidR="0056555E" w:rsidRPr="0019528C">
        <w:rPr>
          <w:rFonts w:ascii="Arial" w:hAnsi="Arial" w:cs="Arial"/>
          <w:sz w:val="22"/>
          <w:szCs w:val="22"/>
        </w:rPr>
        <w:t xml:space="preserve"> jubileumi jutalom kifizetés</w:t>
      </w:r>
      <w:r w:rsidR="00DB143E" w:rsidRPr="0019528C">
        <w:rPr>
          <w:rFonts w:ascii="Arial" w:hAnsi="Arial" w:cs="Arial"/>
          <w:sz w:val="22"/>
          <w:szCs w:val="22"/>
        </w:rPr>
        <w:t xml:space="preserve">re sem kerül sor. A </w:t>
      </w:r>
      <w:proofErr w:type="spellStart"/>
      <w:r w:rsidR="0056555E" w:rsidRPr="0019528C">
        <w:rPr>
          <w:rFonts w:ascii="Arial" w:hAnsi="Arial" w:cs="Arial"/>
          <w:sz w:val="22"/>
          <w:szCs w:val="22"/>
        </w:rPr>
        <w:t>cafetéria</w:t>
      </w:r>
      <w:proofErr w:type="spellEnd"/>
      <w:r w:rsidR="0056555E" w:rsidRPr="0019528C">
        <w:rPr>
          <w:rFonts w:ascii="Arial" w:hAnsi="Arial" w:cs="Arial"/>
          <w:sz w:val="22"/>
          <w:szCs w:val="22"/>
        </w:rPr>
        <w:t xml:space="preserve"> juttatás </w:t>
      </w:r>
      <w:r w:rsidR="00DB143E" w:rsidRPr="0019528C">
        <w:rPr>
          <w:rFonts w:ascii="Arial" w:hAnsi="Arial" w:cs="Arial"/>
          <w:sz w:val="22"/>
          <w:szCs w:val="22"/>
        </w:rPr>
        <w:t>tekintetében</w:t>
      </w:r>
      <w:r w:rsidR="0056555E" w:rsidRPr="0019528C">
        <w:rPr>
          <w:rFonts w:ascii="Arial" w:hAnsi="Arial" w:cs="Arial"/>
          <w:sz w:val="22"/>
          <w:szCs w:val="22"/>
        </w:rPr>
        <w:t xml:space="preserve">, bruttó </w:t>
      </w:r>
      <w:r w:rsidR="00DB143E" w:rsidRPr="0019528C">
        <w:rPr>
          <w:rFonts w:ascii="Arial" w:hAnsi="Arial" w:cs="Arial"/>
          <w:sz w:val="22"/>
          <w:szCs w:val="22"/>
        </w:rPr>
        <w:t>30</w:t>
      </w:r>
      <w:r w:rsidR="0056555E" w:rsidRPr="0019528C">
        <w:rPr>
          <w:rFonts w:ascii="Arial" w:hAnsi="Arial" w:cs="Arial"/>
          <w:sz w:val="22"/>
          <w:szCs w:val="22"/>
        </w:rPr>
        <w:t>0 000 Ft/fő</w:t>
      </w:r>
      <w:r w:rsidR="0019528C" w:rsidRPr="0019528C">
        <w:rPr>
          <w:rFonts w:ascii="Arial" w:hAnsi="Arial" w:cs="Arial"/>
          <w:sz w:val="22"/>
          <w:szCs w:val="22"/>
        </w:rPr>
        <w:t>/év</w:t>
      </w:r>
      <w:r w:rsidR="0056555E" w:rsidRPr="0019528C">
        <w:rPr>
          <w:rFonts w:ascii="Arial" w:hAnsi="Arial" w:cs="Arial"/>
          <w:sz w:val="22"/>
          <w:szCs w:val="22"/>
        </w:rPr>
        <w:t xml:space="preserve"> </w:t>
      </w:r>
      <w:r w:rsidR="00953D48" w:rsidRPr="0019528C">
        <w:rPr>
          <w:rFonts w:ascii="Arial" w:hAnsi="Arial" w:cs="Arial"/>
          <w:sz w:val="22"/>
          <w:szCs w:val="22"/>
        </w:rPr>
        <w:t>kerettel</w:t>
      </w:r>
      <w:r w:rsidR="00DB143E" w:rsidRPr="0019528C">
        <w:rPr>
          <w:rFonts w:ascii="Arial" w:hAnsi="Arial" w:cs="Arial"/>
          <w:sz w:val="22"/>
          <w:szCs w:val="22"/>
        </w:rPr>
        <w:t xml:space="preserve"> számolunk</w:t>
      </w:r>
      <w:r w:rsidR="00953D48" w:rsidRPr="0019528C">
        <w:rPr>
          <w:rFonts w:ascii="Arial" w:hAnsi="Arial" w:cs="Arial"/>
          <w:sz w:val="22"/>
          <w:szCs w:val="22"/>
        </w:rPr>
        <w:t xml:space="preserve">, </w:t>
      </w:r>
      <w:r w:rsidR="00DB143E" w:rsidRPr="0019528C">
        <w:rPr>
          <w:rFonts w:ascii="Arial" w:hAnsi="Arial" w:cs="Arial"/>
          <w:sz w:val="22"/>
          <w:szCs w:val="22"/>
        </w:rPr>
        <w:t xml:space="preserve">mely </w:t>
      </w:r>
      <w:r w:rsidR="0056555E" w:rsidRPr="0019528C">
        <w:rPr>
          <w:rFonts w:ascii="Arial" w:hAnsi="Arial" w:cs="Arial"/>
          <w:sz w:val="22"/>
          <w:szCs w:val="22"/>
        </w:rPr>
        <w:t>az előző évi mérték</w:t>
      </w:r>
      <w:r w:rsidR="00DB143E" w:rsidRPr="0019528C">
        <w:rPr>
          <w:rFonts w:ascii="Arial" w:hAnsi="Arial" w:cs="Arial"/>
          <w:sz w:val="22"/>
          <w:szCs w:val="22"/>
        </w:rPr>
        <w:t>hez képest bruttó 50 000 Ft/fő/év emelést jelent.</w:t>
      </w:r>
      <w:r w:rsidR="0056555E" w:rsidRPr="0019528C">
        <w:rPr>
          <w:rFonts w:ascii="Arial" w:hAnsi="Arial" w:cs="Arial"/>
          <w:sz w:val="22"/>
          <w:szCs w:val="22"/>
        </w:rPr>
        <w:t xml:space="preserve"> A munkába járással kapcsolatos költségtérítést az előző év</w:t>
      </w:r>
      <w:r w:rsidR="0019528C" w:rsidRPr="0019528C">
        <w:rPr>
          <w:rFonts w:ascii="Arial" w:hAnsi="Arial" w:cs="Arial"/>
          <w:sz w:val="22"/>
          <w:szCs w:val="22"/>
        </w:rPr>
        <w:t xml:space="preserve"> tapasztalati adatai alapján </w:t>
      </w:r>
      <w:r w:rsidR="0056555E" w:rsidRPr="0019528C">
        <w:rPr>
          <w:rFonts w:ascii="Arial" w:hAnsi="Arial" w:cs="Arial"/>
          <w:sz w:val="22"/>
          <w:szCs w:val="22"/>
        </w:rPr>
        <w:t xml:space="preserve">szerepeltettük, </w:t>
      </w:r>
      <w:r w:rsidR="00953D48" w:rsidRPr="0019528C">
        <w:rPr>
          <w:rFonts w:ascii="Arial" w:hAnsi="Arial" w:cs="Arial"/>
          <w:sz w:val="22"/>
          <w:szCs w:val="22"/>
        </w:rPr>
        <w:t>a saját gépkocsival történő munkába járás költségtérítésénél minden érintett dolgozó esetén egységesen a jogszabály szerint adómentesen adható 30 Ft/km tétellel kalkuláltunk</w:t>
      </w:r>
      <w:r w:rsidR="0019528C" w:rsidRPr="0019528C">
        <w:rPr>
          <w:rFonts w:ascii="Arial" w:hAnsi="Arial" w:cs="Arial"/>
          <w:sz w:val="22"/>
          <w:szCs w:val="22"/>
        </w:rPr>
        <w:t>, ugyanúgy, mint a 2024.évben</w:t>
      </w:r>
      <w:r w:rsidR="00953D48" w:rsidRPr="00D312AD">
        <w:rPr>
          <w:rFonts w:ascii="Arial" w:hAnsi="Arial" w:cs="Arial"/>
          <w:sz w:val="22"/>
          <w:szCs w:val="22"/>
        </w:rPr>
        <w:t xml:space="preserve">. </w:t>
      </w:r>
      <w:r w:rsidR="0056555E" w:rsidRPr="00D312AD">
        <w:rPr>
          <w:rFonts w:ascii="Arial" w:hAnsi="Arial" w:cs="Arial"/>
          <w:sz w:val="22"/>
          <w:szCs w:val="22"/>
        </w:rPr>
        <w:t xml:space="preserve">Az egyéb költségtérítésekre (szemüveg, telefon, bankszámla), továbbá egyéb bér juttatásokra (egyéb szociális juttatás, betegszabadság, bérkompenzáció) az előző év előirányzata szerinti összeg került beállításra. A megbízási díjak előirányzatát a TOP </w:t>
      </w:r>
      <w:r w:rsidR="00EC0453" w:rsidRPr="00D312AD">
        <w:rPr>
          <w:rFonts w:ascii="Arial" w:hAnsi="Arial" w:cs="Arial"/>
          <w:sz w:val="22"/>
          <w:szCs w:val="22"/>
        </w:rPr>
        <w:t xml:space="preserve">és a TOP Plusz </w:t>
      </w:r>
      <w:r w:rsidR="0056555E" w:rsidRPr="00D312AD">
        <w:rPr>
          <w:rFonts w:ascii="Arial" w:hAnsi="Arial" w:cs="Arial"/>
          <w:sz w:val="22"/>
          <w:szCs w:val="22"/>
        </w:rPr>
        <w:t>pályázatból kifizethető összeggel növelten terveztük</w:t>
      </w:r>
      <w:r w:rsidR="00D312AD" w:rsidRPr="00D312AD">
        <w:rPr>
          <w:rFonts w:ascii="Arial" w:hAnsi="Arial" w:cs="Arial"/>
          <w:sz w:val="22"/>
          <w:szCs w:val="22"/>
        </w:rPr>
        <w:t>.</w:t>
      </w:r>
      <w:r w:rsidR="0056555E" w:rsidRPr="00D312AD">
        <w:rPr>
          <w:rFonts w:ascii="Arial" w:hAnsi="Arial" w:cs="Arial"/>
          <w:sz w:val="22"/>
          <w:szCs w:val="22"/>
        </w:rPr>
        <w:t xml:space="preserve"> </w:t>
      </w:r>
    </w:p>
    <w:p w14:paraId="2C70D9CA" w14:textId="42F054E2" w:rsidR="00B84896" w:rsidRPr="00D312AD" w:rsidRDefault="00B84896" w:rsidP="006325C2">
      <w:pPr>
        <w:suppressAutoHyphens/>
        <w:overflowPunct w:val="0"/>
        <w:autoSpaceDE w:val="0"/>
        <w:spacing w:line="276" w:lineRule="auto"/>
        <w:jc w:val="both"/>
        <w:textAlignment w:val="baseline"/>
        <w:rPr>
          <w:rFonts w:ascii="Arial" w:hAnsi="Arial" w:cs="Arial"/>
          <w:sz w:val="22"/>
          <w:szCs w:val="22"/>
        </w:rPr>
      </w:pPr>
      <w:r w:rsidRPr="00B84896">
        <w:rPr>
          <w:rFonts w:ascii="Arial" w:hAnsi="Arial" w:cs="Arial"/>
          <w:sz w:val="22"/>
          <w:szCs w:val="22"/>
        </w:rPr>
        <w:t xml:space="preserve">A személyi juttatások </w:t>
      </w:r>
      <w:r w:rsidR="00CF4253">
        <w:rPr>
          <w:rFonts w:ascii="Arial" w:hAnsi="Arial" w:cs="Arial"/>
          <w:sz w:val="22"/>
          <w:szCs w:val="22"/>
        </w:rPr>
        <w:t xml:space="preserve">2025. évi </w:t>
      </w:r>
      <w:r w:rsidRPr="00B84896">
        <w:rPr>
          <w:rFonts w:ascii="Arial" w:hAnsi="Arial" w:cs="Arial"/>
          <w:sz w:val="22"/>
          <w:szCs w:val="22"/>
        </w:rPr>
        <w:t>eredeti előirányzata 232 033 228 Ft, ez mintegy 38,7 millió Ft növekedést jelent az előző évi eredeti előirányzathoz képest.</w:t>
      </w:r>
    </w:p>
    <w:p w14:paraId="33202F80" w14:textId="77777777" w:rsidR="006325C2" w:rsidRPr="00A82F71" w:rsidRDefault="006325C2" w:rsidP="006325C2">
      <w:pPr>
        <w:spacing w:line="276" w:lineRule="auto"/>
        <w:jc w:val="both"/>
        <w:rPr>
          <w:rFonts w:ascii="Arial" w:hAnsi="Arial" w:cs="Arial"/>
          <w:sz w:val="22"/>
          <w:szCs w:val="22"/>
          <w:highlight w:val="yellow"/>
        </w:rPr>
      </w:pPr>
    </w:p>
    <w:p w14:paraId="6EBFDC71" w14:textId="3A94957C" w:rsidR="006325C2" w:rsidRPr="008757CD" w:rsidRDefault="006325C2" w:rsidP="00194AD3">
      <w:pPr>
        <w:suppressAutoHyphens/>
        <w:overflowPunct w:val="0"/>
        <w:autoSpaceDE w:val="0"/>
        <w:spacing w:line="276" w:lineRule="auto"/>
        <w:jc w:val="both"/>
        <w:textAlignment w:val="baseline"/>
        <w:rPr>
          <w:rFonts w:ascii="Arial" w:hAnsi="Arial" w:cs="Arial"/>
          <w:sz w:val="22"/>
          <w:szCs w:val="22"/>
        </w:rPr>
      </w:pPr>
      <w:r w:rsidRPr="008757CD">
        <w:rPr>
          <w:rFonts w:ascii="Arial" w:hAnsi="Arial" w:cs="Arial"/>
          <w:b/>
          <w:bCs/>
          <w:sz w:val="22"/>
          <w:szCs w:val="22"/>
          <w:u w:val="single"/>
        </w:rPr>
        <w:t>K</w:t>
      </w:r>
      <w:r w:rsidR="00576BB2" w:rsidRPr="008757CD">
        <w:rPr>
          <w:rFonts w:ascii="Arial" w:hAnsi="Arial" w:cs="Arial"/>
          <w:b/>
          <w:bCs/>
          <w:sz w:val="22"/>
          <w:szCs w:val="22"/>
          <w:u w:val="single"/>
        </w:rPr>
        <w:t>eresztély Gyula Városi Könyvtár</w:t>
      </w:r>
      <w:r w:rsidR="00576BB2" w:rsidRPr="008757CD">
        <w:rPr>
          <w:rFonts w:ascii="Arial" w:hAnsi="Arial" w:cs="Arial"/>
          <w:b/>
          <w:bCs/>
          <w:sz w:val="22"/>
          <w:szCs w:val="22"/>
        </w:rPr>
        <w:t>nál</w:t>
      </w:r>
      <w:r w:rsidR="00576BB2" w:rsidRPr="008757CD">
        <w:rPr>
          <w:rFonts w:ascii="Arial" w:hAnsi="Arial" w:cs="Arial"/>
          <w:sz w:val="22"/>
          <w:szCs w:val="22"/>
        </w:rPr>
        <w:t xml:space="preserve"> a 202</w:t>
      </w:r>
      <w:r w:rsidR="008757CD" w:rsidRPr="008757CD">
        <w:rPr>
          <w:rFonts w:ascii="Arial" w:hAnsi="Arial" w:cs="Arial"/>
          <w:sz w:val="22"/>
          <w:szCs w:val="22"/>
        </w:rPr>
        <w:t>4</w:t>
      </w:r>
      <w:r w:rsidR="00576BB2" w:rsidRPr="008757CD">
        <w:rPr>
          <w:rFonts w:ascii="Arial" w:hAnsi="Arial" w:cs="Arial"/>
          <w:sz w:val="22"/>
          <w:szCs w:val="22"/>
        </w:rPr>
        <w:t>. évben a két munkatárs foglalkoztatásához kapcsolódó személyi jellegű kiadások eredeti előirányzata</w:t>
      </w:r>
      <w:r w:rsidR="00DC6CC1" w:rsidRPr="008757CD">
        <w:rPr>
          <w:rFonts w:ascii="Arial" w:hAnsi="Arial" w:cs="Arial"/>
          <w:sz w:val="22"/>
          <w:szCs w:val="22"/>
        </w:rPr>
        <w:t xml:space="preserve"> </w:t>
      </w:r>
      <w:r w:rsidR="008757CD" w:rsidRPr="008757CD">
        <w:rPr>
          <w:rFonts w:ascii="Arial" w:hAnsi="Arial" w:cs="Arial"/>
          <w:sz w:val="22"/>
          <w:szCs w:val="22"/>
        </w:rPr>
        <w:t>10 554 000</w:t>
      </w:r>
      <w:r w:rsidR="00DC6CC1" w:rsidRPr="008757CD">
        <w:rPr>
          <w:rFonts w:ascii="Arial" w:hAnsi="Arial" w:cs="Arial"/>
          <w:sz w:val="22"/>
          <w:szCs w:val="22"/>
        </w:rPr>
        <w:t>Ft volt.  A 202</w:t>
      </w:r>
      <w:r w:rsidR="008757CD" w:rsidRPr="008757CD">
        <w:rPr>
          <w:rFonts w:ascii="Arial" w:hAnsi="Arial" w:cs="Arial"/>
          <w:sz w:val="22"/>
          <w:szCs w:val="22"/>
        </w:rPr>
        <w:t>5</w:t>
      </w:r>
      <w:r w:rsidR="00DC6CC1" w:rsidRPr="008757CD">
        <w:rPr>
          <w:rFonts w:ascii="Arial" w:hAnsi="Arial" w:cs="Arial"/>
          <w:sz w:val="22"/>
          <w:szCs w:val="22"/>
        </w:rPr>
        <w:t>. év</w:t>
      </w:r>
      <w:r w:rsidR="008757CD" w:rsidRPr="008757CD">
        <w:rPr>
          <w:rFonts w:ascii="Arial" w:hAnsi="Arial" w:cs="Arial"/>
          <w:sz w:val="22"/>
          <w:szCs w:val="22"/>
        </w:rPr>
        <w:t>ben az elfogadott bruttó béremeléssel (beosztott dolgozó esetén bruttó 30 000 Ft/fő/hó, vezető esetén bruttó 40 000 Ft/fő/hó)</w:t>
      </w:r>
      <w:r w:rsidR="00DC6CC1" w:rsidRPr="008757CD">
        <w:rPr>
          <w:rFonts w:ascii="Arial" w:hAnsi="Arial" w:cs="Arial"/>
          <w:sz w:val="22"/>
          <w:szCs w:val="22"/>
        </w:rPr>
        <w:t xml:space="preserve"> </w:t>
      </w:r>
      <w:r w:rsidR="008757CD" w:rsidRPr="008757CD">
        <w:rPr>
          <w:rFonts w:ascii="Arial" w:hAnsi="Arial" w:cs="Arial"/>
          <w:sz w:val="22"/>
          <w:szCs w:val="22"/>
        </w:rPr>
        <w:t xml:space="preserve">számoltunk. </w:t>
      </w:r>
      <w:r w:rsidR="00DC6CC1" w:rsidRPr="008757CD">
        <w:rPr>
          <w:rFonts w:ascii="Arial" w:hAnsi="Arial" w:cs="Arial"/>
          <w:sz w:val="22"/>
          <w:szCs w:val="22"/>
        </w:rPr>
        <w:t xml:space="preserve">A megemelt bértömeg éves szinten </w:t>
      </w:r>
      <w:r w:rsidR="008757CD" w:rsidRPr="008757CD">
        <w:rPr>
          <w:rFonts w:ascii="Arial" w:hAnsi="Arial" w:cs="Arial"/>
          <w:sz w:val="22"/>
          <w:szCs w:val="22"/>
        </w:rPr>
        <w:t>11 203 520</w:t>
      </w:r>
      <w:r w:rsidR="00DC6CC1" w:rsidRPr="008757CD">
        <w:rPr>
          <w:rFonts w:ascii="Arial" w:hAnsi="Arial" w:cs="Arial"/>
          <w:sz w:val="22"/>
          <w:szCs w:val="22"/>
        </w:rPr>
        <w:t xml:space="preserve"> Ft kiadást jelent</w:t>
      </w:r>
      <w:r w:rsidR="008757CD" w:rsidRPr="008757CD">
        <w:rPr>
          <w:rFonts w:ascii="Arial" w:hAnsi="Arial" w:cs="Arial"/>
          <w:sz w:val="22"/>
          <w:szCs w:val="22"/>
        </w:rPr>
        <w:t>, ami 649 520 Ft többletforrás biztosításá</w:t>
      </w:r>
      <w:r w:rsidR="008757CD">
        <w:rPr>
          <w:rFonts w:ascii="Arial" w:hAnsi="Arial" w:cs="Arial"/>
          <w:sz w:val="22"/>
          <w:szCs w:val="22"/>
        </w:rPr>
        <w:t>val jár együtt.</w:t>
      </w:r>
    </w:p>
    <w:p w14:paraId="2743018C" w14:textId="77777777" w:rsidR="00850894" w:rsidRPr="00A82F71" w:rsidRDefault="00850894" w:rsidP="006325C2">
      <w:pPr>
        <w:jc w:val="both"/>
        <w:rPr>
          <w:rFonts w:ascii="Arial" w:hAnsi="Arial" w:cs="Arial"/>
          <w:b/>
          <w:sz w:val="22"/>
          <w:szCs w:val="22"/>
          <w:highlight w:val="yellow"/>
          <w:u w:val="single"/>
        </w:rPr>
      </w:pPr>
    </w:p>
    <w:p w14:paraId="05F4D532" w14:textId="77777777" w:rsidR="00850894" w:rsidRPr="00A82F71" w:rsidRDefault="00850894" w:rsidP="006325C2">
      <w:pPr>
        <w:jc w:val="both"/>
        <w:rPr>
          <w:rFonts w:ascii="Arial" w:hAnsi="Arial" w:cs="Arial"/>
          <w:b/>
          <w:sz w:val="22"/>
          <w:szCs w:val="22"/>
          <w:highlight w:val="yellow"/>
          <w:u w:val="single"/>
        </w:rPr>
      </w:pPr>
    </w:p>
    <w:p w14:paraId="6D18D48F" w14:textId="49436B4D" w:rsidR="006325C2" w:rsidRPr="00BC0246" w:rsidRDefault="006325C2" w:rsidP="006325C2">
      <w:pPr>
        <w:jc w:val="both"/>
        <w:rPr>
          <w:rFonts w:ascii="Arial" w:hAnsi="Arial" w:cs="Arial"/>
          <w:b/>
          <w:sz w:val="22"/>
          <w:szCs w:val="22"/>
          <w:u w:val="single"/>
        </w:rPr>
      </w:pPr>
      <w:r w:rsidRPr="00BC0246">
        <w:rPr>
          <w:rFonts w:ascii="Arial" w:hAnsi="Arial" w:cs="Arial"/>
          <w:b/>
          <w:sz w:val="22"/>
          <w:szCs w:val="22"/>
          <w:u w:val="single"/>
        </w:rPr>
        <w:t>Munkaadót terhelő járulékok</w:t>
      </w:r>
      <w:r w:rsidR="00BF58A4" w:rsidRPr="00BC0246">
        <w:rPr>
          <w:rFonts w:ascii="Arial" w:hAnsi="Arial" w:cs="Arial"/>
          <w:b/>
          <w:sz w:val="22"/>
          <w:szCs w:val="22"/>
          <w:u w:val="single"/>
        </w:rPr>
        <w:t xml:space="preserve"> és szociális hozzájárulási adó előirányzata</w:t>
      </w:r>
      <w:r w:rsidR="009B77F4" w:rsidRPr="00BC0246">
        <w:rPr>
          <w:u w:val="single"/>
        </w:rPr>
        <w:t xml:space="preserve"> </w:t>
      </w:r>
      <w:r w:rsidR="00225C62" w:rsidRPr="00DF7D1C">
        <w:rPr>
          <w:rFonts w:ascii="Arial" w:hAnsi="Arial" w:cs="Arial"/>
          <w:sz w:val="22"/>
          <w:szCs w:val="22"/>
        </w:rPr>
        <w:t>42 375 166</w:t>
      </w:r>
      <w:r w:rsidR="00BF58A4" w:rsidRPr="00DF7D1C">
        <w:rPr>
          <w:rFonts w:ascii="Arial" w:hAnsi="Arial" w:cs="Arial"/>
          <w:sz w:val="22"/>
          <w:szCs w:val="22"/>
        </w:rPr>
        <w:t xml:space="preserve"> Ft.</w:t>
      </w:r>
      <w:r w:rsidRPr="00DF7D1C">
        <w:rPr>
          <w:rFonts w:ascii="Arial" w:hAnsi="Arial" w:cs="Arial"/>
          <w:b/>
          <w:sz w:val="22"/>
          <w:szCs w:val="22"/>
          <w:u w:val="single"/>
        </w:rPr>
        <w:t xml:space="preserve"> </w:t>
      </w:r>
    </w:p>
    <w:p w14:paraId="6C9F5C1F" w14:textId="77777777" w:rsidR="006325C2" w:rsidRPr="00BC0246" w:rsidRDefault="006325C2" w:rsidP="006325C2">
      <w:pPr>
        <w:jc w:val="both"/>
        <w:rPr>
          <w:rFonts w:ascii="Arial" w:hAnsi="Arial" w:cs="Arial"/>
          <w:b/>
          <w:sz w:val="22"/>
          <w:szCs w:val="22"/>
          <w:u w:val="single"/>
        </w:rPr>
      </w:pPr>
    </w:p>
    <w:p w14:paraId="389DF9F0" w14:textId="5351A07A" w:rsidR="006325C2" w:rsidRPr="00BC0246" w:rsidRDefault="006325C2" w:rsidP="006325C2">
      <w:pPr>
        <w:jc w:val="both"/>
        <w:rPr>
          <w:rFonts w:ascii="Arial" w:hAnsi="Arial" w:cs="Arial"/>
          <w:sz w:val="22"/>
          <w:szCs w:val="22"/>
        </w:rPr>
      </w:pPr>
      <w:r w:rsidRPr="00BC0246">
        <w:rPr>
          <w:rFonts w:ascii="Arial" w:hAnsi="Arial" w:cs="Arial"/>
          <w:sz w:val="22"/>
          <w:szCs w:val="22"/>
        </w:rPr>
        <w:t xml:space="preserve">A személyi juttatások soron megjelenő összegek munkaadót terhelő járulékai és a szociális hozzájárulási adó összege ezen a soron került betervezésre a törvényi </w:t>
      </w:r>
      <w:r w:rsidR="00C45C6A" w:rsidRPr="00BC0246">
        <w:rPr>
          <w:rFonts w:ascii="Arial" w:hAnsi="Arial" w:cs="Arial"/>
          <w:sz w:val="22"/>
          <w:szCs w:val="22"/>
        </w:rPr>
        <w:t>előírásoknak megfelelően. A 202</w:t>
      </w:r>
      <w:r w:rsidR="00BC0246" w:rsidRPr="00BC0246">
        <w:rPr>
          <w:rFonts w:ascii="Arial" w:hAnsi="Arial" w:cs="Arial"/>
          <w:sz w:val="22"/>
          <w:szCs w:val="22"/>
        </w:rPr>
        <w:t>4</w:t>
      </w:r>
      <w:r w:rsidRPr="00BC0246">
        <w:rPr>
          <w:rFonts w:ascii="Arial" w:hAnsi="Arial" w:cs="Arial"/>
          <w:sz w:val="22"/>
          <w:szCs w:val="22"/>
        </w:rPr>
        <w:t xml:space="preserve">. évihez képest </w:t>
      </w:r>
      <w:r w:rsidR="00C45C6A" w:rsidRPr="00BC0246">
        <w:rPr>
          <w:rFonts w:ascii="Arial" w:hAnsi="Arial" w:cs="Arial"/>
          <w:sz w:val="22"/>
          <w:szCs w:val="22"/>
        </w:rPr>
        <w:t>a mértéke nem változott, továbbra 13 %.</w:t>
      </w:r>
    </w:p>
    <w:p w14:paraId="1F8A3C96" w14:textId="77777777" w:rsidR="006325C2" w:rsidRPr="00BC0246" w:rsidRDefault="006325C2" w:rsidP="006325C2">
      <w:pPr>
        <w:jc w:val="both"/>
        <w:rPr>
          <w:rFonts w:ascii="Arial" w:hAnsi="Arial" w:cs="Arial"/>
          <w:sz w:val="22"/>
          <w:szCs w:val="22"/>
        </w:rPr>
      </w:pPr>
    </w:p>
    <w:p w14:paraId="52B4520D" w14:textId="6EB7928B" w:rsidR="00217B03" w:rsidRPr="005D066F" w:rsidRDefault="00BF58A4" w:rsidP="006325C2">
      <w:pPr>
        <w:jc w:val="both"/>
        <w:rPr>
          <w:rFonts w:ascii="Arial" w:hAnsi="Arial" w:cs="Arial"/>
          <w:bCs/>
          <w:sz w:val="22"/>
          <w:szCs w:val="22"/>
        </w:rPr>
      </w:pPr>
      <w:r w:rsidRPr="005D066F">
        <w:rPr>
          <w:rFonts w:ascii="Arial" w:hAnsi="Arial" w:cs="Arial"/>
          <w:b/>
          <w:sz w:val="22"/>
          <w:szCs w:val="22"/>
          <w:u w:val="single"/>
        </w:rPr>
        <w:t>A d</w:t>
      </w:r>
      <w:r w:rsidR="006325C2" w:rsidRPr="005D066F">
        <w:rPr>
          <w:rFonts w:ascii="Arial" w:hAnsi="Arial" w:cs="Arial"/>
          <w:b/>
          <w:sz w:val="22"/>
          <w:szCs w:val="22"/>
          <w:u w:val="single"/>
        </w:rPr>
        <w:t>ologi kiadások</w:t>
      </w:r>
      <w:r w:rsidRPr="005D066F">
        <w:rPr>
          <w:rFonts w:ascii="Arial" w:hAnsi="Arial" w:cs="Arial"/>
          <w:b/>
          <w:sz w:val="22"/>
          <w:szCs w:val="22"/>
          <w:u w:val="single"/>
        </w:rPr>
        <w:t xml:space="preserve"> előirányzata</w:t>
      </w:r>
      <w:r w:rsidR="002E4DE9" w:rsidRPr="005D066F">
        <w:rPr>
          <w:u w:val="single"/>
        </w:rPr>
        <w:t xml:space="preserve"> </w:t>
      </w:r>
      <w:r w:rsidR="00CF4253" w:rsidRPr="00CF4253">
        <w:rPr>
          <w:rFonts w:ascii="Arial" w:hAnsi="Arial" w:cs="Arial"/>
          <w:sz w:val="22"/>
          <w:szCs w:val="22"/>
        </w:rPr>
        <w:t>246 855 681</w:t>
      </w:r>
      <w:r w:rsidR="002E4DE9" w:rsidRPr="005D066F">
        <w:rPr>
          <w:rFonts w:ascii="Arial" w:hAnsi="Arial" w:cs="Arial"/>
          <w:b/>
          <w:sz w:val="22"/>
          <w:szCs w:val="22"/>
        </w:rPr>
        <w:t xml:space="preserve"> </w:t>
      </w:r>
      <w:r w:rsidRPr="005D066F">
        <w:rPr>
          <w:rFonts w:ascii="Arial" w:hAnsi="Arial" w:cs="Arial"/>
          <w:bCs/>
          <w:sz w:val="22"/>
          <w:szCs w:val="22"/>
        </w:rPr>
        <w:t>Ft</w:t>
      </w:r>
      <w:r w:rsidR="00CF4253">
        <w:rPr>
          <w:rFonts w:ascii="Arial" w:hAnsi="Arial" w:cs="Arial"/>
          <w:bCs/>
          <w:sz w:val="22"/>
          <w:szCs w:val="22"/>
        </w:rPr>
        <w:t>, ez mintegy 17,5</w:t>
      </w:r>
      <w:r w:rsidR="005D066F" w:rsidRPr="005D066F">
        <w:rPr>
          <w:rFonts w:ascii="Arial" w:hAnsi="Arial" w:cs="Arial"/>
          <w:bCs/>
          <w:sz w:val="22"/>
          <w:szCs w:val="22"/>
        </w:rPr>
        <w:t xml:space="preserve"> millió Ft-tal magasabb az előző évi eredeti előirányzatnál. </w:t>
      </w:r>
      <w:r w:rsidR="00217B03" w:rsidRPr="005D066F">
        <w:rPr>
          <w:rFonts w:ascii="Arial" w:hAnsi="Arial" w:cs="Arial"/>
          <w:bCs/>
          <w:sz w:val="22"/>
          <w:szCs w:val="22"/>
        </w:rPr>
        <w:t xml:space="preserve">Bátaszék Város Önkormányzatánál </w:t>
      </w:r>
      <w:r w:rsidR="00CF4253" w:rsidRPr="00CF4253">
        <w:rPr>
          <w:rFonts w:ascii="Arial" w:hAnsi="Arial" w:cs="Arial"/>
          <w:bCs/>
          <w:sz w:val="22"/>
          <w:szCs w:val="22"/>
        </w:rPr>
        <w:t>185 002 814</w:t>
      </w:r>
      <w:r w:rsidR="00217B03" w:rsidRPr="005D066F">
        <w:rPr>
          <w:rFonts w:ascii="Arial" w:hAnsi="Arial" w:cs="Arial"/>
          <w:bCs/>
          <w:sz w:val="22"/>
          <w:szCs w:val="22"/>
        </w:rPr>
        <w:t xml:space="preserve"> Ft, a KÖH-nél </w:t>
      </w:r>
      <w:r w:rsidR="005D066F" w:rsidRPr="005D066F">
        <w:rPr>
          <w:rFonts w:ascii="Arial" w:hAnsi="Arial" w:cs="Arial"/>
          <w:bCs/>
          <w:sz w:val="22"/>
          <w:szCs w:val="22"/>
        </w:rPr>
        <w:t>52 322 867</w:t>
      </w:r>
      <w:r w:rsidR="00217B03" w:rsidRPr="005D066F">
        <w:rPr>
          <w:rFonts w:ascii="Arial" w:hAnsi="Arial" w:cs="Arial"/>
          <w:bCs/>
          <w:sz w:val="22"/>
          <w:szCs w:val="22"/>
        </w:rPr>
        <w:t xml:space="preserve"> Ft, a Keresztély Gyula Könyvtárnál </w:t>
      </w:r>
      <w:r w:rsidR="005D066F" w:rsidRPr="005D066F">
        <w:rPr>
          <w:rFonts w:ascii="Arial" w:hAnsi="Arial" w:cs="Arial"/>
          <w:bCs/>
          <w:sz w:val="22"/>
          <w:szCs w:val="22"/>
        </w:rPr>
        <w:t>9 530 000</w:t>
      </w:r>
      <w:r w:rsidR="00217B03" w:rsidRPr="005D066F">
        <w:rPr>
          <w:rFonts w:ascii="Arial" w:hAnsi="Arial" w:cs="Arial"/>
          <w:bCs/>
          <w:sz w:val="22"/>
          <w:szCs w:val="22"/>
        </w:rPr>
        <w:t xml:space="preserve"> Ft dologi kiadás került számba vételre.</w:t>
      </w:r>
    </w:p>
    <w:p w14:paraId="5ABE0266" w14:textId="60AE39D5" w:rsidR="00E344C4" w:rsidRPr="005D066F" w:rsidRDefault="003564FA" w:rsidP="006325C2">
      <w:pPr>
        <w:spacing w:before="120"/>
        <w:jc w:val="both"/>
        <w:rPr>
          <w:rFonts w:ascii="Arial" w:hAnsi="Arial" w:cs="Arial"/>
          <w:sz w:val="22"/>
          <w:szCs w:val="22"/>
        </w:rPr>
      </w:pPr>
      <w:r w:rsidRPr="005D066F">
        <w:rPr>
          <w:rFonts w:ascii="Arial" w:hAnsi="Arial" w:cs="Arial"/>
          <w:sz w:val="22"/>
          <w:szCs w:val="22"/>
        </w:rPr>
        <w:t xml:space="preserve">A dologi kiadások tervezésénél </w:t>
      </w:r>
      <w:r w:rsidR="005D066F" w:rsidRPr="005D066F">
        <w:rPr>
          <w:rFonts w:ascii="Arial" w:hAnsi="Arial" w:cs="Arial"/>
          <w:sz w:val="22"/>
          <w:szCs w:val="22"/>
        </w:rPr>
        <w:t xml:space="preserve">a szolgáltatók által közölt emeléssel, egyéb esetben </w:t>
      </w:r>
      <w:r w:rsidRPr="005D066F">
        <w:rPr>
          <w:rFonts w:ascii="Arial" w:hAnsi="Arial" w:cs="Arial"/>
          <w:sz w:val="22"/>
          <w:szCs w:val="22"/>
        </w:rPr>
        <w:t xml:space="preserve">az előző évi tényadatok figyelembevételével átlagosan </w:t>
      </w:r>
      <w:r w:rsidR="005D066F" w:rsidRPr="005D066F">
        <w:rPr>
          <w:rFonts w:ascii="Arial" w:hAnsi="Arial" w:cs="Arial"/>
          <w:sz w:val="22"/>
          <w:szCs w:val="22"/>
        </w:rPr>
        <w:t xml:space="preserve">6 </w:t>
      </w:r>
      <w:r w:rsidRPr="005D066F">
        <w:rPr>
          <w:rFonts w:ascii="Arial" w:hAnsi="Arial" w:cs="Arial"/>
          <w:sz w:val="22"/>
          <w:szCs w:val="22"/>
        </w:rPr>
        <w:t>% mértékű emelkedéssel kalkuláltunk</w:t>
      </w:r>
      <w:r w:rsidR="00730CE6" w:rsidRPr="005D066F">
        <w:rPr>
          <w:rFonts w:ascii="Arial" w:hAnsi="Arial" w:cs="Arial"/>
          <w:sz w:val="22"/>
          <w:szCs w:val="22"/>
        </w:rPr>
        <w:t xml:space="preserve">, </w:t>
      </w:r>
      <w:r w:rsidRPr="005D066F">
        <w:rPr>
          <w:rFonts w:ascii="Arial" w:hAnsi="Arial" w:cs="Arial"/>
          <w:sz w:val="22"/>
          <w:szCs w:val="22"/>
        </w:rPr>
        <w:t xml:space="preserve">de az energiaköltségek vonatkozásában a becsült fogyasztás alapján az ismert, járulékos költségekkel növelt árakkal számoltunk. </w:t>
      </w:r>
      <w:r w:rsidR="004A6A28" w:rsidRPr="005D066F">
        <w:rPr>
          <w:rFonts w:ascii="Arial" w:hAnsi="Arial" w:cs="Arial"/>
          <w:sz w:val="22"/>
          <w:szCs w:val="22"/>
        </w:rPr>
        <w:t>Az ez évi költségvetésben fedezetet kell biztosítanunk az előző évről áthúzó</w:t>
      </w:r>
      <w:r w:rsidR="008D1292">
        <w:rPr>
          <w:rFonts w:ascii="Arial" w:hAnsi="Arial" w:cs="Arial"/>
          <w:sz w:val="22"/>
          <w:szCs w:val="22"/>
        </w:rPr>
        <w:t>d</w:t>
      </w:r>
      <w:r w:rsidR="004A6A28" w:rsidRPr="005D066F">
        <w:rPr>
          <w:rFonts w:ascii="Arial" w:hAnsi="Arial" w:cs="Arial"/>
          <w:sz w:val="22"/>
          <w:szCs w:val="22"/>
        </w:rPr>
        <w:t xml:space="preserve">ó, le nem számlázott kötelezettségekre is. </w:t>
      </w:r>
    </w:p>
    <w:p w14:paraId="7AA5FB77" w14:textId="06ADBD42" w:rsidR="006325C2" w:rsidRDefault="00217B03" w:rsidP="006325C2">
      <w:pPr>
        <w:spacing w:before="120"/>
        <w:jc w:val="both"/>
        <w:rPr>
          <w:rFonts w:ascii="Arial" w:hAnsi="Arial" w:cs="Arial"/>
          <w:b/>
          <w:sz w:val="22"/>
          <w:szCs w:val="22"/>
          <w:u w:val="single"/>
        </w:rPr>
      </w:pPr>
      <w:r w:rsidRPr="005D066F">
        <w:rPr>
          <w:rFonts w:ascii="Arial" w:hAnsi="Arial" w:cs="Arial"/>
          <w:b/>
          <w:sz w:val="22"/>
          <w:szCs w:val="22"/>
          <w:u w:val="single"/>
        </w:rPr>
        <w:t xml:space="preserve">Bátaszék Város </w:t>
      </w:r>
      <w:r w:rsidR="006325C2" w:rsidRPr="005D066F">
        <w:rPr>
          <w:rFonts w:ascii="Arial" w:hAnsi="Arial" w:cs="Arial"/>
          <w:b/>
          <w:sz w:val="22"/>
          <w:szCs w:val="22"/>
          <w:u w:val="single"/>
        </w:rPr>
        <w:t>költségvetés</w:t>
      </w:r>
      <w:r w:rsidRPr="005D066F">
        <w:rPr>
          <w:rFonts w:ascii="Arial" w:hAnsi="Arial" w:cs="Arial"/>
          <w:b/>
          <w:sz w:val="22"/>
          <w:szCs w:val="22"/>
          <w:u w:val="single"/>
        </w:rPr>
        <w:t>é</w:t>
      </w:r>
      <w:r w:rsidR="006325C2" w:rsidRPr="005D066F">
        <w:rPr>
          <w:rFonts w:ascii="Arial" w:hAnsi="Arial" w:cs="Arial"/>
          <w:b/>
          <w:sz w:val="22"/>
          <w:szCs w:val="22"/>
          <w:u w:val="single"/>
        </w:rPr>
        <w:t>ben jóváhagyásra javasolt városüzemeltetési dologi kiadások:</w:t>
      </w:r>
    </w:p>
    <w:p w14:paraId="447F93EB" w14:textId="77777777" w:rsidR="00200C1F" w:rsidRPr="00DF7D1C" w:rsidRDefault="00200C1F" w:rsidP="006325C2">
      <w:pPr>
        <w:spacing w:before="120"/>
        <w:jc w:val="both"/>
        <w:rPr>
          <w:rFonts w:ascii="Arial" w:hAnsi="Arial" w:cs="Arial"/>
          <w:b/>
          <w:sz w:val="22"/>
          <w:szCs w:val="22"/>
          <w:u w:val="single"/>
        </w:rPr>
      </w:pPr>
    </w:p>
    <w:p w14:paraId="7748DAE2" w14:textId="77777777" w:rsidR="00200C1F" w:rsidRPr="00DF7D1C" w:rsidRDefault="00200C1F" w:rsidP="00200C1F">
      <w:pPr>
        <w:pStyle w:val="Listaszerbekezds"/>
        <w:numPr>
          <w:ilvl w:val="0"/>
          <w:numId w:val="17"/>
        </w:numPr>
        <w:ind w:left="502"/>
        <w:jc w:val="both"/>
        <w:rPr>
          <w:rFonts w:ascii="Arial" w:hAnsi="Arial" w:cs="Arial"/>
          <w:sz w:val="22"/>
          <w:szCs w:val="22"/>
        </w:rPr>
      </w:pPr>
      <w:r w:rsidRPr="00DF7D1C">
        <w:rPr>
          <w:rFonts w:ascii="Arial" w:hAnsi="Arial" w:cs="Arial"/>
          <w:sz w:val="22"/>
          <w:szCs w:val="22"/>
        </w:rPr>
        <w:t>külterületi csapv. víz. rendezés (kaszálás)</w:t>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t>1.500 e Ft</w:t>
      </w:r>
    </w:p>
    <w:p w14:paraId="4101FD59" w14:textId="77777777" w:rsidR="00200C1F" w:rsidRPr="00DF7D1C" w:rsidRDefault="00200C1F" w:rsidP="00200C1F">
      <w:pPr>
        <w:pStyle w:val="Listaszerbekezds"/>
        <w:numPr>
          <w:ilvl w:val="0"/>
          <w:numId w:val="17"/>
        </w:numPr>
        <w:ind w:left="502"/>
        <w:jc w:val="both"/>
        <w:rPr>
          <w:rFonts w:ascii="Arial" w:hAnsi="Arial" w:cs="Arial"/>
          <w:sz w:val="22"/>
          <w:szCs w:val="22"/>
        </w:rPr>
      </w:pPr>
      <w:r w:rsidRPr="00DF7D1C">
        <w:rPr>
          <w:rFonts w:ascii="Arial" w:hAnsi="Arial" w:cs="Arial"/>
          <w:sz w:val="22"/>
          <w:szCs w:val="22"/>
        </w:rPr>
        <w:t xml:space="preserve">szúnyoggyérítés (2 alkalom) </w:t>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t>1.500 e Ft</w:t>
      </w:r>
    </w:p>
    <w:p w14:paraId="046112E2" w14:textId="77777777" w:rsidR="00200C1F" w:rsidRPr="00DF7D1C" w:rsidRDefault="00200C1F" w:rsidP="00200C1F">
      <w:pPr>
        <w:pStyle w:val="Listaszerbekezds"/>
        <w:numPr>
          <w:ilvl w:val="0"/>
          <w:numId w:val="17"/>
        </w:numPr>
        <w:ind w:left="502"/>
        <w:jc w:val="both"/>
        <w:rPr>
          <w:rFonts w:ascii="Arial" w:hAnsi="Arial" w:cs="Arial"/>
          <w:sz w:val="22"/>
          <w:szCs w:val="22"/>
        </w:rPr>
      </w:pPr>
      <w:r w:rsidRPr="00DF7D1C">
        <w:rPr>
          <w:rFonts w:ascii="Arial" w:hAnsi="Arial" w:cs="Arial"/>
          <w:sz w:val="22"/>
          <w:szCs w:val="22"/>
        </w:rPr>
        <w:t xml:space="preserve">utcabútorok </w:t>
      </w:r>
      <w:r w:rsidRPr="00DF7D1C">
        <w:rPr>
          <w:rFonts w:ascii="Arial" w:hAnsi="Arial" w:cs="Arial"/>
          <w:i/>
          <w:sz w:val="22"/>
          <w:szCs w:val="22"/>
        </w:rPr>
        <w:t>(kukák, biciklitárolók, padok</w:t>
      </w:r>
      <w:proofErr w:type="gramStart"/>
      <w:r w:rsidRPr="00DF7D1C">
        <w:rPr>
          <w:rFonts w:ascii="Arial" w:hAnsi="Arial" w:cs="Arial"/>
          <w:i/>
          <w:sz w:val="22"/>
          <w:szCs w:val="22"/>
        </w:rPr>
        <w:t>)</w:t>
      </w:r>
      <w:r w:rsidRPr="00DF7D1C">
        <w:rPr>
          <w:rFonts w:ascii="Arial" w:hAnsi="Arial" w:cs="Arial"/>
          <w:i/>
          <w:sz w:val="22"/>
          <w:szCs w:val="22"/>
        </w:rPr>
        <w:tab/>
      </w:r>
      <w:r w:rsidRPr="00DF7D1C">
        <w:rPr>
          <w:rFonts w:ascii="Arial" w:hAnsi="Arial" w:cs="Arial"/>
          <w:i/>
          <w:sz w:val="22"/>
          <w:szCs w:val="22"/>
        </w:rPr>
        <w:tab/>
      </w:r>
      <w:r w:rsidRPr="00DF7D1C">
        <w:rPr>
          <w:rFonts w:ascii="Arial" w:hAnsi="Arial" w:cs="Arial"/>
          <w:i/>
          <w:sz w:val="22"/>
          <w:szCs w:val="22"/>
        </w:rPr>
        <w:tab/>
      </w:r>
      <w:r w:rsidRPr="00DF7D1C">
        <w:rPr>
          <w:rFonts w:ascii="Arial" w:hAnsi="Arial" w:cs="Arial"/>
          <w:i/>
          <w:sz w:val="22"/>
          <w:szCs w:val="22"/>
        </w:rPr>
        <w:tab/>
      </w:r>
      <w:r w:rsidRPr="00DF7D1C">
        <w:rPr>
          <w:rFonts w:ascii="Arial" w:hAnsi="Arial" w:cs="Arial"/>
          <w:i/>
          <w:sz w:val="22"/>
          <w:szCs w:val="22"/>
        </w:rPr>
        <w:tab/>
        <w:t xml:space="preserve">   </w:t>
      </w:r>
      <w:r w:rsidRPr="00DF7D1C">
        <w:rPr>
          <w:rFonts w:ascii="Arial" w:hAnsi="Arial" w:cs="Arial"/>
          <w:sz w:val="22"/>
          <w:szCs w:val="22"/>
        </w:rPr>
        <w:t>500</w:t>
      </w:r>
      <w:proofErr w:type="gramEnd"/>
      <w:r w:rsidRPr="00DF7D1C">
        <w:rPr>
          <w:rFonts w:ascii="Arial" w:hAnsi="Arial" w:cs="Arial"/>
          <w:sz w:val="22"/>
          <w:szCs w:val="22"/>
        </w:rPr>
        <w:t xml:space="preserve"> e Ft</w:t>
      </w:r>
    </w:p>
    <w:p w14:paraId="1B1E0986" w14:textId="619D1F21" w:rsidR="00200C1F" w:rsidRPr="00DF7D1C" w:rsidRDefault="00200C1F" w:rsidP="00200C1F">
      <w:pPr>
        <w:pStyle w:val="Listaszerbekezds"/>
        <w:numPr>
          <w:ilvl w:val="0"/>
          <w:numId w:val="17"/>
        </w:numPr>
        <w:ind w:left="502"/>
        <w:jc w:val="both"/>
        <w:rPr>
          <w:rFonts w:ascii="Arial" w:hAnsi="Arial" w:cs="Arial"/>
          <w:sz w:val="22"/>
          <w:szCs w:val="22"/>
        </w:rPr>
      </w:pPr>
      <w:r w:rsidRPr="00DF7D1C">
        <w:rPr>
          <w:rFonts w:ascii="Arial" w:hAnsi="Arial" w:cs="Arial"/>
          <w:sz w:val="22"/>
          <w:szCs w:val="22"/>
        </w:rPr>
        <w:t xml:space="preserve">egyéb </w:t>
      </w:r>
      <w:proofErr w:type="spellStart"/>
      <w:r w:rsidRPr="00DF7D1C">
        <w:rPr>
          <w:rFonts w:ascii="Arial" w:hAnsi="Arial" w:cs="Arial"/>
          <w:sz w:val="22"/>
          <w:szCs w:val="22"/>
        </w:rPr>
        <w:t>városüz</w:t>
      </w:r>
      <w:proofErr w:type="spellEnd"/>
      <w:r w:rsidRPr="00DF7D1C">
        <w:rPr>
          <w:rFonts w:ascii="Arial" w:hAnsi="Arial" w:cs="Arial"/>
          <w:sz w:val="22"/>
          <w:szCs w:val="22"/>
        </w:rPr>
        <w:t xml:space="preserve">. feladatok </w:t>
      </w:r>
      <w:r w:rsidRPr="00DF7D1C">
        <w:rPr>
          <w:rFonts w:ascii="Arial" w:hAnsi="Arial" w:cs="Arial"/>
          <w:i/>
          <w:sz w:val="22"/>
          <w:szCs w:val="22"/>
        </w:rPr>
        <w:t>(anyag költségek pl. mart aszfalt, zúzott kő</w:t>
      </w:r>
      <w:proofErr w:type="gramStart"/>
      <w:r w:rsidRPr="00DF7D1C">
        <w:rPr>
          <w:rFonts w:ascii="Arial" w:hAnsi="Arial" w:cs="Arial"/>
          <w:i/>
          <w:sz w:val="22"/>
          <w:szCs w:val="22"/>
        </w:rPr>
        <w:t>)</w:t>
      </w:r>
      <w:r w:rsidR="00DF7D1C">
        <w:rPr>
          <w:rFonts w:ascii="Arial" w:hAnsi="Arial" w:cs="Arial"/>
          <w:i/>
          <w:sz w:val="22"/>
          <w:szCs w:val="22"/>
        </w:rPr>
        <w:t xml:space="preserve">         </w:t>
      </w:r>
      <w:r w:rsidR="00DF7D1C">
        <w:rPr>
          <w:rFonts w:ascii="Arial" w:hAnsi="Arial" w:cs="Arial"/>
          <w:sz w:val="22"/>
          <w:szCs w:val="22"/>
        </w:rPr>
        <w:t>2</w:t>
      </w:r>
      <w:proofErr w:type="gramEnd"/>
      <w:r w:rsidR="00DF7D1C">
        <w:rPr>
          <w:rFonts w:ascii="Arial" w:hAnsi="Arial" w:cs="Arial"/>
          <w:sz w:val="22"/>
          <w:szCs w:val="22"/>
        </w:rPr>
        <w:t>.000 e</w:t>
      </w:r>
      <w:r w:rsidRPr="00DF7D1C">
        <w:rPr>
          <w:rFonts w:ascii="Arial" w:hAnsi="Arial" w:cs="Arial"/>
          <w:sz w:val="22"/>
          <w:szCs w:val="22"/>
        </w:rPr>
        <w:t xml:space="preserve"> Ft</w:t>
      </w:r>
    </w:p>
    <w:p w14:paraId="6A600D9A" w14:textId="77777777" w:rsidR="00200C1F" w:rsidRPr="00DF7D1C" w:rsidRDefault="00200C1F" w:rsidP="00200C1F">
      <w:pPr>
        <w:pStyle w:val="Listaszerbekezds"/>
        <w:numPr>
          <w:ilvl w:val="0"/>
          <w:numId w:val="17"/>
        </w:numPr>
        <w:ind w:left="502"/>
        <w:jc w:val="both"/>
        <w:rPr>
          <w:rFonts w:ascii="Arial" w:hAnsi="Arial" w:cs="Arial"/>
          <w:sz w:val="22"/>
          <w:szCs w:val="22"/>
        </w:rPr>
      </w:pPr>
      <w:r w:rsidRPr="00DF7D1C">
        <w:rPr>
          <w:rFonts w:ascii="Arial" w:hAnsi="Arial" w:cs="Arial"/>
          <w:sz w:val="22"/>
          <w:szCs w:val="22"/>
        </w:rPr>
        <w:t xml:space="preserve">karácsonyi világítás </w:t>
      </w:r>
      <w:r w:rsidRPr="00DF7D1C">
        <w:rPr>
          <w:rFonts w:ascii="Arial" w:hAnsi="Arial" w:cs="Arial"/>
          <w:i/>
          <w:sz w:val="22"/>
          <w:szCs w:val="22"/>
        </w:rPr>
        <w:t>(fel és le szer</w:t>
      </w:r>
      <w:proofErr w:type="gramStart"/>
      <w:r w:rsidRPr="00DF7D1C">
        <w:rPr>
          <w:rFonts w:ascii="Arial" w:hAnsi="Arial" w:cs="Arial"/>
          <w:i/>
          <w:sz w:val="22"/>
          <w:szCs w:val="22"/>
        </w:rPr>
        <w:t>.,</w:t>
      </w:r>
      <w:proofErr w:type="gramEnd"/>
      <w:r w:rsidRPr="00DF7D1C">
        <w:rPr>
          <w:rFonts w:ascii="Arial" w:hAnsi="Arial" w:cs="Arial"/>
          <w:i/>
          <w:sz w:val="22"/>
          <w:szCs w:val="22"/>
        </w:rPr>
        <w:t xml:space="preserve"> érintésvédelmi kiépítés a fákon )   </w:t>
      </w:r>
      <w:r w:rsidRPr="00DF7D1C">
        <w:rPr>
          <w:rFonts w:ascii="Arial" w:hAnsi="Arial" w:cs="Arial"/>
          <w:i/>
          <w:sz w:val="22"/>
          <w:szCs w:val="22"/>
        </w:rPr>
        <w:tab/>
      </w:r>
      <w:r w:rsidRPr="00DF7D1C">
        <w:rPr>
          <w:rFonts w:ascii="Arial" w:hAnsi="Arial" w:cs="Arial"/>
          <w:sz w:val="22"/>
          <w:szCs w:val="22"/>
        </w:rPr>
        <w:t>1.000 e Ft</w:t>
      </w:r>
    </w:p>
    <w:p w14:paraId="01F6C86E" w14:textId="14E96BE3" w:rsidR="00200C1F" w:rsidRPr="00DF7D1C" w:rsidRDefault="00200C1F" w:rsidP="00200C1F">
      <w:pPr>
        <w:pStyle w:val="Listaszerbekezds"/>
        <w:numPr>
          <w:ilvl w:val="0"/>
          <w:numId w:val="17"/>
        </w:numPr>
        <w:ind w:left="502"/>
        <w:jc w:val="both"/>
        <w:rPr>
          <w:rFonts w:ascii="Arial" w:hAnsi="Arial" w:cs="Arial"/>
          <w:sz w:val="22"/>
          <w:szCs w:val="22"/>
        </w:rPr>
      </w:pPr>
      <w:proofErr w:type="spellStart"/>
      <w:r w:rsidRPr="00DF7D1C">
        <w:rPr>
          <w:rFonts w:ascii="Arial" w:hAnsi="Arial" w:cs="Arial"/>
          <w:sz w:val="22"/>
          <w:szCs w:val="22"/>
        </w:rPr>
        <w:t>közvill</w:t>
      </w:r>
      <w:proofErr w:type="spellEnd"/>
      <w:r w:rsidRPr="00DF7D1C">
        <w:rPr>
          <w:rFonts w:ascii="Arial" w:hAnsi="Arial" w:cs="Arial"/>
          <w:sz w:val="22"/>
          <w:szCs w:val="22"/>
        </w:rPr>
        <w:t xml:space="preserve">. hálózat üzemelt. </w:t>
      </w:r>
      <w:proofErr w:type="gramStart"/>
      <w:r w:rsidRPr="00DF7D1C">
        <w:rPr>
          <w:rFonts w:ascii="Arial" w:hAnsi="Arial" w:cs="Arial"/>
          <w:sz w:val="22"/>
          <w:szCs w:val="22"/>
        </w:rPr>
        <w:t>szerződés</w:t>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t xml:space="preserve">   </w:t>
      </w:r>
      <w:r w:rsidRPr="00DF7D1C">
        <w:rPr>
          <w:rFonts w:ascii="Arial" w:hAnsi="Arial" w:cs="Arial"/>
          <w:sz w:val="22"/>
          <w:szCs w:val="22"/>
        </w:rPr>
        <w:tab/>
        <w:t xml:space="preserve">            </w:t>
      </w:r>
      <w:r w:rsidR="008D1292" w:rsidRPr="00DF7D1C">
        <w:rPr>
          <w:rFonts w:ascii="Arial" w:hAnsi="Arial" w:cs="Arial"/>
          <w:sz w:val="22"/>
          <w:szCs w:val="22"/>
        </w:rPr>
        <w:t>1</w:t>
      </w:r>
      <w:proofErr w:type="gramEnd"/>
      <w:r w:rsidR="008D1292" w:rsidRPr="00DF7D1C">
        <w:rPr>
          <w:rFonts w:ascii="Arial" w:hAnsi="Arial" w:cs="Arial"/>
          <w:sz w:val="22"/>
          <w:szCs w:val="22"/>
        </w:rPr>
        <w:t>.383</w:t>
      </w:r>
      <w:r w:rsidRPr="00DF7D1C">
        <w:rPr>
          <w:rFonts w:ascii="Arial" w:hAnsi="Arial" w:cs="Arial"/>
          <w:sz w:val="22"/>
          <w:szCs w:val="22"/>
        </w:rPr>
        <w:t xml:space="preserve"> e Ft  </w:t>
      </w:r>
    </w:p>
    <w:p w14:paraId="7373E49F" w14:textId="77777777" w:rsidR="00200C1F" w:rsidRPr="00DF7D1C" w:rsidRDefault="00200C1F" w:rsidP="00200C1F">
      <w:pPr>
        <w:pStyle w:val="Listaszerbekezds"/>
        <w:numPr>
          <w:ilvl w:val="0"/>
          <w:numId w:val="17"/>
        </w:numPr>
        <w:ind w:left="502"/>
        <w:jc w:val="both"/>
        <w:rPr>
          <w:rFonts w:ascii="Arial" w:hAnsi="Arial" w:cs="Arial"/>
          <w:sz w:val="22"/>
          <w:szCs w:val="22"/>
        </w:rPr>
      </w:pPr>
      <w:r w:rsidRPr="00DF7D1C">
        <w:rPr>
          <w:rFonts w:ascii="Arial" w:hAnsi="Arial" w:cs="Arial"/>
          <w:sz w:val="22"/>
          <w:szCs w:val="22"/>
        </w:rPr>
        <w:t>hulladéklerakó monitoring</w:t>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t>1.800 e Ft</w:t>
      </w:r>
    </w:p>
    <w:p w14:paraId="40169E9A" w14:textId="77777777" w:rsidR="00200C1F" w:rsidRPr="00DF7D1C" w:rsidRDefault="00200C1F" w:rsidP="00200C1F">
      <w:pPr>
        <w:pStyle w:val="Listaszerbekezds"/>
        <w:numPr>
          <w:ilvl w:val="0"/>
          <w:numId w:val="17"/>
        </w:numPr>
        <w:ind w:left="502"/>
        <w:jc w:val="both"/>
        <w:rPr>
          <w:rFonts w:ascii="Arial" w:hAnsi="Arial" w:cs="Arial"/>
          <w:sz w:val="22"/>
          <w:szCs w:val="22"/>
        </w:rPr>
      </w:pPr>
      <w:r w:rsidRPr="00DF7D1C">
        <w:rPr>
          <w:rFonts w:ascii="Arial" w:hAnsi="Arial" w:cs="Arial"/>
          <w:sz w:val="22"/>
          <w:szCs w:val="22"/>
        </w:rPr>
        <w:t>főépítészi tevékenység</w:t>
      </w:r>
      <w:r w:rsidRPr="00DF7D1C">
        <w:rPr>
          <w:rFonts w:ascii="Arial" w:hAnsi="Arial" w:cs="Arial"/>
          <w:sz w:val="22"/>
          <w:szCs w:val="22"/>
        </w:rPr>
        <w:tab/>
      </w:r>
      <w:r w:rsidRPr="00DF7D1C">
        <w:rPr>
          <w:rFonts w:ascii="Arial" w:hAnsi="Arial" w:cs="Arial"/>
          <w:sz w:val="22"/>
          <w:szCs w:val="22"/>
        </w:rPr>
        <w:tab/>
        <w:t>200.000*12</w:t>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t>2.400 e Ft</w:t>
      </w:r>
    </w:p>
    <w:p w14:paraId="3ECF47A5" w14:textId="77777777" w:rsidR="00200C1F" w:rsidRPr="00DF7D1C" w:rsidRDefault="00200C1F" w:rsidP="00200C1F">
      <w:pPr>
        <w:pStyle w:val="Listaszerbekezds"/>
        <w:numPr>
          <w:ilvl w:val="0"/>
          <w:numId w:val="17"/>
        </w:numPr>
        <w:ind w:left="502"/>
        <w:jc w:val="both"/>
        <w:rPr>
          <w:rFonts w:ascii="Arial" w:hAnsi="Arial" w:cs="Arial"/>
          <w:sz w:val="22"/>
          <w:szCs w:val="22"/>
        </w:rPr>
      </w:pPr>
      <w:r w:rsidRPr="00DF7D1C">
        <w:rPr>
          <w:rFonts w:ascii="Arial" w:hAnsi="Arial" w:cs="Arial"/>
          <w:sz w:val="22"/>
          <w:szCs w:val="22"/>
        </w:rPr>
        <w:t xml:space="preserve">lakossági járda </w:t>
      </w:r>
      <w:proofErr w:type="gramStart"/>
      <w:r w:rsidRPr="00DF7D1C">
        <w:rPr>
          <w:rFonts w:ascii="Arial" w:hAnsi="Arial" w:cs="Arial"/>
          <w:sz w:val="22"/>
          <w:szCs w:val="22"/>
        </w:rPr>
        <w:t xml:space="preserve">program               </w:t>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r>
      <w:r w:rsidRPr="00DF7D1C">
        <w:rPr>
          <w:rFonts w:ascii="Arial" w:hAnsi="Arial" w:cs="Arial"/>
          <w:sz w:val="22"/>
          <w:szCs w:val="22"/>
        </w:rPr>
        <w:tab/>
        <w:t>2</w:t>
      </w:r>
      <w:proofErr w:type="gramEnd"/>
      <w:r w:rsidRPr="00DF7D1C">
        <w:rPr>
          <w:rFonts w:ascii="Arial" w:hAnsi="Arial" w:cs="Arial"/>
          <w:sz w:val="22"/>
          <w:szCs w:val="22"/>
        </w:rPr>
        <w:t>.000 e Ft</w:t>
      </w:r>
    </w:p>
    <w:p w14:paraId="551C23D7" w14:textId="471E1CBD" w:rsidR="00E57D87" w:rsidRPr="00DF7D1C" w:rsidRDefault="00E57D87" w:rsidP="00200C1F">
      <w:pPr>
        <w:jc w:val="both"/>
        <w:rPr>
          <w:rFonts w:ascii="Arial" w:hAnsi="Arial" w:cs="Arial"/>
          <w:sz w:val="22"/>
          <w:szCs w:val="22"/>
        </w:rPr>
      </w:pPr>
      <w:r w:rsidRPr="00DF7D1C">
        <w:rPr>
          <w:rFonts w:ascii="Arial" w:hAnsi="Arial" w:cs="Arial"/>
          <w:b/>
          <w:sz w:val="22"/>
          <w:szCs w:val="22"/>
        </w:rPr>
        <w:tab/>
      </w:r>
    </w:p>
    <w:p w14:paraId="7BE90463" w14:textId="215D2319" w:rsidR="006325C2" w:rsidRPr="00DF7D1C" w:rsidRDefault="006325C2" w:rsidP="00E57D87">
      <w:pPr>
        <w:jc w:val="both"/>
        <w:rPr>
          <w:rFonts w:ascii="Arial" w:hAnsi="Arial" w:cs="Arial"/>
          <w:b/>
          <w:sz w:val="22"/>
          <w:szCs w:val="22"/>
        </w:rPr>
      </w:pPr>
      <w:r w:rsidRPr="00DF7D1C">
        <w:rPr>
          <w:rFonts w:ascii="Arial" w:hAnsi="Arial" w:cs="Arial"/>
          <w:b/>
          <w:sz w:val="22"/>
          <w:szCs w:val="22"/>
        </w:rPr>
        <w:t>ÖSSZESEN</w:t>
      </w:r>
      <w:proofErr w:type="gramStart"/>
      <w:r w:rsidRPr="00DF7D1C">
        <w:rPr>
          <w:rFonts w:ascii="Arial" w:hAnsi="Arial" w:cs="Arial"/>
          <w:b/>
          <w:sz w:val="22"/>
          <w:szCs w:val="22"/>
        </w:rPr>
        <w:t>:</w:t>
      </w:r>
      <w:r w:rsidRPr="00DF7D1C">
        <w:rPr>
          <w:rFonts w:ascii="Arial" w:hAnsi="Arial" w:cs="Arial"/>
          <w:b/>
          <w:sz w:val="22"/>
          <w:szCs w:val="22"/>
        </w:rPr>
        <w:tab/>
      </w:r>
      <w:r w:rsidRPr="00DF7D1C">
        <w:rPr>
          <w:rFonts w:ascii="Arial" w:hAnsi="Arial" w:cs="Arial"/>
          <w:b/>
          <w:sz w:val="22"/>
          <w:szCs w:val="22"/>
        </w:rPr>
        <w:tab/>
      </w:r>
      <w:r w:rsidRPr="00DF7D1C">
        <w:rPr>
          <w:rFonts w:ascii="Arial" w:hAnsi="Arial" w:cs="Arial"/>
          <w:b/>
          <w:sz w:val="22"/>
          <w:szCs w:val="22"/>
        </w:rPr>
        <w:tab/>
      </w:r>
      <w:r w:rsidRPr="00DF7D1C">
        <w:rPr>
          <w:rFonts w:ascii="Arial" w:hAnsi="Arial" w:cs="Arial"/>
          <w:b/>
          <w:sz w:val="22"/>
          <w:szCs w:val="22"/>
        </w:rPr>
        <w:tab/>
      </w:r>
      <w:r w:rsidRPr="00DF7D1C">
        <w:rPr>
          <w:rFonts w:ascii="Arial" w:hAnsi="Arial" w:cs="Arial"/>
          <w:b/>
          <w:sz w:val="22"/>
          <w:szCs w:val="22"/>
        </w:rPr>
        <w:tab/>
      </w:r>
      <w:r w:rsidRPr="00DF7D1C">
        <w:rPr>
          <w:rFonts w:ascii="Arial" w:hAnsi="Arial" w:cs="Arial"/>
          <w:b/>
          <w:sz w:val="22"/>
          <w:szCs w:val="22"/>
        </w:rPr>
        <w:tab/>
      </w:r>
      <w:r w:rsidRPr="00DF7D1C">
        <w:rPr>
          <w:rFonts w:ascii="Arial" w:hAnsi="Arial" w:cs="Arial"/>
          <w:b/>
          <w:sz w:val="22"/>
          <w:szCs w:val="22"/>
        </w:rPr>
        <w:tab/>
        <w:t xml:space="preserve">       </w:t>
      </w:r>
      <w:r w:rsidR="00E57D87" w:rsidRPr="00DF7D1C">
        <w:rPr>
          <w:rFonts w:ascii="Arial" w:hAnsi="Arial" w:cs="Arial"/>
          <w:b/>
          <w:sz w:val="22"/>
          <w:szCs w:val="22"/>
        </w:rPr>
        <w:t xml:space="preserve">                          </w:t>
      </w:r>
      <w:r w:rsidR="008D1292" w:rsidRPr="00DF7D1C">
        <w:rPr>
          <w:rFonts w:ascii="Arial" w:hAnsi="Arial" w:cs="Arial"/>
          <w:b/>
          <w:sz w:val="22"/>
          <w:szCs w:val="22"/>
        </w:rPr>
        <w:t>14</w:t>
      </w:r>
      <w:proofErr w:type="gramEnd"/>
      <w:r w:rsidR="008D1292" w:rsidRPr="00DF7D1C">
        <w:rPr>
          <w:rFonts w:ascii="Arial" w:hAnsi="Arial" w:cs="Arial"/>
          <w:b/>
          <w:sz w:val="22"/>
          <w:szCs w:val="22"/>
        </w:rPr>
        <w:t xml:space="preserve"> 083</w:t>
      </w:r>
      <w:r w:rsidRPr="00DF7D1C">
        <w:rPr>
          <w:rFonts w:ascii="Arial" w:hAnsi="Arial" w:cs="Arial"/>
          <w:b/>
          <w:sz w:val="22"/>
          <w:szCs w:val="22"/>
        </w:rPr>
        <w:t xml:space="preserve"> e Ft</w:t>
      </w:r>
    </w:p>
    <w:p w14:paraId="455D1FFC" w14:textId="35C8E961" w:rsidR="00E344C4" w:rsidRPr="003D2E5D" w:rsidRDefault="00E344C4" w:rsidP="00E57D87">
      <w:pPr>
        <w:jc w:val="both"/>
        <w:rPr>
          <w:rFonts w:ascii="Arial" w:hAnsi="Arial" w:cs="Arial"/>
          <w:b/>
          <w:sz w:val="22"/>
          <w:szCs w:val="22"/>
        </w:rPr>
      </w:pPr>
    </w:p>
    <w:p w14:paraId="65BC2FD8" w14:textId="53B3D50B" w:rsidR="006F433B" w:rsidRPr="003D2E5D" w:rsidRDefault="00F416AA" w:rsidP="00200C1F">
      <w:pPr>
        <w:jc w:val="both"/>
        <w:rPr>
          <w:rFonts w:ascii="Arial" w:hAnsi="Arial" w:cs="Arial"/>
          <w:sz w:val="22"/>
          <w:szCs w:val="22"/>
        </w:rPr>
      </w:pPr>
      <w:r w:rsidRPr="003D2E5D">
        <w:rPr>
          <w:rFonts w:ascii="Arial" w:hAnsi="Arial" w:cs="Arial"/>
          <w:sz w:val="22"/>
          <w:szCs w:val="22"/>
        </w:rPr>
        <w:t>Ezekre a</w:t>
      </w:r>
      <w:r w:rsidR="00285795" w:rsidRPr="003D2E5D">
        <w:rPr>
          <w:rFonts w:ascii="Arial" w:hAnsi="Arial" w:cs="Arial"/>
          <w:sz w:val="22"/>
          <w:szCs w:val="22"/>
        </w:rPr>
        <w:t xml:space="preserve"> feladatokra </w:t>
      </w:r>
      <w:r w:rsidR="003D2E5D" w:rsidRPr="003D2E5D">
        <w:rPr>
          <w:rFonts w:ascii="Arial" w:hAnsi="Arial" w:cs="Arial"/>
          <w:sz w:val="22"/>
          <w:szCs w:val="22"/>
        </w:rPr>
        <w:t>2</w:t>
      </w:r>
      <w:r w:rsidR="00200C1F" w:rsidRPr="003D2E5D">
        <w:rPr>
          <w:rFonts w:ascii="Arial" w:hAnsi="Arial" w:cs="Arial"/>
          <w:sz w:val="22"/>
          <w:szCs w:val="22"/>
        </w:rPr>
        <w:t xml:space="preserve"> </w:t>
      </w:r>
      <w:r w:rsidR="00285795" w:rsidRPr="003D2E5D">
        <w:rPr>
          <w:rFonts w:ascii="Arial" w:hAnsi="Arial" w:cs="Arial"/>
          <w:sz w:val="22"/>
          <w:szCs w:val="22"/>
        </w:rPr>
        <w:t>millió Ft</w:t>
      </w:r>
      <w:r w:rsidR="00636BB8" w:rsidRPr="003D2E5D">
        <w:rPr>
          <w:rFonts w:ascii="Arial" w:hAnsi="Arial" w:cs="Arial"/>
          <w:sz w:val="22"/>
          <w:szCs w:val="22"/>
        </w:rPr>
        <w:t>-</w:t>
      </w:r>
      <w:r w:rsidR="00AE327E" w:rsidRPr="003D2E5D">
        <w:rPr>
          <w:rFonts w:ascii="Arial" w:hAnsi="Arial" w:cs="Arial"/>
          <w:sz w:val="22"/>
          <w:szCs w:val="22"/>
        </w:rPr>
        <w:t xml:space="preserve">tal </w:t>
      </w:r>
      <w:r w:rsidR="00200C1F" w:rsidRPr="003D2E5D">
        <w:rPr>
          <w:rFonts w:ascii="Arial" w:hAnsi="Arial" w:cs="Arial"/>
          <w:sz w:val="22"/>
          <w:szCs w:val="22"/>
        </w:rPr>
        <w:t>kevesebb</w:t>
      </w:r>
      <w:r w:rsidR="00AE327E" w:rsidRPr="003D2E5D">
        <w:rPr>
          <w:rFonts w:ascii="Arial" w:hAnsi="Arial" w:cs="Arial"/>
          <w:sz w:val="22"/>
          <w:szCs w:val="22"/>
        </w:rPr>
        <w:t xml:space="preserve"> forrás </w:t>
      </w:r>
      <w:r w:rsidR="00285795" w:rsidRPr="003D2E5D">
        <w:rPr>
          <w:rFonts w:ascii="Arial" w:hAnsi="Arial" w:cs="Arial"/>
          <w:sz w:val="22"/>
          <w:szCs w:val="22"/>
        </w:rPr>
        <w:t xml:space="preserve">áll rendelkezésre az előző évi eredeti előirányzatnál. </w:t>
      </w:r>
      <w:r w:rsidR="003D2E5D" w:rsidRPr="003D2E5D">
        <w:rPr>
          <w:rFonts w:ascii="Arial" w:hAnsi="Arial" w:cs="Arial"/>
          <w:sz w:val="22"/>
          <w:szCs w:val="22"/>
        </w:rPr>
        <w:t>Az előző évhez hasonlóan vettük számításba az e jogcímen finanszírozandó feladatokat, számolunk többek között s</w:t>
      </w:r>
      <w:r w:rsidR="00285795" w:rsidRPr="003D2E5D">
        <w:rPr>
          <w:rFonts w:ascii="Arial" w:hAnsi="Arial" w:cs="Arial"/>
          <w:sz w:val="22"/>
          <w:szCs w:val="22"/>
        </w:rPr>
        <w:t>zúnyoggyérítési kiadással</w:t>
      </w:r>
      <w:r w:rsidR="003D2E5D" w:rsidRPr="003D2E5D">
        <w:rPr>
          <w:rFonts w:ascii="Arial" w:hAnsi="Arial" w:cs="Arial"/>
          <w:sz w:val="22"/>
          <w:szCs w:val="22"/>
        </w:rPr>
        <w:t xml:space="preserve">, </w:t>
      </w:r>
      <w:r w:rsidR="00AE327E" w:rsidRPr="003D2E5D">
        <w:rPr>
          <w:rFonts w:ascii="Arial" w:hAnsi="Arial" w:cs="Arial"/>
          <w:sz w:val="22"/>
          <w:szCs w:val="22"/>
        </w:rPr>
        <w:t>a főépítészi tevékenység díj</w:t>
      </w:r>
      <w:r w:rsidR="00200C1F" w:rsidRPr="003D2E5D">
        <w:rPr>
          <w:rFonts w:ascii="Arial" w:hAnsi="Arial" w:cs="Arial"/>
          <w:sz w:val="22"/>
          <w:szCs w:val="22"/>
        </w:rPr>
        <w:t>á</w:t>
      </w:r>
      <w:r w:rsidR="003D2E5D" w:rsidRPr="003D2E5D">
        <w:rPr>
          <w:rFonts w:ascii="Arial" w:hAnsi="Arial" w:cs="Arial"/>
          <w:sz w:val="22"/>
          <w:szCs w:val="22"/>
        </w:rPr>
        <w:t>v</w:t>
      </w:r>
      <w:r w:rsidR="003D2E5D">
        <w:rPr>
          <w:rFonts w:ascii="Arial" w:hAnsi="Arial" w:cs="Arial"/>
          <w:sz w:val="22"/>
          <w:szCs w:val="22"/>
        </w:rPr>
        <w:t>a</w:t>
      </w:r>
      <w:r w:rsidR="003D2E5D" w:rsidRPr="003D2E5D">
        <w:rPr>
          <w:rFonts w:ascii="Arial" w:hAnsi="Arial" w:cs="Arial"/>
          <w:sz w:val="22"/>
          <w:szCs w:val="22"/>
        </w:rPr>
        <w:t>l</w:t>
      </w:r>
      <w:r w:rsidR="00AE327E" w:rsidRPr="003D2E5D">
        <w:rPr>
          <w:rFonts w:ascii="Arial" w:hAnsi="Arial" w:cs="Arial"/>
          <w:sz w:val="22"/>
          <w:szCs w:val="22"/>
        </w:rPr>
        <w:t xml:space="preserve">, </w:t>
      </w:r>
      <w:r w:rsidR="006568D0" w:rsidRPr="003D2E5D">
        <w:rPr>
          <w:rFonts w:ascii="Arial" w:hAnsi="Arial" w:cs="Arial"/>
          <w:sz w:val="22"/>
          <w:szCs w:val="22"/>
        </w:rPr>
        <w:t xml:space="preserve">továbbá az </w:t>
      </w:r>
      <w:r w:rsidR="00AE327E" w:rsidRPr="003D2E5D">
        <w:rPr>
          <w:rFonts w:ascii="Arial" w:hAnsi="Arial" w:cs="Arial"/>
          <w:sz w:val="22"/>
          <w:szCs w:val="22"/>
        </w:rPr>
        <w:t>előző év</w:t>
      </w:r>
      <w:r w:rsidR="00200C1F" w:rsidRPr="003D2E5D">
        <w:rPr>
          <w:rFonts w:ascii="Arial" w:hAnsi="Arial" w:cs="Arial"/>
          <w:sz w:val="22"/>
          <w:szCs w:val="22"/>
        </w:rPr>
        <w:t>hez hasonlóan a lakossági járdaprogramra is</w:t>
      </w:r>
      <w:r w:rsidR="00C1525F" w:rsidRPr="003D2E5D">
        <w:rPr>
          <w:rFonts w:ascii="Arial" w:hAnsi="Arial" w:cs="Arial"/>
          <w:sz w:val="22"/>
          <w:szCs w:val="22"/>
        </w:rPr>
        <w:t xml:space="preserve"> biztosítunk</w:t>
      </w:r>
      <w:r w:rsidR="00AE327E" w:rsidRPr="003D2E5D">
        <w:rPr>
          <w:rFonts w:ascii="Arial" w:hAnsi="Arial" w:cs="Arial"/>
          <w:sz w:val="22"/>
          <w:szCs w:val="22"/>
        </w:rPr>
        <w:t xml:space="preserve"> </w:t>
      </w:r>
      <w:r w:rsidR="00200C1F" w:rsidRPr="003D2E5D">
        <w:rPr>
          <w:rFonts w:ascii="Arial" w:hAnsi="Arial" w:cs="Arial"/>
          <w:sz w:val="22"/>
          <w:szCs w:val="22"/>
        </w:rPr>
        <w:t>fedezetet.</w:t>
      </w:r>
    </w:p>
    <w:p w14:paraId="13A86C16" w14:textId="341975A4" w:rsidR="006325C2" w:rsidRPr="003D2E5D" w:rsidRDefault="00AE327E" w:rsidP="006325C2">
      <w:pPr>
        <w:spacing w:before="120"/>
        <w:jc w:val="both"/>
        <w:rPr>
          <w:rFonts w:ascii="Arial" w:hAnsi="Arial" w:cs="Arial"/>
          <w:sz w:val="22"/>
          <w:szCs w:val="22"/>
        </w:rPr>
      </w:pPr>
      <w:r w:rsidRPr="003D2E5D">
        <w:rPr>
          <w:rFonts w:ascii="Arial" w:hAnsi="Arial" w:cs="Arial"/>
          <w:b/>
          <w:sz w:val="22"/>
          <w:szCs w:val="22"/>
          <w:u w:val="single"/>
        </w:rPr>
        <w:t>Az e</w:t>
      </w:r>
      <w:r w:rsidR="006325C2" w:rsidRPr="003D2E5D">
        <w:rPr>
          <w:rFonts w:ascii="Arial" w:hAnsi="Arial" w:cs="Arial"/>
          <w:b/>
          <w:sz w:val="22"/>
          <w:szCs w:val="22"/>
          <w:u w:val="single"/>
        </w:rPr>
        <w:t>llátottak pénzbeli juttatásai</w:t>
      </w:r>
      <w:r w:rsidR="000C5EF6" w:rsidRPr="003D2E5D">
        <w:rPr>
          <w:rFonts w:ascii="Arial" w:hAnsi="Arial" w:cs="Arial"/>
          <w:b/>
          <w:sz w:val="22"/>
          <w:szCs w:val="22"/>
          <w:u w:val="single"/>
        </w:rPr>
        <w:t xml:space="preserve"> előirányzat összege</w:t>
      </w:r>
      <w:r w:rsidR="000C5EF6" w:rsidRPr="003D2E5D">
        <w:rPr>
          <w:b/>
        </w:rPr>
        <w:t xml:space="preserve"> </w:t>
      </w:r>
      <w:r w:rsidR="002750BE" w:rsidRPr="003D2E5D">
        <w:rPr>
          <w:rFonts w:ascii="Arial" w:hAnsi="Arial" w:cs="Arial"/>
          <w:b/>
          <w:sz w:val="22"/>
          <w:szCs w:val="22"/>
        </w:rPr>
        <w:t>1</w:t>
      </w:r>
      <w:r w:rsidR="003D2E5D" w:rsidRPr="003D2E5D">
        <w:rPr>
          <w:rFonts w:ascii="Arial" w:hAnsi="Arial" w:cs="Arial"/>
          <w:b/>
          <w:sz w:val="22"/>
          <w:szCs w:val="22"/>
        </w:rPr>
        <w:t>8 020 000</w:t>
      </w:r>
      <w:r w:rsidR="000C5EF6" w:rsidRPr="003D2E5D">
        <w:rPr>
          <w:rFonts w:ascii="Arial" w:hAnsi="Arial" w:cs="Arial"/>
          <w:sz w:val="22"/>
          <w:szCs w:val="22"/>
        </w:rPr>
        <w:t xml:space="preserve"> </w:t>
      </w:r>
      <w:r w:rsidRPr="003D2E5D">
        <w:rPr>
          <w:rFonts w:ascii="Arial" w:hAnsi="Arial" w:cs="Arial"/>
          <w:sz w:val="22"/>
          <w:szCs w:val="22"/>
        </w:rPr>
        <w:t>Ft</w:t>
      </w:r>
      <w:r w:rsidR="003D2E5D" w:rsidRPr="003D2E5D">
        <w:rPr>
          <w:rFonts w:ascii="Arial" w:hAnsi="Arial" w:cs="Arial"/>
          <w:sz w:val="22"/>
          <w:szCs w:val="22"/>
        </w:rPr>
        <w:t xml:space="preserve"> az előző évi 15 710 000 Ft-tal szemben.  A</w:t>
      </w:r>
      <w:r w:rsidR="006325C2" w:rsidRPr="003D2E5D">
        <w:rPr>
          <w:rFonts w:ascii="Arial" w:hAnsi="Arial" w:cs="Arial"/>
          <w:sz w:val="22"/>
          <w:szCs w:val="22"/>
        </w:rPr>
        <w:t xml:space="preserve"> </w:t>
      </w:r>
      <w:r w:rsidR="006325C2" w:rsidRPr="00343350">
        <w:rPr>
          <w:rFonts w:ascii="Arial" w:hAnsi="Arial" w:cs="Arial"/>
          <w:sz w:val="22"/>
          <w:szCs w:val="22"/>
        </w:rPr>
        <w:t>18. melléklet</w:t>
      </w:r>
      <w:r w:rsidR="006325C2" w:rsidRPr="003D2E5D">
        <w:rPr>
          <w:rFonts w:ascii="Arial" w:hAnsi="Arial" w:cs="Arial"/>
          <w:sz w:val="22"/>
          <w:szCs w:val="22"/>
        </w:rPr>
        <w:t xml:space="preserve"> </w:t>
      </w:r>
      <w:r w:rsidR="002750BE" w:rsidRPr="003D2E5D">
        <w:rPr>
          <w:rFonts w:ascii="Arial" w:hAnsi="Arial" w:cs="Arial"/>
          <w:sz w:val="22"/>
          <w:szCs w:val="22"/>
        </w:rPr>
        <w:t xml:space="preserve">részletesen </w:t>
      </w:r>
      <w:r w:rsidR="00500E42" w:rsidRPr="003D2E5D">
        <w:rPr>
          <w:rFonts w:ascii="Arial" w:hAnsi="Arial" w:cs="Arial"/>
          <w:sz w:val="22"/>
          <w:szCs w:val="22"/>
        </w:rPr>
        <w:t>tartalmazza az egyes juttatások jogcímeit.</w:t>
      </w:r>
    </w:p>
    <w:p w14:paraId="0624F172" w14:textId="0463B8D6" w:rsidR="00617C75" w:rsidRPr="00343350" w:rsidRDefault="00500E42" w:rsidP="006325C2">
      <w:pPr>
        <w:spacing w:before="120"/>
        <w:jc w:val="both"/>
        <w:rPr>
          <w:rFonts w:ascii="Arial" w:hAnsi="Arial" w:cs="Arial"/>
          <w:b/>
          <w:sz w:val="22"/>
          <w:szCs w:val="22"/>
        </w:rPr>
      </w:pPr>
      <w:r w:rsidRPr="00FC631C">
        <w:rPr>
          <w:rFonts w:ascii="Arial" w:hAnsi="Arial" w:cs="Arial"/>
          <w:b/>
          <w:sz w:val="22"/>
          <w:szCs w:val="22"/>
          <w:u w:val="single"/>
        </w:rPr>
        <w:t>Az egyéb működési célú kiadások előirányzata</w:t>
      </w:r>
      <w:r w:rsidRPr="00FC631C">
        <w:rPr>
          <w:rFonts w:ascii="Arial" w:hAnsi="Arial" w:cs="Arial"/>
          <w:sz w:val="22"/>
          <w:szCs w:val="22"/>
        </w:rPr>
        <w:t xml:space="preserve"> </w:t>
      </w:r>
      <w:r w:rsidR="00B652C8">
        <w:rPr>
          <w:rFonts w:ascii="Arial" w:hAnsi="Arial" w:cs="Arial"/>
          <w:sz w:val="22"/>
          <w:szCs w:val="22"/>
        </w:rPr>
        <w:t>1 147 183 818</w:t>
      </w:r>
      <w:r w:rsidR="0024285D" w:rsidRPr="00FC631C">
        <w:rPr>
          <w:rFonts w:ascii="Arial" w:hAnsi="Arial" w:cs="Arial"/>
          <w:sz w:val="22"/>
          <w:szCs w:val="22"/>
        </w:rPr>
        <w:t xml:space="preserve"> </w:t>
      </w:r>
      <w:r w:rsidRPr="00FC631C">
        <w:rPr>
          <w:rFonts w:ascii="Arial" w:hAnsi="Arial" w:cs="Arial"/>
          <w:sz w:val="22"/>
          <w:szCs w:val="22"/>
        </w:rPr>
        <w:t xml:space="preserve">Ft. </w:t>
      </w:r>
      <w:r w:rsidR="006325C2" w:rsidRPr="00FC631C">
        <w:rPr>
          <w:rFonts w:ascii="Arial" w:hAnsi="Arial" w:cs="Arial"/>
          <w:sz w:val="22"/>
          <w:szCs w:val="22"/>
        </w:rPr>
        <w:t xml:space="preserve">Itt </w:t>
      </w:r>
      <w:r w:rsidR="00FC631C" w:rsidRPr="00FC631C">
        <w:rPr>
          <w:rFonts w:ascii="Arial" w:hAnsi="Arial" w:cs="Arial"/>
          <w:sz w:val="22"/>
          <w:szCs w:val="22"/>
        </w:rPr>
        <w:t>terveztük meg a</w:t>
      </w:r>
      <w:r w:rsidR="006325C2" w:rsidRPr="00FC631C">
        <w:rPr>
          <w:rFonts w:ascii="Arial" w:hAnsi="Arial" w:cs="Arial"/>
          <w:sz w:val="22"/>
          <w:szCs w:val="22"/>
        </w:rPr>
        <w:t xml:space="preserve"> </w:t>
      </w:r>
      <w:r w:rsidR="006325C2" w:rsidRPr="00FC631C">
        <w:rPr>
          <w:rFonts w:ascii="Arial" w:hAnsi="Arial" w:cs="Arial"/>
          <w:b/>
          <w:sz w:val="22"/>
          <w:szCs w:val="22"/>
        </w:rPr>
        <w:t>szolidaritási hozzájárulást</w:t>
      </w:r>
      <w:r w:rsidR="006325C2" w:rsidRPr="00FC631C">
        <w:rPr>
          <w:rFonts w:ascii="Arial" w:hAnsi="Arial" w:cs="Arial"/>
          <w:sz w:val="22"/>
          <w:szCs w:val="22"/>
        </w:rPr>
        <w:t xml:space="preserve">, melyet az állami támogatásoknál már csökkentő tételként említettünk. </w:t>
      </w:r>
      <w:r w:rsidRPr="00FC631C">
        <w:rPr>
          <w:rFonts w:ascii="Arial" w:hAnsi="Arial" w:cs="Arial"/>
          <w:sz w:val="22"/>
          <w:szCs w:val="22"/>
        </w:rPr>
        <w:t>Ezen kívül</w:t>
      </w:r>
      <w:r w:rsidR="006325C2" w:rsidRPr="00FC631C">
        <w:rPr>
          <w:rFonts w:ascii="Arial" w:hAnsi="Arial" w:cs="Arial"/>
          <w:sz w:val="22"/>
          <w:szCs w:val="22"/>
        </w:rPr>
        <w:t xml:space="preserve"> itt jelennek meg az </w:t>
      </w:r>
      <w:r w:rsidR="006325C2" w:rsidRPr="00FC631C">
        <w:rPr>
          <w:rFonts w:ascii="Arial" w:hAnsi="Arial" w:cs="Arial"/>
          <w:b/>
          <w:sz w:val="22"/>
          <w:szCs w:val="22"/>
          <w:u w:val="single"/>
        </w:rPr>
        <w:t>egyéb működési célú ÁH-</w:t>
      </w:r>
      <w:proofErr w:type="spellStart"/>
      <w:r w:rsidR="006325C2" w:rsidRPr="00FC631C">
        <w:rPr>
          <w:rFonts w:ascii="Arial" w:hAnsi="Arial" w:cs="Arial"/>
          <w:b/>
          <w:sz w:val="22"/>
          <w:szCs w:val="22"/>
          <w:u w:val="single"/>
        </w:rPr>
        <w:t>on</w:t>
      </w:r>
      <w:proofErr w:type="spellEnd"/>
      <w:r w:rsidR="006325C2" w:rsidRPr="00FC631C">
        <w:rPr>
          <w:rFonts w:ascii="Arial" w:hAnsi="Arial" w:cs="Arial"/>
          <w:b/>
          <w:sz w:val="22"/>
          <w:szCs w:val="22"/>
          <w:u w:val="single"/>
        </w:rPr>
        <w:t xml:space="preserve"> belülre átadott</w:t>
      </w:r>
      <w:r w:rsidR="006325C2" w:rsidRPr="00FC631C">
        <w:rPr>
          <w:rFonts w:ascii="Arial" w:hAnsi="Arial" w:cs="Arial"/>
          <w:sz w:val="22"/>
          <w:szCs w:val="22"/>
        </w:rPr>
        <w:t xml:space="preserve"> összegek </w:t>
      </w:r>
      <w:r w:rsidR="00FC631C" w:rsidRPr="00FC631C">
        <w:rPr>
          <w:rFonts w:ascii="Arial" w:hAnsi="Arial" w:cs="Arial"/>
          <w:sz w:val="22"/>
          <w:szCs w:val="22"/>
        </w:rPr>
        <w:t>763 829 731</w:t>
      </w:r>
      <w:r w:rsidR="00BB1928" w:rsidRPr="00FC631C">
        <w:rPr>
          <w:rFonts w:ascii="Arial" w:hAnsi="Arial" w:cs="Arial"/>
          <w:sz w:val="22"/>
          <w:szCs w:val="22"/>
        </w:rPr>
        <w:t xml:space="preserve"> Ft összegben, melynek tartalmát </w:t>
      </w:r>
      <w:r w:rsidR="00BB1928" w:rsidRPr="00343350">
        <w:rPr>
          <w:rFonts w:ascii="Arial" w:hAnsi="Arial" w:cs="Arial"/>
          <w:sz w:val="22"/>
          <w:szCs w:val="22"/>
        </w:rPr>
        <w:t>a</w:t>
      </w:r>
      <w:r w:rsidR="006325C2" w:rsidRPr="00343350">
        <w:rPr>
          <w:rFonts w:ascii="Arial" w:hAnsi="Arial" w:cs="Arial"/>
          <w:sz w:val="22"/>
          <w:szCs w:val="22"/>
        </w:rPr>
        <w:t xml:space="preserve"> </w:t>
      </w:r>
      <w:r w:rsidR="00BB1928" w:rsidRPr="00343350">
        <w:rPr>
          <w:rFonts w:ascii="Arial" w:hAnsi="Arial" w:cs="Arial"/>
          <w:i/>
          <w:sz w:val="22"/>
          <w:szCs w:val="22"/>
        </w:rPr>
        <w:t>12. sz. melléklet r</w:t>
      </w:r>
      <w:r w:rsidR="006325C2" w:rsidRPr="00343350">
        <w:rPr>
          <w:rFonts w:ascii="Arial" w:hAnsi="Arial" w:cs="Arial"/>
          <w:sz w:val="22"/>
          <w:szCs w:val="22"/>
        </w:rPr>
        <w:t>észlete</w:t>
      </w:r>
      <w:r w:rsidR="00BB1928" w:rsidRPr="00343350">
        <w:rPr>
          <w:rFonts w:ascii="Arial" w:hAnsi="Arial" w:cs="Arial"/>
          <w:sz w:val="22"/>
          <w:szCs w:val="22"/>
        </w:rPr>
        <w:t xml:space="preserve">zi. </w:t>
      </w:r>
    </w:p>
    <w:p w14:paraId="1CF6E99F" w14:textId="77777777" w:rsidR="00B20587" w:rsidRPr="00A82F71" w:rsidRDefault="00B20587" w:rsidP="0036446A">
      <w:pPr>
        <w:suppressAutoHyphens/>
        <w:overflowPunct w:val="0"/>
        <w:autoSpaceDE w:val="0"/>
        <w:spacing w:line="276" w:lineRule="auto"/>
        <w:jc w:val="both"/>
        <w:textAlignment w:val="baseline"/>
        <w:rPr>
          <w:rFonts w:ascii="Arial" w:hAnsi="Arial" w:cs="Arial"/>
          <w:b/>
          <w:sz w:val="22"/>
          <w:szCs w:val="22"/>
          <w:highlight w:val="yellow"/>
        </w:rPr>
      </w:pPr>
    </w:p>
    <w:p w14:paraId="3B0BE78E" w14:textId="13CD3C0E" w:rsidR="0036446A" w:rsidRPr="00FC631C" w:rsidRDefault="0036446A" w:rsidP="0036446A">
      <w:pPr>
        <w:suppressAutoHyphens/>
        <w:overflowPunct w:val="0"/>
        <w:autoSpaceDE w:val="0"/>
        <w:spacing w:line="276" w:lineRule="auto"/>
        <w:jc w:val="both"/>
        <w:textAlignment w:val="baseline"/>
        <w:rPr>
          <w:rFonts w:ascii="Arial" w:hAnsi="Arial" w:cs="Arial"/>
          <w:b/>
          <w:bCs/>
          <w:sz w:val="22"/>
          <w:szCs w:val="22"/>
          <w:u w:val="single"/>
        </w:rPr>
      </w:pPr>
      <w:r w:rsidRPr="00FC631C">
        <w:rPr>
          <w:rFonts w:ascii="Arial" w:hAnsi="Arial" w:cs="Arial"/>
          <w:b/>
          <w:bCs/>
          <w:sz w:val="22"/>
          <w:szCs w:val="22"/>
          <w:u w:val="single"/>
        </w:rPr>
        <w:t xml:space="preserve">Az </w:t>
      </w:r>
      <w:bookmarkStart w:id="0" w:name="_Hlk158052194"/>
      <w:r w:rsidRPr="00FC631C">
        <w:rPr>
          <w:rFonts w:ascii="Arial" w:hAnsi="Arial" w:cs="Arial"/>
          <w:b/>
          <w:bCs/>
          <w:sz w:val="22"/>
          <w:szCs w:val="22"/>
          <w:u w:val="single"/>
        </w:rPr>
        <w:t xml:space="preserve">államháztartáson belülre átadandó működési célú összeg </w:t>
      </w:r>
      <w:bookmarkEnd w:id="0"/>
      <w:r w:rsidRPr="00FC631C">
        <w:rPr>
          <w:rFonts w:ascii="Arial" w:hAnsi="Arial" w:cs="Arial"/>
          <w:b/>
          <w:bCs/>
          <w:sz w:val="22"/>
          <w:szCs w:val="22"/>
          <w:u w:val="single"/>
        </w:rPr>
        <w:t>nagy része a két társulásunk feladatellátásához kapcsolódik.</w:t>
      </w:r>
    </w:p>
    <w:p w14:paraId="70F22051" w14:textId="77777777" w:rsidR="003963BE" w:rsidRPr="00A82F71" w:rsidRDefault="003963BE" w:rsidP="0036446A">
      <w:pPr>
        <w:suppressAutoHyphens/>
        <w:overflowPunct w:val="0"/>
        <w:autoSpaceDE w:val="0"/>
        <w:spacing w:line="276" w:lineRule="auto"/>
        <w:jc w:val="both"/>
        <w:textAlignment w:val="baseline"/>
        <w:rPr>
          <w:rFonts w:ascii="Arial" w:hAnsi="Arial" w:cs="Arial"/>
          <w:sz w:val="22"/>
          <w:szCs w:val="22"/>
          <w:highlight w:val="yellow"/>
        </w:rPr>
      </w:pPr>
    </w:p>
    <w:p w14:paraId="619911AE" w14:textId="39BCE4F2" w:rsidR="0036446A" w:rsidRPr="00F16FA9" w:rsidRDefault="0036446A" w:rsidP="0036446A">
      <w:pPr>
        <w:suppressAutoHyphens/>
        <w:overflowPunct w:val="0"/>
        <w:autoSpaceDE w:val="0"/>
        <w:spacing w:line="276" w:lineRule="auto"/>
        <w:jc w:val="both"/>
        <w:textAlignment w:val="baseline"/>
        <w:rPr>
          <w:rFonts w:ascii="Arial" w:hAnsi="Arial" w:cs="Arial"/>
          <w:b/>
          <w:bCs/>
          <w:sz w:val="22"/>
          <w:szCs w:val="22"/>
        </w:rPr>
      </w:pPr>
      <w:r w:rsidRPr="00F16FA9">
        <w:rPr>
          <w:rFonts w:ascii="Arial" w:hAnsi="Arial" w:cs="Arial"/>
          <w:b/>
          <w:bCs/>
          <w:sz w:val="22"/>
          <w:szCs w:val="22"/>
        </w:rPr>
        <w:t xml:space="preserve">A </w:t>
      </w:r>
      <w:r w:rsidRPr="00F16FA9">
        <w:rPr>
          <w:rFonts w:ascii="Arial" w:hAnsi="Arial" w:cs="Arial"/>
          <w:b/>
          <w:bCs/>
          <w:sz w:val="22"/>
          <w:szCs w:val="22"/>
          <w:u w:val="single"/>
        </w:rPr>
        <w:t>MOB</w:t>
      </w:r>
      <w:r w:rsidRPr="00F16FA9">
        <w:rPr>
          <w:rFonts w:ascii="Arial" w:hAnsi="Arial" w:cs="Arial"/>
          <w:b/>
          <w:bCs/>
          <w:sz w:val="22"/>
          <w:szCs w:val="22"/>
        </w:rPr>
        <w:t xml:space="preserve"> </w:t>
      </w:r>
      <w:r w:rsidR="003963BE" w:rsidRPr="00F16FA9">
        <w:rPr>
          <w:rFonts w:ascii="Arial" w:hAnsi="Arial" w:cs="Arial"/>
          <w:b/>
          <w:bCs/>
          <w:sz w:val="22"/>
          <w:szCs w:val="22"/>
        </w:rPr>
        <w:t xml:space="preserve">intézmény </w:t>
      </w:r>
      <w:r w:rsidRPr="00F16FA9">
        <w:rPr>
          <w:rFonts w:ascii="Arial" w:hAnsi="Arial" w:cs="Arial"/>
          <w:b/>
          <w:bCs/>
          <w:sz w:val="22"/>
          <w:szCs w:val="22"/>
        </w:rPr>
        <w:t xml:space="preserve">részére tervszinten </w:t>
      </w:r>
      <w:r w:rsidR="00F16FA9" w:rsidRPr="00F16FA9">
        <w:rPr>
          <w:rFonts w:ascii="Arial" w:hAnsi="Arial" w:cs="Arial"/>
          <w:b/>
          <w:bCs/>
          <w:sz w:val="22"/>
          <w:szCs w:val="22"/>
        </w:rPr>
        <w:t xml:space="preserve">564 936 936 </w:t>
      </w:r>
      <w:r w:rsidR="003963BE" w:rsidRPr="00F16FA9">
        <w:rPr>
          <w:rFonts w:ascii="Arial" w:hAnsi="Arial" w:cs="Arial"/>
          <w:b/>
          <w:bCs/>
          <w:sz w:val="22"/>
          <w:szCs w:val="22"/>
        </w:rPr>
        <w:t>Ft állami támogatás, valamint</w:t>
      </w:r>
      <w:r w:rsidR="00F16FA9" w:rsidRPr="00F16FA9">
        <w:rPr>
          <w:rFonts w:ascii="Arial" w:hAnsi="Arial" w:cs="Arial"/>
          <w:b/>
          <w:bCs/>
          <w:sz w:val="22"/>
          <w:szCs w:val="22"/>
        </w:rPr>
        <w:t xml:space="preserve"> 42 360 640 Ft </w:t>
      </w:r>
      <w:r w:rsidR="003963BE" w:rsidRPr="00F16FA9">
        <w:rPr>
          <w:rFonts w:ascii="Arial" w:hAnsi="Arial" w:cs="Arial"/>
          <w:b/>
          <w:bCs/>
          <w:sz w:val="22"/>
          <w:szCs w:val="22"/>
        </w:rPr>
        <w:t>önkormányzati saját forrás kerül átadásra</w:t>
      </w:r>
      <w:r w:rsidR="00F16FA9" w:rsidRPr="00F16FA9">
        <w:rPr>
          <w:rFonts w:ascii="Arial" w:hAnsi="Arial" w:cs="Arial"/>
          <w:b/>
          <w:bCs/>
          <w:sz w:val="22"/>
          <w:szCs w:val="22"/>
        </w:rPr>
        <w:t xml:space="preserve"> </w:t>
      </w:r>
      <w:r w:rsidR="00AD67EC">
        <w:rPr>
          <w:rFonts w:ascii="Arial" w:hAnsi="Arial" w:cs="Arial"/>
          <w:b/>
          <w:bCs/>
          <w:sz w:val="22"/>
          <w:szCs w:val="22"/>
        </w:rPr>
        <w:t xml:space="preserve">(ami tartalmazza a felhalmozási célra átadott pénzeszközt is) </w:t>
      </w:r>
      <w:r w:rsidR="00F16FA9" w:rsidRPr="00F16FA9">
        <w:rPr>
          <w:rFonts w:ascii="Arial" w:hAnsi="Arial" w:cs="Arial"/>
          <w:b/>
          <w:bCs/>
          <w:sz w:val="22"/>
          <w:szCs w:val="22"/>
        </w:rPr>
        <w:t>az előző évi 22 939 518 Ft-tal szemben.</w:t>
      </w:r>
    </w:p>
    <w:p w14:paraId="2AE9D9C0" w14:textId="77777777" w:rsidR="003963BE" w:rsidRPr="00A82F71" w:rsidRDefault="003963BE" w:rsidP="0036446A">
      <w:pPr>
        <w:suppressAutoHyphens/>
        <w:overflowPunct w:val="0"/>
        <w:autoSpaceDE w:val="0"/>
        <w:spacing w:line="276" w:lineRule="auto"/>
        <w:jc w:val="both"/>
        <w:textAlignment w:val="baseline"/>
        <w:rPr>
          <w:rFonts w:ascii="Arial" w:hAnsi="Arial" w:cs="Arial"/>
          <w:b/>
          <w:bCs/>
          <w:sz w:val="22"/>
          <w:szCs w:val="22"/>
          <w:highlight w:val="yellow"/>
        </w:rPr>
      </w:pPr>
    </w:p>
    <w:p w14:paraId="4A332A27" w14:textId="4921A659" w:rsidR="004E3232" w:rsidRPr="004E3232" w:rsidRDefault="004E3232" w:rsidP="004E3232">
      <w:pPr>
        <w:suppressAutoHyphens/>
        <w:overflowPunct w:val="0"/>
        <w:autoSpaceDE w:val="0"/>
        <w:spacing w:line="276" w:lineRule="auto"/>
        <w:jc w:val="both"/>
        <w:textAlignment w:val="baseline"/>
        <w:rPr>
          <w:rFonts w:ascii="Arial" w:hAnsi="Arial" w:cs="Arial"/>
          <w:sz w:val="22"/>
          <w:szCs w:val="22"/>
        </w:rPr>
      </w:pPr>
      <w:r w:rsidRPr="004E3232">
        <w:rPr>
          <w:rFonts w:ascii="Arial" w:hAnsi="Arial" w:cs="Arial"/>
          <w:sz w:val="22"/>
          <w:szCs w:val="22"/>
        </w:rPr>
        <w:t>A MOB közalkalmazottjainak jóváhagyott álláshelyszáma a 10/2024. (VIII.30.) TT határozat alapján 65 fő.</w:t>
      </w:r>
      <w:r>
        <w:rPr>
          <w:rFonts w:ascii="Arial" w:hAnsi="Arial" w:cs="Arial"/>
          <w:sz w:val="22"/>
          <w:szCs w:val="22"/>
        </w:rPr>
        <w:t xml:space="preserve"> A dolgozókat érinti a minimálbér és a garantált bérminimum változás hatása, az ó</w:t>
      </w:r>
      <w:r w:rsidRPr="004E3232">
        <w:rPr>
          <w:rFonts w:ascii="Arial" w:hAnsi="Arial" w:cs="Arial"/>
          <w:sz w:val="22"/>
          <w:szCs w:val="22"/>
        </w:rPr>
        <w:t xml:space="preserve">vodai ellátás tekintetében a 2024. január 1-től bevezetett pedagógus életpálya jogszabályi változásai alapján </w:t>
      </w:r>
      <w:r>
        <w:rPr>
          <w:rFonts w:ascii="Arial" w:hAnsi="Arial" w:cs="Arial"/>
          <w:sz w:val="22"/>
          <w:szCs w:val="22"/>
        </w:rPr>
        <w:t xml:space="preserve">ez évben is </w:t>
      </w:r>
      <w:r w:rsidRPr="004E3232">
        <w:rPr>
          <w:rFonts w:ascii="Arial" w:hAnsi="Arial" w:cs="Arial"/>
          <w:sz w:val="22"/>
          <w:szCs w:val="22"/>
        </w:rPr>
        <w:t>jelentős béremelésekben részesülnek</w:t>
      </w:r>
      <w:r>
        <w:rPr>
          <w:rFonts w:ascii="Arial" w:hAnsi="Arial" w:cs="Arial"/>
          <w:sz w:val="22"/>
          <w:szCs w:val="22"/>
        </w:rPr>
        <w:t xml:space="preserve"> a pedagógusok</w:t>
      </w:r>
      <w:r w:rsidRPr="004E3232">
        <w:rPr>
          <w:rFonts w:ascii="Arial" w:hAnsi="Arial" w:cs="Arial"/>
          <w:sz w:val="22"/>
          <w:szCs w:val="22"/>
        </w:rPr>
        <w:t xml:space="preserve">. A törvényben meghatározott illetmény alsó határa </w:t>
      </w:r>
      <w:r>
        <w:rPr>
          <w:rFonts w:ascii="Arial" w:hAnsi="Arial" w:cs="Arial"/>
          <w:sz w:val="22"/>
          <w:szCs w:val="22"/>
        </w:rPr>
        <w:t xml:space="preserve">a </w:t>
      </w:r>
      <w:proofErr w:type="spellStart"/>
      <w:r w:rsidRPr="004E3232">
        <w:rPr>
          <w:rFonts w:ascii="Arial" w:hAnsi="Arial" w:cs="Arial"/>
          <w:sz w:val="22"/>
          <w:szCs w:val="22"/>
        </w:rPr>
        <w:t>Ped.I</w:t>
      </w:r>
      <w:proofErr w:type="spellEnd"/>
      <w:r w:rsidRPr="004E3232">
        <w:rPr>
          <w:rFonts w:ascii="Arial" w:hAnsi="Arial" w:cs="Arial"/>
          <w:sz w:val="22"/>
          <w:szCs w:val="22"/>
        </w:rPr>
        <w:t xml:space="preserve">. fokozatnál 21,4%, </w:t>
      </w:r>
      <w:r>
        <w:rPr>
          <w:rFonts w:ascii="Arial" w:hAnsi="Arial" w:cs="Arial"/>
          <w:sz w:val="22"/>
          <w:szCs w:val="22"/>
        </w:rPr>
        <w:t xml:space="preserve">a </w:t>
      </w:r>
      <w:proofErr w:type="spellStart"/>
      <w:r w:rsidRPr="004E3232">
        <w:rPr>
          <w:rFonts w:ascii="Arial" w:hAnsi="Arial" w:cs="Arial"/>
          <w:sz w:val="22"/>
          <w:szCs w:val="22"/>
        </w:rPr>
        <w:t>Ped.II</w:t>
      </w:r>
      <w:proofErr w:type="spellEnd"/>
      <w:r w:rsidRPr="004E3232">
        <w:rPr>
          <w:rFonts w:ascii="Arial" w:hAnsi="Arial" w:cs="Arial"/>
          <w:sz w:val="22"/>
          <w:szCs w:val="22"/>
        </w:rPr>
        <w:t>. fokozatnál 19%-os emeléssel minden óvodapedagógus számára biztosításra kerül. Emelkedtek a pótlékok (megbízások) díjai is a törvényben meghatározott arányszámokkal.</w:t>
      </w:r>
    </w:p>
    <w:p w14:paraId="27E502FF" w14:textId="77777777" w:rsidR="004E3232" w:rsidRPr="004E3232" w:rsidRDefault="004E3232" w:rsidP="004E3232">
      <w:pPr>
        <w:suppressAutoHyphens/>
        <w:overflowPunct w:val="0"/>
        <w:autoSpaceDE w:val="0"/>
        <w:spacing w:line="276" w:lineRule="auto"/>
        <w:jc w:val="both"/>
        <w:textAlignment w:val="baseline"/>
        <w:rPr>
          <w:rFonts w:ascii="Arial" w:hAnsi="Arial" w:cs="Arial"/>
          <w:sz w:val="22"/>
          <w:szCs w:val="22"/>
        </w:rPr>
      </w:pPr>
    </w:p>
    <w:p w14:paraId="17B0A889" w14:textId="2AF78238" w:rsidR="004E3232" w:rsidRPr="004E3232" w:rsidRDefault="004E3232" w:rsidP="004E3232">
      <w:pPr>
        <w:suppressAutoHyphens/>
        <w:overflowPunct w:val="0"/>
        <w:autoSpaceDE w:val="0"/>
        <w:spacing w:line="276" w:lineRule="auto"/>
        <w:jc w:val="both"/>
        <w:textAlignment w:val="baseline"/>
        <w:rPr>
          <w:rFonts w:ascii="Arial" w:hAnsi="Arial" w:cs="Arial"/>
          <w:sz w:val="22"/>
          <w:szCs w:val="22"/>
        </w:rPr>
      </w:pPr>
      <w:r w:rsidRPr="004E3232">
        <w:rPr>
          <w:rFonts w:ascii="Arial" w:hAnsi="Arial" w:cs="Arial"/>
          <w:sz w:val="22"/>
          <w:szCs w:val="22"/>
        </w:rPr>
        <w:t xml:space="preserve">A nevelést, oktatást közvetlenül segítő dajkák, óvodatitkár, és pedagógiai asszisztensek bére a minimálbér és garantált bérminimum emelés következtében nő, továbbá emelkedik ennek vonzataként a kötelező </w:t>
      </w:r>
      <w:proofErr w:type="spellStart"/>
      <w:r w:rsidRPr="004E3232">
        <w:rPr>
          <w:rFonts w:ascii="Arial" w:hAnsi="Arial" w:cs="Arial"/>
          <w:sz w:val="22"/>
          <w:szCs w:val="22"/>
        </w:rPr>
        <w:t>pótlékuk</w:t>
      </w:r>
      <w:proofErr w:type="spellEnd"/>
      <w:r w:rsidRPr="004E3232">
        <w:rPr>
          <w:rFonts w:ascii="Arial" w:hAnsi="Arial" w:cs="Arial"/>
          <w:sz w:val="22"/>
          <w:szCs w:val="22"/>
        </w:rPr>
        <w:t xml:space="preserve"> is, bruttó 30 000 Ft/fő + járulék bérnövekedést tartalmaz a tervezet munkáltatói döntésen alapuló illetmény biztosításával a 2025.évi költségvetési évre.</w:t>
      </w:r>
    </w:p>
    <w:p w14:paraId="6F3E5693" w14:textId="77777777" w:rsidR="004E3232" w:rsidRPr="004E3232" w:rsidRDefault="004E3232" w:rsidP="004E3232">
      <w:pPr>
        <w:suppressAutoHyphens/>
        <w:overflowPunct w:val="0"/>
        <w:autoSpaceDE w:val="0"/>
        <w:spacing w:line="276" w:lineRule="auto"/>
        <w:jc w:val="both"/>
        <w:textAlignment w:val="baseline"/>
        <w:rPr>
          <w:rFonts w:ascii="Arial" w:hAnsi="Arial" w:cs="Arial"/>
          <w:sz w:val="22"/>
          <w:szCs w:val="22"/>
        </w:rPr>
      </w:pPr>
    </w:p>
    <w:p w14:paraId="783F849D" w14:textId="47F1FD7C" w:rsidR="00D46103" w:rsidRDefault="004E3232" w:rsidP="004E3232">
      <w:pPr>
        <w:suppressAutoHyphens/>
        <w:overflowPunct w:val="0"/>
        <w:autoSpaceDE w:val="0"/>
        <w:spacing w:line="276" w:lineRule="auto"/>
        <w:jc w:val="both"/>
        <w:textAlignment w:val="baseline"/>
        <w:rPr>
          <w:rFonts w:ascii="Arial" w:hAnsi="Arial" w:cs="Arial"/>
          <w:sz w:val="22"/>
          <w:szCs w:val="22"/>
          <w:highlight w:val="yellow"/>
        </w:rPr>
      </w:pPr>
      <w:r w:rsidRPr="004E3232">
        <w:rPr>
          <w:rFonts w:ascii="Arial" w:hAnsi="Arial" w:cs="Arial"/>
          <w:sz w:val="22"/>
          <w:szCs w:val="22"/>
        </w:rPr>
        <w:t xml:space="preserve">A konyhai dolgozókra csak a minimálbér és garantált bérminimum összegei vonatkoznak a közalkalmazotti bértáblázat szerint, ezért részükre a központi intézkedések mellett bruttó 30 000 Ft/fő + járulék, ill. vezető esetében bruttó 40 000Ft/fő + járulék munkáltatói döntésen alapuló bérnövekedést tartalmaz a tervezet. </w:t>
      </w:r>
    </w:p>
    <w:p w14:paraId="06E49A95" w14:textId="77777777" w:rsidR="004E3232" w:rsidRPr="00A82F71" w:rsidRDefault="004E3232" w:rsidP="004E3232">
      <w:pPr>
        <w:suppressAutoHyphens/>
        <w:overflowPunct w:val="0"/>
        <w:autoSpaceDE w:val="0"/>
        <w:spacing w:line="276" w:lineRule="auto"/>
        <w:jc w:val="both"/>
        <w:textAlignment w:val="baseline"/>
        <w:rPr>
          <w:rFonts w:ascii="Arial" w:hAnsi="Arial" w:cs="Arial"/>
          <w:sz w:val="22"/>
          <w:szCs w:val="22"/>
          <w:highlight w:val="yellow"/>
        </w:rPr>
      </w:pPr>
    </w:p>
    <w:p w14:paraId="70D80D9B" w14:textId="5CB520F1" w:rsidR="003963BE" w:rsidRPr="004E3232" w:rsidRDefault="003963BE" w:rsidP="003963BE">
      <w:pPr>
        <w:suppressAutoHyphens/>
        <w:overflowPunct w:val="0"/>
        <w:autoSpaceDE w:val="0"/>
        <w:spacing w:line="276" w:lineRule="auto"/>
        <w:jc w:val="both"/>
        <w:textAlignment w:val="baseline"/>
        <w:rPr>
          <w:rFonts w:ascii="Arial" w:hAnsi="Arial" w:cs="Arial"/>
          <w:sz w:val="22"/>
          <w:szCs w:val="22"/>
        </w:rPr>
      </w:pPr>
      <w:r w:rsidRPr="004E3232">
        <w:rPr>
          <w:rFonts w:ascii="Arial" w:hAnsi="Arial" w:cs="Arial"/>
          <w:b/>
          <w:bCs/>
          <w:sz w:val="22"/>
          <w:szCs w:val="22"/>
        </w:rPr>
        <w:t xml:space="preserve">A </w:t>
      </w:r>
      <w:r w:rsidRPr="004E3232">
        <w:rPr>
          <w:rFonts w:ascii="Arial" w:hAnsi="Arial" w:cs="Arial"/>
          <w:b/>
          <w:bCs/>
          <w:sz w:val="22"/>
          <w:szCs w:val="22"/>
          <w:u w:val="single"/>
        </w:rPr>
        <w:t>Gondozási Központ</w:t>
      </w:r>
      <w:r w:rsidRPr="004E3232">
        <w:rPr>
          <w:rFonts w:ascii="Arial" w:hAnsi="Arial" w:cs="Arial"/>
          <w:b/>
          <w:bCs/>
          <w:sz w:val="22"/>
          <w:szCs w:val="22"/>
        </w:rPr>
        <w:t xml:space="preserve"> feladatellátásához </w:t>
      </w:r>
      <w:r w:rsidR="004E3232" w:rsidRPr="004E3232">
        <w:rPr>
          <w:rFonts w:ascii="Arial" w:hAnsi="Arial" w:cs="Arial"/>
          <w:b/>
          <w:bCs/>
          <w:sz w:val="22"/>
          <w:szCs w:val="22"/>
        </w:rPr>
        <w:t xml:space="preserve">94 939 110 </w:t>
      </w:r>
      <w:r w:rsidRPr="004E3232">
        <w:rPr>
          <w:rFonts w:ascii="Arial" w:hAnsi="Arial" w:cs="Arial"/>
          <w:b/>
          <w:bCs/>
          <w:sz w:val="22"/>
          <w:szCs w:val="22"/>
        </w:rPr>
        <w:t xml:space="preserve">Ft, Bátaszék Város Önkormányzata által igényelhető állami támogatás kerül átadásra, emellett Önkormányzatunk </w:t>
      </w:r>
      <w:r w:rsidR="004E3232" w:rsidRPr="004E3232">
        <w:rPr>
          <w:rFonts w:ascii="Arial" w:hAnsi="Arial" w:cs="Arial"/>
          <w:b/>
          <w:bCs/>
          <w:sz w:val="22"/>
          <w:szCs w:val="22"/>
        </w:rPr>
        <w:t xml:space="preserve">61 774 856 Ft önerők biztosít tervszinten a feladat ellátáshoz az előző évi </w:t>
      </w:r>
      <w:r w:rsidRPr="004E3232">
        <w:rPr>
          <w:rFonts w:ascii="Arial" w:hAnsi="Arial" w:cs="Arial"/>
          <w:b/>
          <w:bCs/>
          <w:sz w:val="22"/>
          <w:szCs w:val="22"/>
        </w:rPr>
        <w:t>65 200 964 Ft</w:t>
      </w:r>
      <w:r w:rsidR="004E3232" w:rsidRPr="004E3232">
        <w:rPr>
          <w:rFonts w:ascii="Arial" w:hAnsi="Arial" w:cs="Arial"/>
          <w:b/>
          <w:bCs/>
          <w:sz w:val="22"/>
          <w:szCs w:val="22"/>
        </w:rPr>
        <w:t>-tal szemben.</w:t>
      </w:r>
    </w:p>
    <w:p w14:paraId="6480A981" w14:textId="77777777" w:rsidR="00877E17" w:rsidRPr="004E3232" w:rsidRDefault="00877E17" w:rsidP="003963BE">
      <w:pPr>
        <w:suppressAutoHyphens/>
        <w:overflowPunct w:val="0"/>
        <w:autoSpaceDE w:val="0"/>
        <w:spacing w:line="276" w:lineRule="auto"/>
        <w:jc w:val="both"/>
        <w:textAlignment w:val="baseline"/>
        <w:rPr>
          <w:rFonts w:ascii="Arial" w:hAnsi="Arial" w:cs="Arial"/>
          <w:sz w:val="22"/>
          <w:szCs w:val="22"/>
        </w:rPr>
      </w:pPr>
    </w:p>
    <w:p w14:paraId="1EF1E5CA" w14:textId="7EAE2A33" w:rsidR="004E3232" w:rsidRPr="004E3232" w:rsidRDefault="002E29DE" w:rsidP="004E3232">
      <w:pPr>
        <w:overflowPunct w:val="0"/>
        <w:autoSpaceDE w:val="0"/>
        <w:autoSpaceDN w:val="0"/>
        <w:adjustRightInd w:val="0"/>
        <w:spacing w:line="276" w:lineRule="auto"/>
        <w:jc w:val="both"/>
        <w:textAlignment w:val="baseline"/>
        <w:rPr>
          <w:rFonts w:ascii="Arial" w:hAnsi="Arial" w:cs="Arial"/>
          <w:sz w:val="22"/>
          <w:szCs w:val="22"/>
        </w:rPr>
      </w:pPr>
      <w:r w:rsidRPr="00F95C2E">
        <w:rPr>
          <w:rFonts w:ascii="Arial" w:hAnsi="Arial" w:cs="Arial"/>
          <w:sz w:val="22"/>
          <w:szCs w:val="22"/>
        </w:rPr>
        <w:t>Az intézmény</w:t>
      </w:r>
      <w:r w:rsidR="004E3232">
        <w:rPr>
          <w:rFonts w:ascii="Arial" w:hAnsi="Arial" w:cs="Arial"/>
          <w:sz w:val="22"/>
          <w:szCs w:val="22"/>
        </w:rPr>
        <w:t xml:space="preserve"> </w:t>
      </w:r>
      <w:r w:rsidR="004E3232" w:rsidRPr="004E3232">
        <w:rPr>
          <w:rFonts w:ascii="Arial" w:hAnsi="Arial" w:cs="Arial"/>
          <w:sz w:val="22"/>
          <w:szCs w:val="22"/>
        </w:rPr>
        <w:t>20 fő munkatársa a közalkalmazotti törvény alapján kerül alkalmazásra. A közalkalmazotti bértábla fizetési fokozatai és osztályai szerinti alapilletmény besorolás a garantált bérminimum összegeivel azonosak. Az állami költségvetésből történő finanszírozással a munkatársak többsége ágazati pótlékban is részesül, de még így is jelentősen alacsonyabb a bérük a versenyszférához képest. A személyi juttatások között került betervezésre a közalkalmazottak rendszeres bére, a közlekedési költségtérítés, a bankszámlavezetési díjak, valamint az időszaki megbízási díjak. (A 15/2023.(IX.28) TT határozat értelmében 20 fő az álláshelyek száma, de a részmunkaidősök miatt 22 fővel került betöltésre az engedélyezett álláshely).</w:t>
      </w:r>
    </w:p>
    <w:p w14:paraId="41093A7E" w14:textId="77777777" w:rsidR="004E3232" w:rsidRPr="004E3232" w:rsidRDefault="004E3232" w:rsidP="004E3232">
      <w:pPr>
        <w:overflowPunct w:val="0"/>
        <w:autoSpaceDE w:val="0"/>
        <w:autoSpaceDN w:val="0"/>
        <w:adjustRightInd w:val="0"/>
        <w:spacing w:line="276" w:lineRule="auto"/>
        <w:jc w:val="both"/>
        <w:textAlignment w:val="baseline"/>
        <w:rPr>
          <w:rFonts w:ascii="Arial" w:hAnsi="Arial" w:cs="Arial"/>
          <w:sz w:val="22"/>
          <w:szCs w:val="22"/>
        </w:rPr>
      </w:pPr>
    </w:p>
    <w:p w14:paraId="1A15D1E3" w14:textId="77777777" w:rsidR="004E3232" w:rsidRPr="004E3232" w:rsidRDefault="004E3232" w:rsidP="004E3232">
      <w:pPr>
        <w:overflowPunct w:val="0"/>
        <w:autoSpaceDE w:val="0"/>
        <w:autoSpaceDN w:val="0"/>
        <w:adjustRightInd w:val="0"/>
        <w:spacing w:line="276" w:lineRule="auto"/>
        <w:jc w:val="both"/>
        <w:textAlignment w:val="baseline"/>
        <w:rPr>
          <w:rFonts w:ascii="Arial" w:hAnsi="Arial" w:cs="Arial"/>
          <w:sz w:val="22"/>
          <w:szCs w:val="22"/>
        </w:rPr>
      </w:pPr>
      <w:r w:rsidRPr="004E3232">
        <w:rPr>
          <w:rFonts w:ascii="Arial" w:hAnsi="Arial" w:cs="Arial"/>
          <w:sz w:val="22"/>
          <w:szCs w:val="22"/>
        </w:rPr>
        <w:t>A garantált bérminimum változásokat figyelembe véve 6 260 652 Ft az ebből származó bérnövekedés hatása.</w:t>
      </w:r>
    </w:p>
    <w:p w14:paraId="5221AA56" w14:textId="77777777" w:rsidR="004E3232" w:rsidRPr="004E3232" w:rsidRDefault="004E3232" w:rsidP="004E3232">
      <w:pPr>
        <w:overflowPunct w:val="0"/>
        <w:autoSpaceDE w:val="0"/>
        <w:autoSpaceDN w:val="0"/>
        <w:adjustRightInd w:val="0"/>
        <w:spacing w:line="276" w:lineRule="auto"/>
        <w:jc w:val="both"/>
        <w:textAlignment w:val="baseline"/>
        <w:rPr>
          <w:rFonts w:ascii="Arial" w:hAnsi="Arial" w:cs="Arial"/>
          <w:sz w:val="22"/>
          <w:szCs w:val="22"/>
        </w:rPr>
      </w:pPr>
    </w:p>
    <w:p w14:paraId="6FB9D3AB" w14:textId="239C468B" w:rsidR="0036446A" w:rsidRPr="00A82F71" w:rsidRDefault="004E3232" w:rsidP="0036446A">
      <w:pPr>
        <w:overflowPunct w:val="0"/>
        <w:autoSpaceDE w:val="0"/>
        <w:autoSpaceDN w:val="0"/>
        <w:adjustRightInd w:val="0"/>
        <w:spacing w:line="276" w:lineRule="auto"/>
        <w:jc w:val="both"/>
        <w:textAlignment w:val="baseline"/>
        <w:rPr>
          <w:rFonts w:ascii="Arial" w:hAnsi="Arial" w:cs="Arial"/>
          <w:sz w:val="22"/>
          <w:szCs w:val="22"/>
          <w:highlight w:val="yellow"/>
          <w:lang w:eastAsia="hu-HU"/>
        </w:rPr>
      </w:pPr>
      <w:r w:rsidRPr="004E3232">
        <w:rPr>
          <w:rFonts w:ascii="Arial" w:hAnsi="Arial" w:cs="Arial"/>
          <w:sz w:val="22"/>
          <w:szCs w:val="22"/>
        </w:rPr>
        <w:t>A 2025. évi költségvetési javaslat minden dolgozót érintve 30.000.- Ft munkáltatói döntésen alap</w:t>
      </w:r>
      <w:r w:rsidR="00F95C2E">
        <w:rPr>
          <w:rFonts w:ascii="Arial" w:hAnsi="Arial" w:cs="Arial"/>
          <w:sz w:val="22"/>
          <w:szCs w:val="22"/>
        </w:rPr>
        <w:t>u</w:t>
      </w:r>
      <w:r w:rsidRPr="004E3232">
        <w:rPr>
          <w:rFonts w:ascii="Arial" w:hAnsi="Arial" w:cs="Arial"/>
          <w:sz w:val="22"/>
          <w:szCs w:val="22"/>
        </w:rPr>
        <w:t>ló bérkiegészítést tartalmaz, mely a keresetek reálértékének csökkenését némileg ellensúlyozza.  Ez az intézkedés Bátaszék, Alsónyék, Alsónána, Báta, Pörböly, Sárpilis, Várdomb településeket érinti, ami összegében 2 383 848.- Ft többlet juttatás biztosítását jelenti.</w:t>
      </w:r>
    </w:p>
    <w:p w14:paraId="720C30A4" w14:textId="74AC688C" w:rsidR="00D459CC" w:rsidRPr="00F95C2E" w:rsidRDefault="0036446A" w:rsidP="00D46103">
      <w:pPr>
        <w:overflowPunct w:val="0"/>
        <w:autoSpaceDE w:val="0"/>
        <w:autoSpaceDN w:val="0"/>
        <w:adjustRightInd w:val="0"/>
        <w:spacing w:line="276" w:lineRule="auto"/>
        <w:jc w:val="both"/>
        <w:textAlignment w:val="baseline"/>
        <w:rPr>
          <w:rFonts w:ascii="Arial" w:hAnsi="Arial" w:cs="Arial"/>
          <w:sz w:val="22"/>
          <w:szCs w:val="22"/>
          <w:lang w:eastAsia="hu-HU"/>
        </w:rPr>
      </w:pPr>
      <w:r w:rsidRPr="00F95C2E">
        <w:rPr>
          <w:rFonts w:ascii="Arial" w:hAnsi="Arial" w:cs="Arial"/>
          <w:sz w:val="22"/>
          <w:szCs w:val="22"/>
          <w:lang w:eastAsia="hu-HU"/>
        </w:rPr>
        <w:t>A társulás által fenntartott intézményeknél foglalkoztatott közalkalmazottak részére a 202</w:t>
      </w:r>
      <w:r w:rsidR="00F95C2E" w:rsidRPr="00F95C2E">
        <w:rPr>
          <w:rFonts w:ascii="Arial" w:hAnsi="Arial" w:cs="Arial"/>
          <w:sz w:val="22"/>
          <w:szCs w:val="22"/>
          <w:lang w:eastAsia="hu-HU"/>
        </w:rPr>
        <w:t>5</w:t>
      </w:r>
      <w:r w:rsidRPr="00F95C2E">
        <w:rPr>
          <w:rFonts w:ascii="Arial" w:hAnsi="Arial" w:cs="Arial"/>
          <w:sz w:val="22"/>
          <w:szCs w:val="22"/>
          <w:lang w:eastAsia="hu-HU"/>
        </w:rPr>
        <w:t xml:space="preserve">. év során sem számoltunk </w:t>
      </w:r>
      <w:proofErr w:type="spellStart"/>
      <w:r w:rsidRPr="00F95C2E">
        <w:rPr>
          <w:rFonts w:ascii="Arial" w:hAnsi="Arial" w:cs="Arial"/>
          <w:sz w:val="22"/>
          <w:szCs w:val="22"/>
          <w:lang w:eastAsia="hu-HU"/>
        </w:rPr>
        <w:t>cafetéria</w:t>
      </w:r>
      <w:proofErr w:type="spellEnd"/>
      <w:r w:rsidRPr="00F95C2E">
        <w:rPr>
          <w:rFonts w:ascii="Arial" w:hAnsi="Arial" w:cs="Arial"/>
          <w:sz w:val="22"/>
          <w:szCs w:val="22"/>
          <w:lang w:eastAsia="hu-HU"/>
        </w:rPr>
        <w:t xml:space="preserve"> juttatással, jutalom előirányzattal. A dolgozók részére az előző évben is biztosított </w:t>
      </w:r>
      <w:r w:rsidRPr="00F95C2E">
        <w:rPr>
          <w:rFonts w:ascii="Arial" w:hAnsi="Arial" w:cs="Arial"/>
          <w:sz w:val="22"/>
          <w:szCs w:val="22"/>
        </w:rPr>
        <w:t>nem rendszeres juttatásokkal</w:t>
      </w:r>
      <w:r w:rsidR="000507A1" w:rsidRPr="00F95C2E">
        <w:rPr>
          <w:rFonts w:ascii="Arial" w:hAnsi="Arial" w:cs="Arial"/>
          <w:sz w:val="22"/>
          <w:szCs w:val="22"/>
        </w:rPr>
        <w:t xml:space="preserve"> </w:t>
      </w:r>
      <w:r w:rsidRPr="00F95C2E">
        <w:rPr>
          <w:rFonts w:ascii="Arial" w:hAnsi="Arial" w:cs="Arial"/>
          <w:sz w:val="22"/>
          <w:szCs w:val="22"/>
        </w:rPr>
        <w:t>(a bankszámlavezetési díjak, közlekedési költségtérítések, a magáncélú telefon használati díjak)</w:t>
      </w:r>
      <w:r w:rsidR="000507A1" w:rsidRPr="00F95C2E">
        <w:rPr>
          <w:rFonts w:ascii="Arial" w:hAnsi="Arial" w:cs="Arial"/>
          <w:sz w:val="22"/>
          <w:szCs w:val="22"/>
        </w:rPr>
        <w:t>,</w:t>
      </w:r>
      <w:r w:rsidRPr="00F95C2E">
        <w:rPr>
          <w:rFonts w:ascii="Arial" w:hAnsi="Arial" w:cs="Arial"/>
          <w:sz w:val="22"/>
          <w:szCs w:val="22"/>
        </w:rPr>
        <w:t xml:space="preserve"> é</w:t>
      </w:r>
      <w:r w:rsidR="000507A1" w:rsidRPr="00F95C2E">
        <w:rPr>
          <w:rFonts w:ascii="Arial" w:hAnsi="Arial" w:cs="Arial"/>
          <w:sz w:val="22"/>
          <w:szCs w:val="22"/>
        </w:rPr>
        <w:t>s</w:t>
      </w:r>
      <w:r w:rsidRPr="00F95C2E">
        <w:rPr>
          <w:rFonts w:ascii="Arial" w:hAnsi="Arial" w:cs="Arial"/>
          <w:sz w:val="22"/>
          <w:szCs w:val="22"/>
        </w:rPr>
        <w:t xml:space="preserve"> megbízási díjak</w:t>
      </w:r>
      <w:r w:rsidR="000507A1" w:rsidRPr="00F95C2E">
        <w:rPr>
          <w:rFonts w:ascii="Arial" w:hAnsi="Arial" w:cs="Arial"/>
          <w:sz w:val="22"/>
          <w:szCs w:val="22"/>
        </w:rPr>
        <w:t>kal</w:t>
      </w:r>
      <w:r w:rsidRPr="00F95C2E">
        <w:rPr>
          <w:rFonts w:ascii="Arial" w:hAnsi="Arial" w:cs="Arial"/>
          <w:sz w:val="22"/>
          <w:szCs w:val="22"/>
        </w:rPr>
        <w:t xml:space="preserve"> </w:t>
      </w:r>
      <w:r w:rsidR="000507A1" w:rsidRPr="00F95C2E">
        <w:rPr>
          <w:rFonts w:ascii="Arial" w:hAnsi="Arial" w:cs="Arial"/>
          <w:sz w:val="22"/>
          <w:szCs w:val="22"/>
        </w:rPr>
        <w:t>terveztünk.</w:t>
      </w:r>
    </w:p>
    <w:p w14:paraId="46FB27CF" w14:textId="08A64E64" w:rsidR="00D459CC" w:rsidRPr="00F95C2E" w:rsidRDefault="00D46103" w:rsidP="00D459CC">
      <w:pPr>
        <w:overflowPunct w:val="0"/>
        <w:autoSpaceDE w:val="0"/>
        <w:autoSpaceDN w:val="0"/>
        <w:adjustRightInd w:val="0"/>
        <w:spacing w:line="276" w:lineRule="auto"/>
        <w:jc w:val="both"/>
        <w:textAlignment w:val="baseline"/>
        <w:rPr>
          <w:rFonts w:ascii="Arial" w:hAnsi="Arial" w:cs="Arial"/>
          <w:sz w:val="22"/>
          <w:szCs w:val="22"/>
          <w:lang w:eastAsia="hu-HU"/>
        </w:rPr>
      </w:pPr>
      <w:r w:rsidRPr="00F95C2E">
        <w:rPr>
          <w:rFonts w:ascii="Arial" w:hAnsi="Arial" w:cs="Arial"/>
          <w:sz w:val="22"/>
          <w:szCs w:val="22"/>
          <w:lang w:eastAsia="hu-HU"/>
        </w:rPr>
        <w:t xml:space="preserve">A dologi kiadásoknál átlag </w:t>
      </w:r>
      <w:r w:rsidR="00F95C2E" w:rsidRPr="00F95C2E">
        <w:rPr>
          <w:rFonts w:ascii="Arial" w:hAnsi="Arial" w:cs="Arial"/>
          <w:sz w:val="22"/>
          <w:szCs w:val="22"/>
          <w:lang w:eastAsia="hu-HU"/>
        </w:rPr>
        <w:t xml:space="preserve">6 </w:t>
      </w:r>
      <w:r w:rsidRPr="00F95C2E">
        <w:rPr>
          <w:rFonts w:ascii="Arial" w:hAnsi="Arial" w:cs="Arial"/>
          <w:sz w:val="22"/>
          <w:szCs w:val="22"/>
          <w:lang w:eastAsia="hu-HU"/>
        </w:rPr>
        <w:t>%-os emeléssel számoltunk</w:t>
      </w:r>
      <w:r w:rsidR="00877E17" w:rsidRPr="00F95C2E">
        <w:rPr>
          <w:rFonts w:ascii="Arial" w:hAnsi="Arial" w:cs="Arial"/>
          <w:sz w:val="22"/>
          <w:szCs w:val="22"/>
          <w:lang w:eastAsia="hu-HU"/>
        </w:rPr>
        <w:t xml:space="preserve">. </w:t>
      </w:r>
      <w:r w:rsidR="00D459CC" w:rsidRPr="00F95C2E">
        <w:rPr>
          <w:rFonts w:ascii="Arial" w:hAnsi="Arial" w:cs="Arial"/>
          <w:sz w:val="22"/>
          <w:szCs w:val="22"/>
          <w:lang w:eastAsia="hu-HU"/>
        </w:rPr>
        <w:t>Az energiaköltségeket az előző év tényleges felhasználási adatai alapján, a szerződésekből ismert díjjal kalkuláltuk, a nyersanyagbeszerzés költségét az előző évben lefolytatott beszerzés keretében elfogadott áraknak megfelelően, az érvényes nyersanyagnorma szerint határoztuk meg</w:t>
      </w:r>
      <w:r w:rsidR="00877E17" w:rsidRPr="00F95C2E">
        <w:rPr>
          <w:rFonts w:ascii="Arial" w:hAnsi="Arial" w:cs="Arial"/>
          <w:sz w:val="22"/>
          <w:szCs w:val="22"/>
          <w:lang w:eastAsia="hu-HU"/>
        </w:rPr>
        <w:t>.</w:t>
      </w:r>
    </w:p>
    <w:p w14:paraId="265B4352" w14:textId="237E753E" w:rsidR="00877E17" w:rsidRPr="006D4450" w:rsidRDefault="00877E17" w:rsidP="008067EC">
      <w:pPr>
        <w:overflowPunct w:val="0"/>
        <w:autoSpaceDE w:val="0"/>
        <w:autoSpaceDN w:val="0"/>
        <w:adjustRightInd w:val="0"/>
        <w:spacing w:line="276" w:lineRule="auto"/>
        <w:jc w:val="both"/>
        <w:textAlignment w:val="baseline"/>
        <w:rPr>
          <w:rFonts w:ascii="Arial" w:hAnsi="Arial" w:cs="Arial"/>
          <w:sz w:val="22"/>
          <w:szCs w:val="22"/>
          <w:lang w:eastAsia="hu-HU"/>
        </w:rPr>
      </w:pPr>
    </w:p>
    <w:p w14:paraId="464338A9" w14:textId="36920D76" w:rsidR="00617C75" w:rsidRPr="00AD67EC" w:rsidRDefault="00877E17" w:rsidP="00AD67EC">
      <w:pPr>
        <w:suppressAutoHyphens/>
        <w:overflowPunct w:val="0"/>
        <w:autoSpaceDE w:val="0"/>
        <w:spacing w:line="276" w:lineRule="auto"/>
        <w:jc w:val="both"/>
        <w:textAlignment w:val="baseline"/>
        <w:rPr>
          <w:rFonts w:ascii="Arial" w:hAnsi="Arial" w:cs="Arial"/>
          <w:sz w:val="22"/>
          <w:szCs w:val="22"/>
        </w:rPr>
      </w:pPr>
      <w:r w:rsidRPr="00AD67EC">
        <w:rPr>
          <w:rFonts w:ascii="Arial" w:hAnsi="Arial" w:cs="Arial"/>
          <w:sz w:val="22"/>
          <w:szCs w:val="22"/>
        </w:rPr>
        <w:t>Az államháztartáson belülre átadandó működési célú összeg tartalmazza még</w:t>
      </w:r>
      <w:r w:rsidR="00AD67EC" w:rsidRPr="00AD67EC">
        <w:rPr>
          <w:rFonts w:ascii="Arial" w:hAnsi="Arial" w:cs="Arial"/>
          <w:sz w:val="22"/>
          <w:szCs w:val="22"/>
        </w:rPr>
        <w:t xml:space="preserve"> </w:t>
      </w:r>
      <w:r w:rsidR="00D46103" w:rsidRPr="00AD67EC">
        <w:rPr>
          <w:rFonts w:ascii="Arial" w:hAnsi="Arial" w:cs="Arial"/>
          <w:sz w:val="22"/>
          <w:szCs w:val="22"/>
        </w:rPr>
        <w:t>a nemzetiségi önkormányzatok részére</w:t>
      </w:r>
      <w:r w:rsidR="000B50B7" w:rsidRPr="00AD67EC">
        <w:rPr>
          <w:rFonts w:ascii="Arial" w:hAnsi="Arial" w:cs="Arial"/>
          <w:sz w:val="22"/>
          <w:szCs w:val="22"/>
        </w:rPr>
        <w:t xml:space="preserve"> biztosított </w:t>
      </w:r>
      <w:r w:rsidR="00AD67EC" w:rsidRPr="00AD67EC">
        <w:rPr>
          <w:rFonts w:ascii="Arial" w:hAnsi="Arial" w:cs="Arial"/>
          <w:sz w:val="22"/>
          <w:szCs w:val="22"/>
        </w:rPr>
        <w:t xml:space="preserve">600-600 e Ft </w:t>
      </w:r>
      <w:r w:rsidR="000B50B7" w:rsidRPr="00AD67EC">
        <w:rPr>
          <w:rFonts w:ascii="Arial" w:hAnsi="Arial" w:cs="Arial"/>
          <w:sz w:val="22"/>
          <w:szCs w:val="22"/>
        </w:rPr>
        <w:t>támogatást</w:t>
      </w:r>
      <w:r w:rsidR="00D46103" w:rsidRPr="00AD67EC">
        <w:rPr>
          <w:rFonts w:ascii="Arial" w:hAnsi="Arial" w:cs="Arial"/>
          <w:sz w:val="22"/>
          <w:szCs w:val="22"/>
        </w:rPr>
        <w:t xml:space="preserve">, a </w:t>
      </w:r>
      <w:proofErr w:type="spellStart"/>
      <w:r w:rsidR="00D46103" w:rsidRPr="00AD67EC">
        <w:rPr>
          <w:rFonts w:ascii="Arial" w:hAnsi="Arial" w:cs="Arial"/>
          <w:sz w:val="22"/>
          <w:szCs w:val="22"/>
        </w:rPr>
        <w:t>Bursa</w:t>
      </w:r>
      <w:proofErr w:type="spellEnd"/>
      <w:r w:rsidR="00D46103" w:rsidRPr="00AD67EC">
        <w:rPr>
          <w:rFonts w:ascii="Arial" w:hAnsi="Arial" w:cs="Arial"/>
          <w:sz w:val="22"/>
          <w:szCs w:val="22"/>
        </w:rPr>
        <w:t xml:space="preserve"> Hungarica ösztöndíjra átadásra kerülő </w:t>
      </w:r>
      <w:r w:rsidR="00AD67EC" w:rsidRPr="00AD67EC">
        <w:rPr>
          <w:rFonts w:ascii="Arial" w:hAnsi="Arial" w:cs="Arial"/>
          <w:sz w:val="22"/>
          <w:szCs w:val="22"/>
        </w:rPr>
        <w:t xml:space="preserve">1 600 000 Ft </w:t>
      </w:r>
      <w:r w:rsidR="00D46103" w:rsidRPr="00AD67EC">
        <w:rPr>
          <w:rFonts w:ascii="Arial" w:hAnsi="Arial" w:cs="Arial"/>
          <w:sz w:val="22"/>
          <w:szCs w:val="22"/>
        </w:rPr>
        <w:t>összegek</w:t>
      </w:r>
      <w:r w:rsidR="000B50B7" w:rsidRPr="00AD67EC">
        <w:rPr>
          <w:rFonts w:ascii="Arial" w:hAnsi="Arial" w:cs="Arial"/>
          <w:sz w:val="22"/>
          <w:szCs w:val="22"/>
        </w:rPr>
        <w:t>et</w:t>
      </w:r>
      <w:r w:rsidR="00D46103" w:rsidRPr="00AD67EC">
        <w:rPr>
          <w:rFonts w:ascii="Arial" w:hAnsi="Arial" w:cs="Arial"/>
          <w:sz w:val="22"/>
          <w:szCs w:val="22"/>
        </w:rPr>
        <w:t xml:space="preserve">, </w:t>
      </w:r>
      <w:r w:rsidR="000B50B7" w:rsidRPr="00AD67EC">
        <w:rPr>
          <w:rFonts w:ascii="Arial" w:hAnsi="Arial" w:cs="Arial"/>
          <w:sz w:val="22"/>
          <w:szCs w:val="22"/>
        </w:rPr>
        <w:t xml:space="preserve">valamint </w:t>
      </w:r>
      <w:r w:rsidR="00DB0DC4">
        <w:rPr>
          <w:rFonts w:ascii="Arial" w:hAnsi="Arial" w:cs="Arial"/>
          <w:sz w:val="22"/>
          <w:szCs w:val="22"/>
        </w:rPr>
        <w:t xml:space="preserve">itt kerül </w:t>
      </w:r>
      <w:r w:rsidR="00DB0DC4" w:rsidRPr="00DB0DC4">
        <w:rPr>
          <w:rFonts w:ascii="Arial" w:hAnsi="Arial" w:cs="Arial"/>
          <w:sz w:val="22"/>
          <w:szCs w:val="22"/>
        </w:rPr>
        <w:t xml:space="preserve">kimutatásra </w:t>
      </w:r>
      <w:r w:rsidR="000B50B7" w:rsidRPr="00DB0DC4">
        <w:rPr>
          <w:rFonts w:ascii="Arial" w:hAnsi="Arial" w:cs="Arial"/>
          <w:sz w:val="22"/>
          <w:szCs w:val="22"/>
        </w:rPr>
        <w:t xml:space="preserve">a </w:t>
      </w:r>
      <w:r w:rsidR="00E83EB3" w:rsidRPr="00DB0DC4">
        <w:rPr>
          <w:rFonts w:ascii="Arial" w:hAnsi="Arial" w:cs="Arial"/>
          <w:sz w:val="22"/>
          <w:szCs w:val="22"/>
        </w:rPr>
        <w:t xml:space="preserve">KÖH 2024. évi </w:t>
      </w:r>
      <w:r w:rsidR="00DB0DC4" w:rsidRPr="00DB0DC4">
        <w:rPr>
          <w:rFonts w:ascii="Arial" w:hAnsi="Arial" w:cs="Arial"/>
          <w:sz w:val="22"/>
          <w:szCs w:val="22"/>
        </w:rPr>
        <w:t>felosztandó maradványa a tervezési szabályok szerint 725 189 Ft összeggel.</w:t>
      </w:r>
    </w:p>
    <w:p w14:paraId="4FCD9FD3" w14:textId="7001E436" w:rsidR="00D54413" w:rsidRPr="000D7EF1" w:rsidRDefault="006325C2" w:rsidP="00E1502C">
      <w:pPr>
        <w:spacing w:before="120"/>
        <w:jc w:val="both"/>
        <w:rPr>
          <w:rFonts w:ascii="Arial" w:hAnsi="Arial" w:cs="Arial"/>
          <w:sz w:val="22"/>
          <w:szCs w:val="22"/>
        </w:rPr>
      </w:pPr>
      <w:r w:rsidRPr="00343350">
        <w:rPr>
          <w:rFonts w:ascii="Arial" w:hAnsi="Arial" w:cs="Arial"/>
          <w:sz w:val="22"/>
          <w:szCs w:val="22"/>
        </w:rPr>
        <w:t xml:space="preserve">Szintén a 12. sz. mellékletben részletesen kimutattuk az </w:t>
      </w:r>
      <w:r w:rsidRPr="00343350">
        <w:rPr>
          <w:rFonts w:ascii="Arial" w:hAnsi="Arial" w:cs="Arial"/>
          <w:b/>
          <w:sz w:val="22"/>
          <w:szCs w:val="22"/>
          <w:u w:val="single"/>
        </w:rPr>
        <w:t xml:space="preserve">Egyéb működési célú kiadásokat </w:t>
      </w:r>
      <w:r w:rsidRPr="000D7EF1">
        <w:rPr>
          <w:rFonts w:ascii="Arial" w:hAnsi="Arial" w:cs="Arial"/>
          <w:b/>
          <w:sz w:val="22"/>
          <w:szCs w:val="22"/>
          <w:u w:val="single"/>
        </w:rPr>
        <w:t>államháztartáson kívülre</w:t>
      </w:r>
      <w:proofErr w:type="gramStart"/>
      <w:r w:rsidR="00AD67EC" w:rsidRPr="000D7EF1">
        <w:rPr>
          <w:rFonts w:ascii="Arial" w:hAnsi="Arial" w:cs="Arial"/>
          <w:b/>
          <w:sz w:val="22"/>
          <w:szCs w:val="22"/>
          <w:u w:val="single"/>
        </w:rPr>
        <w:t>.</w:t>
      </w:r>
      <w:r w:rsidR="00161EEA" w:rsidRPr="000D7EF1">
        <w:rPr>
          <w:rFonts w:ascii="Arial" w:hAnsi="Arial" w:cs="Arial"/>
          <w:sz w:val="22"/>
          <w:szCs w:val="22"/>
        </w:rPr>
        <w:t>.</w:t>
      </w:r>
      <w:proofErr w:type="gramEnd"/>
      <w:r w:rsidR="00161EEA" w:rsidRPr="000D7EF1">
        <w:rPr>
          <w:rFonts w:ascii="Arial" w:hAnsi="Arial" w:cs="Arial"/>
          <w:sz w:val="22"/>
          <w:szCs w:val="22"/>
        </w:rPr>
        <w:t xml:space="preserve"> Az itt megjelenő </w:t>
      </w:r>
      <w:r w:rsidR="00AD67EC" w:rsidRPr="000D7EF1">
        <w:rPr>
          <w:rFonts w:ascii="Arial" w:hAnsi="Arial" w:cs="Arial"/>
          <w:sz w:val="22"/>
          <w:szCs w:val="22"/>
        </w:rPr>
        <w:t xml:space="preserve">298 434 799 Ft előirányzat </w:t>
      </w:r>
      <w:r w:rsidR="00161EEA" w:rsidRPr="000D7EF1">
        <w:rPr>
          <w:rFonts w:ascii="Arial" w:hAnsi="Arial" w:cs="Arial"/>
          <w:sz w:val="22"/>
          <w:szCs w:val="22"/>
        </w:rPr>
        <w:t>280 794 688</w:t>
      </w:r>
      <w:r w:rsidR="00354E5A" w:rsidRPr="000D7EF1">
        <w:rPr>
          <w:rFonts w:ascii="Arial" w:hAnsi="Arial" w:cs="Arial"/>
          <w:sz w:val="22"/>
          <w:szCs w:val="22"/>
        </w:rPr>
        <w:t xml:space="preserve"> </w:t>
      </w:r>
      <w:r w:rsidR="00500E42" w:rsidRPr="000D7EF1">
        <w:rPr>
          <w:rFonts w:ascii="Arial" w:hAnsi="Arial" w:cs="Arial"/>
          <w:sz w:val="22"/>
          <w:szCs w:val="22"/>
        </w:rPr>
        <w:t xml:space="preserve">Ft </w:t>
      </w:r>
      <w:r w:rsidR="00354E5A" w:rsidRPr="000D7EF1">
        <w:rPr>
          <w:rFonts w:ascii="Arial" w:hAnsi="Arial" w:cs="Arial"/>
          <w:sz w:val="22"/>
          <w:szCs w:val="22"/>
        </w:rPr>
        <w:t xml:space="preserve">előirányzat szolgál </w:t>
      </w:r>
      <w:r w:rsidR="00AD67EC" w:rsidRPr="000D7EF1">
        <w:rPr>
          <w:rFonts w:ascii="Arial" w:hAnsi="Arial" w:cs="Arial"/>
          <w:sz w:val="22"/>
          <w:szCs w:val="22"/>
        </w:rPr>
        <w:t>16 943 000</w:t>
      </w:r>
      <w:r w:rsidR="00354E5A" w:rsidRPr="000D7EF1">
        <w:rPr>
          <w:rFonts w:ascii="Arial" w:hAnsi="Arial" w:cs="Arial"/>
          <w:sz w:val="22"/>
          <w:szCs w:val="22"/>
        </w:rPr>
        <w:t xml:space="preserve"> Ft összegben a </w:t>
      </w:r>
      <w:r w:rsidR="00F8190F" w:rsidRPr="000D7EF1">
        <w:rPr>
          <w:rFonts w:ascii="Arial" w:hAnsi="Arial" w:cs="Arial"/>
          <w:sz w:val="22"/>
          <w:szCs w:val="22"/>
        </w:rPr>
        <w:t xml:space="preserve">kiemelt szervezetek támogatására, </w:t>
      </w:r>
      <w:r w:rsidR="00D54413" w:rsidRPr="000D7EF1">
        <w:rPr>
          <w:rFonts w:ascii="Arial" w:hAnsi="Arial" w:cs="Arial"/>
          <w:sz w:val="22"/>
          <w:szCs w:val="22"/>
        </w:rPr>
        <w:t>továbbá tartalmazza az egyházak, a hagyományőrző egyesületek, az alapítványok, a sport</w:t>
      </w:r>
      <w:r w:rsidR="0060779E" w:rsidRPr="000D7EF1">
        <w:rPr>
          <w:rFonts w:ascii="Arial" w:hAnsi="Arial" w:cs="Arial"/>
          <w:sz w:val="22"/>
          <w:szCs w:val="22"/>
        </w:rPr>
        <w:t xml:space="preserve"> </w:t>
      </w:r>
      <w:r w:rsidR="00D54413" w:rsidRPr="000D7EF1">
        <w:rPr>
          <w:rFonts w:ascii="Arial" w:hAnsi="Arial" w:cs="Arial"/>
          <w:sz w:val="22"/>
          <w:szCs w:val="22"/>
        </w:rPr>
        <w:t>szervezet</w:t>
      </w:r>
      <w:r w:rsidR="0060779E" w:rsidRPr="000D7EF1">
        <w:rPr>
          <w:rFonts w:ascii="Arial" w:hAnsi="Arial" w:cs="Arial"/>
          <w:sz w:val="22"/>
          <w:szCs w:val="22"/>
        </w:rPr>
        <w:t>e</w:t>
      </w:r>
      <w:r w:rsidR="00D54413" w:rsidRPr="000D7EF1">
        <w:rPr>
          <w:rFonts w:ascii="Arial" w:hAnsi="Arial" w:cs="Arial"/>
          <w:sz w:val="22"/>
          <w:szCs w:val="22"/>
        </w:rPr>
        <w:t>k, közművelődési szervezetek, egyéb civil szervezetek pályázható támogatási keretösszegét.</w:t>
      </w:r>
      <w:r w:rsidR="00E1502C" w:rsidRPr="000D7EF1">
        <w:rPr>
          <w:rFonts w:ascii="Arial" w:hAnsi="Arial" w:cs="Arial"/>
          <w:sz w:val="22"/>
          <w:szCs w:val="22"/>
        </w:rPr>
        <w:t xml:space="preserve"> Az előző évben meghozott testületi döntés szerint fedezetet tartalmaz a felsőoktatási tanulmányi ösztöndíj 1 havi áthúzódó kiadására, valamint az ez évi kiadásra. </w:t>
      </w:r>
      <w:r w:rsidR="005A2562" w:rsidRPr="000D7EF1">
        <w:rPr>
          <w:rFonts w:ascii="Arial" w:hAnsi="Arial" w:cs="Arial"/>
          <w:sz w:val="22"/>
          <w:szCs w:val="22"/>
        </w:rPr>
        <w:t>Az előirányzat tartalmazza a köztemető fenntartásának 202</w:t>
      </w:r>
      <w:r w:rsidR="008F16F8" w:rsidRPr="000D7EF1">
        <w:rPr>
          <w:rFonts w:ascii="Arial" w:hAnsi="Arial" w:cs="Arial"/>
          <w:sz w:val="22"/>
          <w:szCs w:val="22"/>
        </w:rPr>
        <w:t>4</w:t>
      </w:r>
      <w:r w:rsidR="005A2562" w:rsidRPr="000D7EF1">
        <w:rPr>
          <w:rFonts w:ascii="Arial" w:hAnsi="Arial" w:cs="Arial"/>
          <w:sz w:val="22"/>
          <w:szCs w:val="22"/>
        </w:rPr>
        <w:t>. évi elszámolásával összefüggően fizetendő ös</w:t>
      </w:r>
      <w:r w:rsidR="00864EA0" w:rsidRPr="000D7EF1">
        <w:rPr>
          <w:rFonts w:ascii="Arial" w:hAnsi="Arial" w:cs="Arial"/>
          <w:sz w:val="22"/>
          <w:szCs w:val="22"/>
        </w:rPr>
        <w:t>s</w:t>
      </w:r>
      <w:r w:rsidR="005A2562" w:rsidRPr="000D7EF1">
        <w:rPr>
          <w:rFonts w:ascii="Arial" w:hAnsi="Arial" w:cs="Arial"/>
          <w:sz w:val="22"/>
          <w:szCs w:val="22"/>
        </w:rPr>
        <w:t>zeget.</w:t>
      </w:r>
    </w:p>
    <w:p w14:paraId="240F0821" w14:textId="424C35E8" w:rsidR="00864EA0" w:rsidRPr="000D7EF1" w:rsidRDefault="00D54413" w:rsidP="00D54413">
      <w:pPr>
        <w:spacing w:before="120"/>
        <w:jc w:val="both"/>
        <w:rPr>
          <w:rFonts w:ascii="Arial" w:hAnsi="Arial" w:cs="Arial"/>
          <w:b/>
          <w:sz w:val="22"/>
          <w:szCs w:val="22"/>
        </w:rPr>
      </w:pPr>
      <w:r w:rsidRPr="000D7EF1">
        <w:rPr>
          <w:rFonts w:ascii="Arial" w:hAnsi="Arial" w:cs="Arial"/>
          <w:sz w:val="22"/>
          <w:szCs w:val="22"/>
        </w:rPr>
        <w:t xml:space="preserve">Itt jelenítjük meg </w:t>
      </w:r>
      <w:r w:rsidR="00F8190F" w:rsidRPr="000D7EF1">
        <w:rPr>
          <w:rFonts w:ascii="Arial" w:hAnsi="Arial" w:cs="Arial"/>
          <w:sz w:val="22"/>
          <w:szCs w:val="22"/>
        </w:rPr>
        <w:t>az ö</w:t>
      </w:r>
      <w:r w:rsidR="00864EA0" w:rsidRPr="000D7EF1">
        <w:rPr>
          <w:rFonts w:ascii="Arial" w:hAnsi="Arial" w:cs="Arial"/>
          <w:sz w:val="22"/>
          <w:szCs w:val="22"/>
        </w:rPr>
        <w:t>nkormányzat által alapított K</w:t>
      </w:r>
      <w:r w:rsidR="006325C2" w:rsidRPr="000D7EF1">
        <w:rPr>
          <w:rFonts w:ascii="Arial" w:hAnsi="Arial" w:cs="Arial"/>
          <w:sz w:val="22"/>
          <w:szCs w:val="22"/>
        </w:rPr>
        <w:t xml:space="preserve">ft-k </w:t>
      </w:r>
      <w:r w:rsidR="00354E5A" w:rsidRPr="000D7EF1">
        <w:rPr>
          <w:rFonts w:ascii="Arial" w:hAnsi="Arial" w:cs="Arial"/>
          <w:sz w:val="22"/>
          <w:szCs w:val="22"/>
        </w:rPr>
        <w:t xml:space="preserve">útján </w:t>
      </w:r>
      <w:r w:rsidR="00F8190F" w:rsidRPr="000D7EF1">
        <w:rPr>
          <w:rFonts w:ascii="Arial" w:hAnsi="Arial" w:cs="Arial"/>
          <w:sz w:val="22"/>
          <w:szCs w:val="22"/>
        </w:rPr>
        <w:t xml:space="preserve">ellátott </w:t>
      </w:r>
      <w:r w:rsidR="006325C2" w:rsidRPr="000D7EF1">
        <w:rPr>
          <w:rFonts w:ascii="Arial" w:hAnsi="Arial" w:cs="Arial"/>
          <w:sz w:val="22"/>
          <w:szCs w:val="22"/>
        </w:rPr>
        <w:t>önkormányzati üzemeltetési feladatokra</w:t>
      </w:r>
      <w:r w:rsidR="00955355" w:rsidRPr="000D7EF1">
        <w:rPr>
          <w:rFonts w:ascii="Arial" w:hAnsi="Arial" w:cs="Arial"/>
          <w:sz w:val="22"/>
          <w:szCs w:val="22"/>
        </w:rPr>
        <w:t xml:space="preserve"> a költségvetésből biztosítandó fedezetet</w:t>
      </w:r>
      <w:r w:rsidR="00F8190F" w:rsidRPr="000D7EF1">
        <w:rPr>
          <w:rFonts w:ascii="Arial" w:hAnsi="Arial" w:cs="Arial"/>
          <w:sz w:val="22"/>
          <w:szCs w:val="22"/>
        </w:rPr>
        <w:t xml:space="preserve">. </w:t>
      </w:r>
      <w:r w:rsidR="00955355" w:rsidRPr="000D7EF1">
        <w:rPr>
          <w:rFonts w:ascii="Arial" w:hAnsi="Arial" w:cs="Arial"/>
          <w:b/>
          <w:sz w:val="22"/>
          <w:szCs w:val="22"/>
        </w:rPr>
        <w:t xml:space="preserve">A BÁT-KOM 2004 Kft. részére </w:t>
      </w:r>
      <w:r w:rsidR="008F16F8" w:rsidRPr="000D7EF1">
        <w:rPr>
          <w:rFonts w:ascii="Arial" w:hAnsi="Arial" w:cs="Arial"/>
          <w:b/>
          <w:sz w:val="22"/>
          <w:szCs w:val="22"/>
        </w:rPr>
        <w:t>198 830 000</w:t>
      </w:r>
      <w:r w:rsidRPr="000D7EF1">
        <w:rPr>
          <w:rFonts w:ascii="Arial" w:hAnsi="Arial" w:cs="Arial"/>
          <w:b/>
          <w:sz w:val="22"/>
          <w:szCs w:val="22"/>
        </w:rPr>
        <w:t xml:space="preserve"> Ft, a</w:t>
      </w:r>
      <w:r w:rsidR="006325C2" w:rsidRPr="000D7EF1">
        <w:rPr>
          <w:rFonts w:ascii="Arial" w:hAnsi="Arial" w:cs="Arial"/>
          <w:b/>
          <w:sz w:val="22"/>
          <w:szCs w:val="22"/>
        </w:rPr>
        <w:t xml:space="preserve"> Bátaszékért Marketing </w:t>
      </w:r>
      <w:r w:rsidR="00B05FEE">
        <w:rPr>
          <w:rFonts w:ascii="Arial" w:hAnsi="Arial" w:cs="Arial"/>
          <w:b/>
          <w:sz w:val="22"/>
          <w:szCs w:val="22"/>
        </w:rPr>
        <w:t xml:space="preserve">Nonprofit </w:t>
      </w:r>
      <w:r w:rsidR="006325C2" w:rsidRPr="000D7EF1">
        <w:rPr>
          <w:rFonts w:ascii="Arial" w:hAnsi="Arial" w:cs="Arial"/>
          <w:b/>
          <w:sz w:val="22"/>
          <w:szCs w:val="22"/>
        </w:rPr>
        <w:t xml:space="preserve">Kft. </w:t>
      </w:r>
      <w:r w:rsidRPr="000D7EF1">
        <w:rPr>
          <w:rFonts w:ascii="Arial" w:hAnsi="Arial" w:cs="Arial"/>
          <w:b/>
          <w:sz w:val="22"/>
          <w:szCs w:val="22"/>
        </w:rPr>
        <w:t xml:space="preserve">részére </w:t>
      </w:r>
      <w:r w:rsidR="00617C75" w:rsidRPr="000D7EF1">
        <w:rPr>
          <w:rFonts w:ascii="Arial" w:hAnsi="Arial" w:cs="Arial"/>
          <w:b/>
          <w:sz w:val="22"/>
          <w:szCs w:val="22"/>
        </w:rPr>
        <w:t>7</w:t>
      </w:r>
      <w:r w:rsidR="008F16F8" w:rsidRPr="000D7EF1">
        <w:rPr>
          <w:rFonts w:ascii="Arial" w:hAnsi="Arial" w:cs="Arial"/>
          <w:b/>
          <w:sz w:val="22"/>
          <w:szCs w:val="22"/>
        </w:rPr>
        <w:t>0 457</w:t>
      </w:r>
      <w:r w:rsidR="00617C75" w:rsidRPr="000D7EF1">
        <w:rPr>
          <w:rFonts w:ascii="Arial" w:hAnsi="Arial" w:cs="Arial"/>
          <w:b/>
          <w:sz w:val="22"/>
          <w:szCs w:val="22"/>
        </w:rPr>
        <w:t xml:space="preserve"> 000</w:t>
      </w:r>
      <w:r w:rsidR="006325C2" w:rsidRPr="000D7EF1">
        <w:rPr>
          <w:rFonts w:ascii="Arial" w:hAnsi="Arial" w:cs="Arial"/>
          <w:b/>
          <w:sz w:val="22"/>
          <w:szCs w:val="22"/>
        </w:rPr>
        <w:t xml:space="preserve"> Ft </w:t>
      </w:r>
      <w:r w:rsidR="00955355" w:rsidRPr="000D7EF1">
        <w:rPr>
          <w:rFonts w:ascii="Arial" w:hAnsi="Arial" w:cs="Arial"/>
          <w:b/>
          <w:sz w:val="22"/>
          <w:szCs w:val="22"/>
        </w:rPr>
        <w:t xml:space="preserve">kerül átadásra </w:t>
      </w:r>
      <w:r w:rsidR="00864EA0" w:rsidRPr="000D7EF1">
        <w:rPr>
          <w:rFonts w:ascii="Arial" w:hAnsi="Arial" w:cs="Arial"/>
          <w:b/>
          <w:sz w:val="22"/>
          <w:szCs w:val="22"/>
        </w:rPr>
        <w:t xml:space="preserve">a Testület </w:t>
      </w:r>
      <w:r w:rsidR="0036003D">
        <w:rPr>
          <w:rFonts w:ascii="Arial" w:hAnsi="Arial" w:cs="Arial"/>
          <w:b/>
          <w:sz w:val="22"/>
          <w:szCs w:val="22"/>
        </w:rPr>
        <w:t>által már elfogadott 2025</w:t>
      </w:r>
      <w:r w:rsidR="00955355" w:rsidRPr="000D7EF1">
        <w:rPr>
          <w:rFonts w:ascii="Arial" w:hAnsi="Arial" w:cs="Arial"/>
          <w:b/>
          <w:sz w:val="22"/>
          <w:szCs w:val="22"/>
        </w:rPr>
        <w:t>. évi üzleti tervek</w:t>
      </w:r>
      <w:r w:rsidR="008F16F8" w:rsidRPr="000D7EF1">
        <w:rPr>
          <w:rFonts w:ascii="Arial" w:hAnsi="Arial" w:cs="Arial"/>
          <w:b/>
          <w:sz w:val="22"/>
          <w:szCs w:val="22"/>
        </w:rPr>
        <w:t xml:space="preserve"> kisebb összegű </w:t>
      </w:r>
      <w:proofErr w:type="gramStart"/>
      <w:r w:rsidR="008F16F8" w:rsidRPr="000D7EF1">
        <w:rPr>
          <w:rFonts w:ascii="Arial" w:hAnsi="Arial" w:cs="Arial"/>
          <w:b/>
          <w:sz w:val="22"/>
          <w:szCs w:val="22"/>
        </w:rPr>
        <w:t>korrekciója</w:t>
      </w:r>
      <w:proofErr w:type="gramEnd"/>
      <w:r w:rsidR="00955355" w:rsidRPr="000D7EF1">
        <w:rPr>
          <w:rFonts w:ascii="Arial" w:hAnsi="Arial" w:cs="Arial"/>
          <w:b/>
          <w:sz w:val="22"/>
          <w:szCs w:val="22"/>
        </w:rPr>
        <w:t xml:space="preserve"> szerint.</w:t>
      </w:r>
    </w:p>
    <w:p w14:paraId="2C14B49E" w14:textId="4298B456" w:rsidR="00955355" w:rsidRDefault="00955355" w:rsidP="00065108">
      <w:pPr>
        <w:spacing w:before="120"/>
        <w:jc w:val="both"/>
        <w:rPr>
          <w:rFonts w:ascii="Arial" w:hAnsi="Arial" w:cs="Arial"/>
          <w:sz w:val="22"/>
          <w:szCs w:val="22"/>
        </w:rPr>
      </w:pPr>
      <w:r w:rsidRPr="000D7EF1">
        <w:rPr>
          <w:rFonts w:ascii="Arial" w:hAnsi="Arial" w:cs="Arial"/>
          <w:sz w:val="22"/>
          <w:szCs w:val="22"/>
        </w:rPr>
        <w:t xml:space="preserve">A </w:t>
      </w:r>
      <w:r w:rsidRPr="000D7EF1">
        <w:rPr>
          <w:rFonts w:ascii="Arial" w:hAnsi="Arial" w:cs="Arial"/>
          <w:b/>
          <w:bCs/>
          <w:sz w:val="22"/>
          <w:szCs w:val="22"/>
        </w:rPr>
        <w:t>Bát-</w:t>
      </w:r>
      <w:proofErr w:type="spellStart"/>
      <w:r w:rsidRPr="000D7EF1">
        <w:rPr>
          <w:rFonts w:ascii="Arial" w:hAnsi="Arial" w:cs="Arial"/>
          <w:b/>
          <w:bCs/>
          <w:sz w:val="22"/>
          <w:szCs w:val="22"/>
        </w:rPr>
        <w:t>Kom</w:t>
      </w:r>
      <w:proofErr w:type="spellEnd"/>
      <w:r w:rsidRPr="000D7EF1">
        <w:rPr>
          <w:rFonts w:ascii="Arial" w:hAnsi="Arial" w:cs="Arial"/>
          <w:b/>
          <w:bCs/>
          <w:sz w:val="22"/>
          <w:szCs w:val="22"/>
        </w:rPr>
        <w:t xml:space="preserve"> 2004. Kft-nek</w:t>
      </w:r>
      <w:r w:rsidRPr="000D7EF1">
        <w:rPr>
          <w:rFonts w:ascii="Arial" w:hAnsi="Arial" w:cs="Arial"/>
          <w:sz w:val="22"/>
          <w:szCs w:val="22"/>
        </w:rPr>
        <w:t xml:space="preserve"> a Tanuszoda üzemeltetésére </w:t>
      </w:r>
      <w:r w:rsidR="000D7EF1" w:rsidRPr="000D7EF1">
        <w:rPr>
          <w:rFonts w:ascii="Arial" w:hAnsi="Arial" w:cs="Arial"/>
          <w:sz w:val="22"/>
          <w:szCs w:val="22"/>
        </w:rPr>
        <w:t>80 198 000</w:t>
      </w:r>
      <w:r w:rsidRPr="000D7EF1">
        <w:rPr>
          <w:rFonts w:ascii="Arial" w:hAnsi="Arial" w:cs="Arial"/>
          <w:sz w:val="22"/>
          <w:szCs w:val="22"/>
        </w:rPr>
        <w:t xml:space="preserve"> Ft-ot, közfeladat-ellátási szerződés keretében városüzemeltetési feladatokra </w:t>
      </w:r>
      <w:r w:rsidR="000D7EF1" w:rsidRPr="000D7EF1">
        <w:rPr>
          <w:rFonts w:ascii="Arial" w:hAnsi="Arial" w:cs="Arial"/>
          <w:sz w:val="22"/>
          <w:szCs w:val="22"/>
        </w:rPr>
        <w:t>61 500 000</w:t>
      </w:r>
      <w:r w:rsidRPr="000D7EF1">
        <w:rPr>
          <w:rFonts w:ascii="Arial" w:hAnsi="Arial" w:cs="Arial"/>
          <w:sz w:val="22"/>
          <w:szCs w:val="22"/>
        </w:rPr>
        <w:t xml:space="preserve"> Ft-ot, híd</w:t>
      </w:r>
      <w:r w:rsidR="00065108" w:rsidRPr="000D7EF1">
        <w:rPr>
          <w:rFonts w:ascii="Arial" w:hAnsi="Arial" w:cs="Arial"/>
          <w:sz w:val="22"/>
          <w:szCs w:val="22"/>
        </w:rPr>
        <w:t>-</w:t>
      </w:r>
      <w:r w:rsidRPr="000D7EF1">
        <w:rPr>
          <w:rFonts w:ascii="Arial" w:hAnsi="Arial" w:cs="Arial"/>
          <w:sz w:val="22"/>
          <w:szCs w:val="22"/>
        </w:rPr>
        <w:t xml:space="preserve"> és közút üzemeltetés</w:t>
      </w:r>
      <w:r w:rsidR="00065108" w:rsidRPr="000D7EF1">
        <w:rPr>
          <w:rFonts w:ascii="Arial" w:hAnsi="Arial" w:cs="Arial"/>
          <w:sz w:val="22"/>
          <w:szCs w:val="22"/>
        </w:rPr>
        <w:t xml:space="preserve">i feladatokra </w:t>
      </w:r>
      <w:r w:rsidR="000D7EF1" w:rsidRPr="000D7EF1">
        <w:rPr>
          <w:rFonts w:ascii="Arial" w:hAnsi="Arial" w:cs="Arial"/>
          <w:sz w:val="22"/>
          <w:szCs w:val="22"/>
        </w:rPr>
        <w:t>22 500 000</w:t>
      </w:r>
      <w:r w:rsidR="00065108" w:rsidRPr="000D7EF1">
        <w:rPr>
          <w:rFonts w:ascii="Arial" w:hAnsi="Arial" w:cs="Arial"/>
          <w:sz w:val="22"/>
          <w:szCs w:val="22"/>
        </w:rPr>
        <w:t xml:space="preserve"> Ft, a városi piac üzemeltetésére </w:t>
      </w:r>
      <w:r w:rsidR="000D7EF1" w:rsidRPr="000D7EF1">
        <w:rPr>
          <w:rFonts w:ascii="Arial" w:hAnsi="Arial" w:cs="Arial"/>
          <w:sz w:val="22"/>
          <w:szCs w:val="22"/>
        </w:rPr>
        <w:t>12 000 000</w:t>
      </w:r>
      <w:r w:rsidR="00065108" w:rsidRPr="000D7EF1">
        <w:rPr>
          <w:rFonts w:ascii="Arial" w:hAnsi="Arial" w:cs="Arial"/>
          <w:sz w:val="22"/>
          <w:szCs w:val="22"/>
        </w:rPr>
        <w:t xml:space="preserve"> Ft, a sportcsarnok üzemeltetésére </w:t>
      </w:r>
      <w:r w:rsidR="000D7EF1" w:rsidRPr="000D7EF1">
        <w:rPr>
          <w:rFonts w:ascii="Arial" w:hAnsi="Arial" w:cs="Arial"/>
          <w:sz w:val="22"/>
          <w:szCs w:val="22"/>
        </w:rPr>
        <w:t>14 832 000</w:t>
      </w:r>
      <w:r w:rsidR="00065108" w:rsidRPr="000D7EF1">
        <w:rPr>
          <w:rFonts w:ascii="Arial" w:hAnsi="Arial" w:cs="Arial"/>
          <w:sz w:val="22"/>
          <w:szCs w:val="22"/>
        </w:rPr>
        <w:t xml:space="preserve"> Ft-ot, önkormányzati </w:t>
      </w:r>
      <w:r w:rsidR="008C71F0" w:rsidRPr="000D7EF1">
        <w:rPr>
          <w:rFonts w:ascii="Arial" w:hAnsi="Arial" w:cs="Arial"/>
          <w:sz w:val="22"/>
          <w:szCs w:val="22"/>
        </w:rPr>
        <w:t>f</w:t>
      </w:r>
      <w:r w:rsidR="00065108" w:rsidRPr="000D7EF1">
        <w:rPr>
          <w:rFonts w:ascii="Arial" w:hAnsi="Arial" w:cs="Arial"/>
          <w:sz w:val="22"/>
          <w:szCs w:val="22"/>
        </w:rPr>
        <w:t>eladattal nem terhelt ingatlanok üzemeltetésére 1</w:t>
      </w:r>
      <w:r w:rsidR="000D7EF1" w:rsidRPr="000D7EF1">
        <w:rPr>
          <w:rFonts w:ascii="Arial" w:hAnsi="Arial" w:cs="Arial"/>
          <w:sz w:val="22"/>
          <w:szCs w:val="22"/>
        </w:rPr>
        <w:t xml:space="preserve"> 500 </w:t>
      </w:r>
      <w:r w:rsidR="00065108" w:rsidRPr="000D7EF1">
        <w:rPr>
          <w:rFonts w:ascii="Arial" w:hAnsi="Arial" w:cs="Arial"/>
          <w:sz w:val="22"/>
          <w:szCs w:val="22"/>
        </w:rPr>
        <w:t>00 Ft-ot</w:t>
      </w:r>
      <w:r w:rsidR="000D7EF1" w:rsidRPr="000D7EF1">
        <w:rPr>
          <w:rFonts w:ascii="Arial" w:hAnsi="Arial" w:cs="Arial"/>
          <w:sz w:val="22"/>
          <w:szCs w:val="22"/>
        </w:rPr>
        <w:t>, egyéb ingatlanüzemeltetési kiadásokra 6 300 000 Ft-ot</w:t>
      </w:r>
      <w:r w:rsidR="00065108" w:rsidRPr="000D7EF1">
        <w:rPr>
          <w:rFonts w:ascii="Arial" w:hAnsi="Arial" w:cs="Arial"/>
          <w:sz w:val="22"/>
          <w:szCs w:val="22"/>
        </w:rPr>
        <w:t xml:space="preserve"> biztosítunk. </w:t>
      </w:r>
    </w:p>
    <w:p w14:paraId="351484DE" w14:textId="77777777" w:rsidR="006D4450" w:rsidRPr="000D7EF1" w:rsidRDefault="006D4450" w:rsidP="00065108">
      <w:pPr>
        <w:spacing w:before="120"/>
        <w:jc w:val="both"/>
        <w:rPr>
          <w:rFonts w:ascii="Arial" w:hAnsi="Arial" w:cs="Arial"/>
          <w:sz w:val="22"/>
          <w:szCs w:val="22"/>
        </w:rPr>
      </w:pPr>
    </w:p>
    <w:p w14:paraId="74300C8F" w14:textId="09A0D016" w:rsidR="00864EA0" w:rsidRPr="00521FEF" w:rsidRDefault="00162AB0" w:rsidP="006D4450">
      <w:pPr>
        <w:jc w:val="both"/>
        <w:rPr>
          <w:rFonts w:ascii="Arial" w:hAnsi="Arial" w:cs="Arial"/>
          <w:sz w:val="22"/>
          <w:szCs w:val="22"/>
        </w:rPr>
      </w:pPr>
      <w:r w:rsidRPr="00521FEF">
        <w:rPr>
          <w:rFonts w:ascii="Arial" w:hAnsi="Arial" w:cs="Arial"/>
          <w:b/>
          <w:bCs/>
          <w:sz w:val="22"/>
          <w:szCs w:val="22"/>
        </w:rPr>
        <w:t xml:space="preserve">A </w:t>
      </w:r>
      <w:r w:rsidR="007404AF" w:rsidRPr="00521FEF">
        <w:rPr>
          <w:rFonts w:ascii="Arial" w:hAnsi="Arial" w:cs="Arial"/>
          <w:b/>
          <w:bCs/>
          <w:sz w:val="22"/>
          <w:szCs w:val="22"/>
        </w:rPr>
        <w:t>Marketing Kft.-</w:t>
      </w:r>
      <w:proofErr w:type="spellStart"/>
      <w:r w:rsidR="007404AF" w:rsidRPr="00521FEF">
        <w:rPr>
          <w:rFonts w:ascii="Arial" w:hAnsi="Arial" w:cs="Arial"/>
          <w:b/>
          <w:bCs/>
          <w:sz w:val="22"/>
          <w:szCs w:val="22"/>
        </w:rPr>
        <w:t>nek</w:t>
      </w:r>
      <w:proofErr w:type="spellEnd"/>
      <w:r w:rsidR="007404AF" w:rsidRPr="00521FEF">
        <w:rPr>
          <w:rFonts w:ascii="Arial" w:hAnsi="Arial" w:cs="Arial"/>
          <w:sz w:val="22"/>
          <w:szCs w:val="22"/>
        </w:rPr>
        <w:t xml:space="preserve"> a közművelődési feladatok ellátására </w:t>
      </w:r>
      <w:r w:rsidR="000D7EF1" w:rsidRPr="00521FEF">
        <w:rPr>
          <w:rFonts w:ascii="Arial" w:hAnsi="Arial" w:cs="Arial"/>
          <w:sz w:val="22"/>
          <w:szCs w:val="22"/>
        </w:rPr>
        <w:t>55 365 000</w:t>
      </w:r>
      <w:r w:rsidR="007404AF" w:rsidRPr="00521FEF">
        <w:rPr>
          <w:rFonts w:ascii="Arial" w:hAnsi="Arial" w:cs="Arial"/>
          <w:sz w:val="22"/>
          <w:szCs w:val="22"/>
        </w:rPr>
        <w:t xml:space="preserve"> Ft forrás áll rendelkezésre, múzeumi feladatok ellátására </w:t>
      </w:r>
      <w:r w:rsidR="000D7EF1" w:rsidRPr="00521FEF">
        <w:rPr>
          <w:rFonts w:ascii="Arial" w:hAnsi="Arial" w:cs="Arial"/>
          <w:sz w:val="22"/>
          <w:szCs w:val="22"/>
        </w:rPr>
        <w:t>958 000</w:t>
      </w:r>
      <w:r w:rsidR="007404AF" w:rsidRPr="00521FEF">
        <w:rPr>
          <w:rFonts w:ascii="Arial" w:hAnsi="Arial" w:cs="Arial"/>
          <w:sz w:val="22"/>
          <w:szCs w:val="22"/>
        </w:rPr>
        <w:t xml:space="preserve"> Ft-ot, a kiadói tevékenység</w:t>
      </w:r>
      <w:r w:rsidR="00EB6155" w:rsidRPr="00521FEF">
        <w:rPr>
          <w:rFonts w:ascii="Arial" w:hAnsi="Arial" w:cs="Arial"/>
          <w:sz w:val="22"/>
          <w:szCs w:val="22"/>
        </w:rPr>
        <w:t>i</w:t>
      </w:r>
      <w:r w:rsidR="007404AF" w:rsidRPr="00521FEF">
        <w:rPr>
          <w:rFonts w:ascii="Arial" w:hAnsi="Arial" w:cs="Arial"/>
          <w:sz w:val="22"/>
          <w:szCs w:val="22"/>
        </w:rPr>
        <w:t xml:space="preserve"> feladatok</w:t>
      </w:r>
      <w:r w:rsidR="00EB6155" w:rsidRPr="00521FEF">
        <w:rPr>
          <w:rFonts w:ascii="Arial" w:hAnsi="Arial" w:cs="Arial"/>
          <w:sz w:val="22"/>
          <w:szCs w:val="22"/>
        </w:rPr>
        <w:t xml:space="preserve">ra </w:t>
      </w:r>
      <w:r w:rsidR="00521FEF" w:rsidRPr="00521FEF">
        <w:rPr>
          <w:rFonts w:ascii="Arial" w:hAnsi="Arial" w:cs="Arial"/>
          <w:sz w:val="22"/>
          <w:szCs w:val="22"/>
        </w:rPr>
        <w:t>5 214 000</w:t>
      </w:r>
      <w:r w:rsidR="00EB6155" w:rsidRPr="00521FEF">
        <w:rPr>
          <w:rFonts w:ascii="Arial" w:hAnsi="Arial" w:cs="Arial"/>
          <w:sz w:val="22"/>
          <w:szCs w:val="22"/>
        </w:rPr>
        <w:t xml:space="preserve"> Ft-ot tartalmaz az elfogadott üzleti terv.  </w:t>
      </w:r>
      <w:r w:rsidR="00B80B1A" w:rsidRPr="00521FEF">
        <w:rPr>
          <w:rFonts w:ascii="Arial" w:hAnsi="Arial" w:cs="Arial"/>
          <w:sz w:val="22"/>
          <w:szCs w:val="22"/>
        </w:rPr>
        <w:t>(Ezen túlmenően vállalkozási szerződés keretében 18 796 000 Ft-ot bi</w:t>
      </w:r>
      <w:r w:rsidR="00F43801" w:rsidRPr="00521FEF">
        <w:rPr>
          <w:rFonts w:ascii="Arial" w:hAnsi="Arial" w:cs="Arial"/>
          <w:sz w:val="22"/>
          <w:szCs w:val="22"/>
        </w:rPr>
        <w:t>ztosítunk a Kft.-</w:t>
      </w:r>
      <w:proofErr w:type="spellStart"/>
      <w:r w:rsidR="00F43801" w:rsidRPr="00521FEF">
        <w:rPr>
          <w:rFonts w:ascii="Arial" w:hAnsi="Arial" w:cs="Arial"/>
          <w:sz w:val="22"/>
          <w:szCs w:val="22"/>
        </w:rPr>
        <w:t>nek</w:t>
      </w:r>
      <w:proofErr w:type="spellEnd"/>
      <w:r w:rsidR="00F43801" w:rsidRPr="00521FEF">
        <w:rPr>
          <w:rFonts w:ascii="Arial" w:hAnsi="Arial" w:cs="Arial"/>
          <w:sz w:val="22"/>
          <w:szCs w:val="22"/>
        </w:rPr>
        <w:t xml:space="preserve"> rendezvény</w:t>
      </w:r>
      <w:r w:rsidR="00B80B1A" w:rsidRPr="00521FEF">
        <w:rPr>
          <w:rFonts w:ascii="Arial" w:hAnsi="Arial" w:cs="Arial"/>
          <w:sz w:val="22"/>
          <w:szCs w:val="22"/>
        </w:rPr>
        <w:t xml:space="preserve">szervezésre, </w:t>
      </w:r>
      <w:r w:rsidR="00521FEF">
        <w:rPr>
          <w:rFonts w:ascii="Arial" w:hAnsi="Arial" w:cs="Arial"/>
          <w:sz w:val="22"/>
          <w:szCs w:val="22"/>
        </w:rPr>
        <w:t xml:space="preserve">média megjelenésre pedig </w:t>
      </w:r>
      <w:r w:rsidR="00521FEF" w:rsidRPr="00521FEF">
        <w:rPr>
          <w:rFonts w:ascii="Arial" w:hAnsi="Arial" w:cs="Arial"/>
          <w:sz w:val="22"/>
          <w:szCs w:val="22"/>
        </w:rPr>
        <w:t>9 200 000 Ft</w:t>
      </w:r>
      <w:r w:rsidR="00521FEF">
        <w:rPr>
          <w:rFonts w:ascii="Arial" w:hAnsi="Arial" w:cs="Arial"/>
          <w:sz w:val="22"/>
          <w:szCs w:val="22"/>
        </w:rPr>
        <w:t>-ot, e kiadásokat</w:t>
      </w:r>
      <w:r w:rsidR="00521FEF" w:rsidRPr="00521FEF">
        <w:rPr>
          <w:rFonts w:ascii="Arial" w:hAnsi="Arial" w:cs="Arial"/>
          <w:sz w:val="22"/>
          <w:szCs w:val="22"/>
        </w:rPr>
        <w:tab/>
      </w:r>
      <w:r w:rsidR="00B80B1A" w:rsidRPr="00521FEF">
        <w:rPr>
          <w:rFonts w:ascii="Arial" w:hAnsi="Arial" w:cs="Arial"/>
          <w:sz w:val="22"/>
          <w:szCs w:val="22"/>
        </w:rPr>
        <w:t>a dologi kiadások tartalmazzák.)</w:t>
      </w:r>
    </w:p>
    <w:p w14:paraId="32C7FC3C" w14:textId="603B790C" w:rsidR="00EB6155" w:rsidRPr="00521FEF" w:rsidRDefault="00EB6155" w:rsidP="007404AF">
      <w:pPr>
        <w:spacing w:before="120"/>
        <w:jc w:val="both"/>
        <w:rPr>
          <w:rFonts w:ascii="Arial" w:hAnsi="Arial" w:cs="Arial"/>
          <w:sz w:val="22"/>
          <w:szCs w:val="22"/>
        </w:rPr>
      </w:pPr>
      <w:r w:rsidRPr="00521FEF">
        <w:rPr>
          <w:rFonts w:ascii="Arial" w:hAnsi="Arial" w:cs="Arial"/>
          <w:sz w:val="22"/>
          <w:szCs w:val="22"/>
        </w:rPr>
        <w:t>Az érintett szervezet</w:t>
      </w:r>
      <w:r w:rsidR="0041163E" w:rsidRPr="00521FEF">
        <w:rPr>
          <w:rFonts w:ascii="Arial" w:hAnsi="Arial" w:cs="Arial"/>
          <w:sz w:val="22"/>
          <w:szCs w:val="22"/>
        </w:rPr>
        <w:t>e</w:t>
      </w:r>
      <w:r w:rsidRPr="00521FEF">
        <w:rPr>
          <w:rFonts w:ascii="Arial" w:hAnsi="Arial" w:cs="Arial"/>
          <w:sz w:val="22"/>
          <w:szCs w:val="22"/>
        </w:rPr>
        <w:t>kné</w:t>
      </w:r>
      <w:r w:rsidR="0041163E" w:rsidRPr="00521FEF">
        <w:rPr>
          <w:rFonts w:ascii="Arial" w:hAnsi="Arial" w:cs="Arial"/>
          <w:sz w:val="22"/>
          <w:szCs w:val="22"/>
        </w:rPr>
        <w:t>l</w:t>
      </w:r>
      <w:r w:rsidRPr="00521FEF">
        <w:rPr>
          <w:rFonts w:ascii="Arial" w:hAnsi="Arial" w:cs="Arial"/>
          <w:sz w:val="22"/>
          <w:szCs w:val="22"/>
        </w:rPr>
        <w:t xml:space="preserve"> tervszinten biztosítani tud</w:t>
      </w:r>
      <w:r w:rsidR="0041163E" w:rsidRPr="00521FEF">
        <w:rPr>
          <w:rFonts w:ascii="Arial" w:hAnsi="Arial" w:cs="Arial"/>
          <w:sz w:val="22"/>
          <w:szCs w:val="22"/>
        </w:rPr>
        <w:t>j</w:t>
      </w:r>
      <w:r w:rsidRPr="00521FEF">
        <w:rPr>
          <w:rFonts w:ascii="Arial" w:hAnsi="Arial" w:cs="Arial"/>
          <w:sz w:val="22"/>
          <w:szCs w:val="22"/>
        </w:rPr>
        <w:t>uk előző évben is jelentkező</w:t>
      </w:r>
      <w:r w:rsidR="006D4450">
        <w:rPr>
          <w:rFonts w:ascii="Arial" w:hAnsi="Arial" w:cs="Arial"/>
          <w:sz w:val="22"/>
          <w:szCs w:val="22"/>
        </w:rPr>
        <w:t xml:space="preserve"> </w:t>
      </w:r>
      <w:r w:rsidRPr="00521FEF">
        <w:rPr>
          <w:rFonts w:ascii="Arial" w:hAnsi="Arial" w:cs="Arial"/>
          <w:sz w:val="22"/>
          <w:szCs w:val="22"/>
        </w:rPr>
        <w:t xml:space="preserve">önkormányzati kötelező feladatok fedezetét, emellett az önként vállalt önkormányzati feladatok is fenntarthatók lehetnek. Így a városi uszoda üzemeltetésének költségeit, továbbá a Bátaszéki Bornapok megrendezésének költségeit is tartalmazzák az üzleti tervek, </w:t>
      </w:r>
      <w:r w:rsidR="0041163E" w:rsidRPr="00521FEF">
        <w:rPr>
          <w:rFonts w:ascii="Arial" w:hAnsi="Arial" w:cs="Arial"/>
          <w:sz w:val="22"/>
          <w:szCs w:val="22"/>
        </w:rPr>
        <w:t xml:space="preserve">emellett </w:t>
      </w:r>
      <w:r w:rsidRPr="00521FEF">
        <w:rPr>
          <w:rFonts w:ascii="Arial" w:hAnsi="Arial" w:cs="Arial"/>
          <w:sz w:val="22"/>
          <w:szCs w:val="22"/>
        </w:rPr>
        <w:t>a szervezeteknél foglalkoztatottak bérrendezésre is sor kerül.</w:t>
      </w:r>
    </w:p>
    <w:p w14:paraId="3F565CCB" w14:textId="0B6CA64B" w:rsidR="00DD2516" w:rsidRDefault="00D93C6F" w:rsidP="006325C2">
      <w:pPr>
        <w:spacing w:before="120"/>
        <w:jc w:val="both"/>
        <w:rPr>
          <w:rFonts w:ascii="Arial" w:hAnsi="Arial" w:cs="Arial"/>
          <w:sz w:val="22"/>
          <w:szCs w:val="22"/>
        </w:rPr>
      </w:pPr>
      <w:r w:rsidRPr="00992BC4">
        <w:rPr>
          <w:rFonts w:ascii="Arial" w:hAnsi="Arial" w:cs="Arial"/>
          <w:sz w:val="22"/>
          <w:szCs w:val="22"/>
          <w:u w:val="single"/>
        </w:rPr>
        <w:t>A</w:t>
      </w:r>
      <w:r w:rsidR="006325C2" w:rsidRPr="00992BC4">
        <w:rPr>
          <w:rFonts w:ascii="Arial" w:hAnsi="Arial" w:cs="Arial"/>
          <w:sz w:val="22"/>
          <w:szCs w:val="22"/>
          <w:u w:val="single"/>
        </w:rPr>
        <w:t xml:space="preserve"> </w:t>
      </w:r>
      <w:r w:rsidR="006325C2" w:rsidRPr="00992BC4">
        <w:rPr>
          <w:rFonts w:ascii="Arial" w:hAnsi="Arial" w:cs="Arial"/>
          <w:b/>
          <w:sz w:val="22"/>
          <w:szCs w:val="22"/>
          <w:u w:val="single"/>
        </w:rPr>
        <w:t>Tartalékok</w:t>
      </w:r>
      <w:r w:rsidR="003547A4" w:rsidRPr="00992BC4">
        <w:rPr>
          <w:rFonts w:ascii="Arial" w:hAnsi="Arial" w:cs="Arial"/>
          <w:sz w:val="22"/>
          <w:szCs w:val="22"/>
        </w:rPr>
        <w:t xml:space="preserve"> </w:t>
      </w:r>
      <w:r w:rsidR="00493E2F" w:rsidRPr="00992BC4">
        <w:rPr>
          <w:rFonts w:ascii="Arial" w:hAnsi="Arial" w:cs="Arial"/>
          <w:sz w:val="22"/>
          <w:szCs w:val="22"/>
        </w:rPr>
        <w:t xml:space="preserve">összege </w:t>
      </w:r>
      <w:r w:rsidR="00B652C8">
        <w:rPr>
          <w:rFonts w:ascii="Arial" w:hAnsi="Arial" w:cs="Arial"/>
          <w:sz w:val="22"/>
          <w:szCs w:val="22"/>
        </w:rPr>
        <w:t>44 290 380</w:t>
      </w:r>
      <w:r w:rsidR="00493E2F" w:rsidRPr="00992BC4">
        <w:rPr>
          <w:rFonts w:ascii="Arial" w:hAnsi="Arial" w:cs="Arial"/>
          <w:sz w:val="22"/>
          <w:szCs w:val="22"/>
        </w:rPr>
        <w:t xml:space="preserve"> Ft, melyből céltartalékkén</w:t>
      </w:r>
      <w:r w:rsidR="00B652C8">
        <w:rPr>
          <w:rFonts w:ascii="Arial" w:hAnsi="Arial" w:cs="Arial"/>
          <w:sz w:val="22"/>
          <w:szCs w:val="22"/>
        </w:rPr>
        <w:t xml:space="preserve"> 34 290 380</w:t>
      </w:r>
      <w:r w:rsidR="00493E2F" w:rsidRPr="00992BC4">
        <w:rPr>
          <w:rFonts w:ascii="Arial" w:hAnsi="Arial" w:cs="Arial"/>
          <w:sz w:val="22"/>
          <w:szCs w:val="22"/>
        </w:rPr>
        <w:t xml:space="preserve"> Ft-ot szerepeltettünk. A </w:t>
      </w:r>
      <w:r w:rsidR="00315E31" w:rsidRPr="00992BC4">
        <w:rPr>
          <w:rFonts w:ascii="Arial" w:hAnsi="Arial" w:cs="Arial"/>
          <w:sz w:val="22"/>
          <w:szCs w:val="22"/>
        </w:rPr>
        <w:t>rendelet-tervezet 19</w:t>
      </w:r>
      <w:r w:rsidR="00315E31" w:rsidRPr="00343350">
        <w:rPr>
          <w:rFonts w:ascii="Arial" w:hAnsi="Arial" w:cs="Arial"/>
          <w:sz w:val="22"/>
          <w:szCs w:val="22"/>
        </w:rPr>
        <w:t>. melléklete</w:t>
      </w:r>
      <w:r w:rsidR="00315E31" w:rsidRPr="00992BC4">
        <w:rPr>
          <w:rFonts w:ascii="Arial" w:hAnsi="Arial" w:cs="Arial"/>
          <w:sz w:val="22"/>
          <w:szCs w:val="22"/>
        </w:rPr>
        <w:t xml:space="preserve"> tartalmazza e célokat, de az indoklás részeként is szerepeltetjük:</w:t>
      </w:r>
    </w:p>
    <w:p w14:paraId="49940617" w14:textId="77777777" w:rsidR="00B84896" w:rsidRDefault="00315E31" w:rsidP="006325C2">
      <w:pPr>
        <w:spacing w:before="120"/>
        <w:jc w:val="both"/>
        <w:rPr>
          <w:rFonts w:ascii="Arial" w:hAnsi="Arial" w:cs="Arial"/>
          <w:sz w:val="22"/>
          <w:szCs w:val="22"/>
        </w:rPr>
      </w:pPr>
      <w:r w:rsidRPr="00992BC4">
        <w:rPr>
          <w:rFonts w:ascii="Arial" w:hAnsi="Arial" w:cs="Arial"/>
          <w:sz w:val="22"/>
          <w:szCs w:val="22"/>
        </w:rPr>
        <w:t xml:space="preserve">                                                                                                            </w:t>
      </w:r>
    </w:p>
    <w:p w14:paraId="656145A4" w14:textId="77777777" w:rsidR="00B84896" w:rsidRDefault="00B84896" w:rsidP="006325C2">
      <w:pPr>
        <w:spacing w:before="120"/>
        <w:jc w:val="both"/>
        <w:rPr>
          <w:rFonts w:ascii="Arial" w:hAnsi="Arial" w:cs="Arial"/>
          <w:sz w:val="22"/>
          <w:szCs w:val="22"/>
        </w:rPr>
      </w:pPr>
    </w:p>
    <w:p w14:paraId="6D7AFAC7" w14:textId="77777777" w:rsidR="00B84896" w:rsidRDefault="00B84896" w:rsidP="006325C2">
      <w:pPr>
        <w:spacing w:before="120"/>
        <w:jc w:val="both"/>
        <w:rPr>
          <w:rFonts w:ascii="Arial" w:hAnsi="Arial" w:cs="Arial"/>
          <w:sz w:val="22"/>
          <w:szCs w:val="22"/>
        </w:rPr>
      </w:pPr>
    </w:p>
    <w:p w14:paraId="3C11026E" w14:textId="13F1BF5D" w:rsidR="00AE383B" w:rsidRPr="00AE383B" w:rsidRDefault="00315E31" w:rsidP="006325C2">
      <w:pPr>
        <w:spacing w:before="120"/>
        <w:jc w:val="both"/>
        <w:rPr>
          <w:rFonts w:ascii="Arial" w:hAnsi="Arial" w:cs="Arial"/>
          <w:sz w:val="22"/>
          <w:szCs w:val="22"/>
        </w:rPr>
      </w:pPr>
      <w:r w:rsidRPr="00992BC4">
        <w:rPr>
          <w:rFonts w:ascii="Arial" w:hAnsi="Arial" w:cs="Arial"/>
          <w:sz w:val="22"/>
          <w:szCs w:val="22"/>
        </w:rPr>
        <w:t xml:space="preserve">  Ft-ban</w:t>
      </w:r>
    </w:p>
    <w:p w14:paraId="0382B174" w14:textId="77777777" w:rsidR="00AE383B" w:rsidRPr="00A82F71" w:rsidRDefault="00AE383B" w:rsidP="006325C2">
      <w:pPr>
        <w:spacing w:before="120"/>
        <w:jc w:val="both"/>
        <w:rPr>
          <w:rFonts w:ascii="Arial" w:hAnsi="Arial" w:cs="Arial"/>
          <w:sz w:val="22"/>
          <w:szCs w:val="22"/>
          <w:highlight w:val="yellow"/>
        </w:rPr>
      </w:pPr>
    </w:p>
    <w:tbl>
      <w:tblPr>
        <w:tblW w:w="8380" w:type="dxa"/>
        <w:tblCellMar>
          <w:left w:w="70" w:type="dxa"/>
          <w:right w:w="70" w:type="dxa"/>
        </w:tblCellMar>
        <w:tblLook w:val="04A0" w:firstRow="1" w:lastRow="0" w:firstColumn="1" w:lastColumn="0" w:noHBand="0" w:noVBand="1"/>
      </w:tblPr>
      <w:tblGrid>
        <w:gridCol w:w="1253"/>
        <w:gridCol w:w="5700"/>
        <w:gridCol w:w="1560"/>
      </w:tblGrid>
      <w:tr w:rsidR="00F70C81" w14:paraId="5C25F874" w14:textId="77777777" w:rsidTr="00F70C81">
        <w:trPr>
          <w:trHeight w:val="456"/>
        </w:trPr>
        <w:tc>
          <w:tcPr>
            <w:tcW w:w="1120" w:type="dxa"/>
            <w:tcBorders>
              <w:top w:val="single" w:sz="8" w:space="0" w:color="auto"/>
              <w:left w:val="single" w:sz="4" w:space="0" w:color="auto"/>
              <w:bottom w:val="single" w:sz="4" w:space="0" w:color="auto"/>
              <w:right w:val="single" w:sz="4" w:space="0" w:color="auto"/>
            </w:tcBorders>
            <w:shd w:val="clear" w:color="000000" w:fill="C5D9F1"/>
            <w:noWrap/>
            <w:vAlign w:val="center"/>
            <w:hideMark/>
          </w:tcPr>
          <w:p w14:paraId="4D535E0F" w14:textId="77777777" w:rsidR="00F70C81" w:rsidRPr="00F70C81" w:rsidRDefault="00F70C81">
            <w:pPr>
              <w:jc w:val="center"/>
              <w:rPr>
                <w:rFonts w:ascii="Arial" w:hAnsi="Arial" w:cs="Arial"/>
                <w:b/>
                <w:bCs/>
                <w:sz w:val="22"/>
                <w:szCs w:val="22"/>
                <w:lang w:eastAsia="hu-HU"/>
              </w:rPr>
            </w:pPr>
            <w:r w:rsidRPr="00F70C81">
              <w:rPr>
                <w:rFonts w:ascii="Arial" w:hAnsi="Arial" w:cs="Arial"/>
                <w:b/>
                <w:bCs/>
                <w:sz w:val="22"/>
                <w:szCs w:val="22"/>
              </w:rPr>
              <w:t>Cél</w:t>
            </w:r>
          </w:p>
        </w:tc>
        <w:tc>
          <w:tcPr>
            <w:tcW w:w="5700" w:type="dxa"/>
            <w:tcBorders>
              <w:top w:val="single" w:sz="8" w:space="0" w:color="auto"/>
              <w:left w:val="nil"/>
              <w:bottom w:val="single" w:sz="4" w:space="0" w:color="auto"/>
              <w:right w:val="single" w:sz="4" w:space="0" w:color="auto"/>
            </w:tcBorders>
            <w:shd w:val="clear" w:color="000000" w:fill="C5D9F1"/>
            <w:noWrap/>
            <w:vAlign w:val="center"/>
            <w:hideMark/>
          </w:tcPr>
          <w:p w14:paraId="124C32A1" w14:textId="77777777" w:rsidR="00F70C81" w:rsidRPr="00F70C81" w:rsidRDefault="00F70C81">
            <w:pPr>
              <w:jc w:val="center"/>
              <w:rPr>
                <w:rFonts w:ascii="Arial" w:hAnsi="Arial" w:cs="Arial"/>
                <w:b/>
                <w:bCs/>
                <w:sz w:val="22"/>
                <w:szCs w:val="22"/>
              </w:rPr>
            </w:pPr>
            <w:r w:rsidRPr="00F70C81">
              <w:rPr>
                <w:rFonts w:ascii="Arial" w:hAnsi="Arial" w:cs="Arial"/>
                <w:b/>
                <w:bCs/>
                <w:sz w:val="22"/>
                <w:szCs w:val="22"/>
              </w:rPr>
              <w:t>Céltartalék</w:t>
            </w:r>
          </w:p>
        </w:tc>
        <w:tc>
          <w:tcPr>
            <w:tcW w:w="1560" w:type="dxa"/>
            <w:tcBorders>
              <w:top w:val="single" w:sz="8" w:space="0" w:color="auto"/>
              <w:left w:val="nil"/>
              <w:bottom w:val="single" w:sz="4" w:space="0" w:color="auto"/>
              <w:right w:val="single" w:sz="8" w:space="0" w:color="auto"/>
            </w:tcBorders>
            <w:shd w:val="clear" w:color="000000" w:fill="B8CCE4"/>
            <w:noWrap/>
            <w:vAlign w:val="center"/>
            <w:hideMark/>
          </w:tcPr>
          <w:p w14:paraId="103F016A" w14:textId="77777777" w:rsidR="00F70C81" w:rsidRPr="00F70C81" w:rsidRDefault="00F70C81">
            <w:pPr>
              <w:jc w:val="center"/>
              <w:rPr>
                <w:rFonts w:ascii="Arial" w:hAnsi="Arial" w:cs="Arial"/>
                <w:b/>
                <w:bCs/>
                <w:sz w:val="22"/>
                <w:szCs w:val="22"/>
              </w:rPr>
            </w:pPr>
            <w:r w:rsidRPr="00F70C81">
              <w:rPr>
                <w:rFonts w:ascii="Arial" w:hAnsi="Arial" w:cs="Arial"/>
                <w:b/>
                <w:bCs/>
                <w:sz w:val="22"/>
                <w:szCs w:val="22"/>
              </w:rPr>
              <w:t>2025.</w:t>
            </w:r>
          </w:p>
        </w:tc>
      </w:tr>
      <w:tr w:rsidR="00F70C81" w14:paraId="01707C5F" w14:textId="77777777" w:rsidTr="00F70C81">
        <w:trPr>
          <w:trHeight w:val="264"/>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37B955C7" w14:textId="77777777" w:rsidR="00F70C81" w:rsidRPr="00F70C81" w:rsidRDefault="00F70C81">
            <w:pPr>
              <w:rPr>
                <w:rFonts w:ascii="Arial" w:hAnsi="Arial" w:cs="Arial"/>
                <w:sz w:val="22"/>
                <w:szCs w:val="22"/>
              </w:rPr>
            </w:pPr>
            <w:r w:rsidRPr="00F70C81">
              <w:rPr>
                <w:rFonts w:ascii="Arial" w:hAnsi="Arial" w:cs="Arial"/>
                <w:sz w:val="22"/>
                <w:szCs w:val="22"/>
              </w:rPr>
              <w:t>Fejlesztési</w:t>
            </w:r>
          </w:p>
        </w:tc>
        <w:tc>
          <w:tcPr>
            <w:tcW w:w="5700" w:type="dxa"/>
            <w:tcBorders>
              <w:top w:val="nil"/>
              <w:left w:val="nil"/>
              <w:bottom w:val="single" w:sz="4" w:space="0" w:color="auto"/>
              <w:right w:val="single" w:sz="4" w:space="0" w:color="auto"/>
            </w:tcBorders>
            <w:shd w:val="clear" w:color="000000" w:fill="FFFFFF"/>
            <w:vAlign w:val="bottom"/>
            <w:hideMark/>
          </w:tcPr>
          <w:p w14:paraId="5C1C92C0" w14:textId="77777777" w:rsidR="00F70C81" w:rsidRPr="00F70C81" w:rsidRDefault="00F70C81">
            <w:pPr>
              <w:ind w:firstLineChars="100" w:firstLine="220"/>
              <w:rPr>
                <w:rFonts w:ascii="Arial" w:hAnsi="Arial" w:cs="Arial"/>
                <w:sz w:val="22"/>
                <w:szCs w:val="22"/>
              </w:rPr>
            </w:pPr>
            <w:r w:rsidRPr="00F70C81">
              <w:rPr>
                <w:rFonts w:ascii="Arial" w:hAnsi="Arial" w:cs="Arial"/>
                <w:sz w:val="22"/>
                <w:szCs w:val="22"/>
              </w:rPr>
              <w:t xml:space="preserve">Külterületi utak </w:t>
            </w:r>
            <w:proofErr w:type="spellStart"/>
            <w:r w:rsidRPr="00F70C81">
              <w:rPr>
                <w:rFonts w:ascii="Arial" w:hAnsi="Arial" w:cs="Arial"/>
                <w:sz w:val="22"/>
                <w:szCs w:val="22"/>
              </w:rPr>
              <w:t>elk</w:t>
            </w:r>
            <w:proofErr w:type="spellEnd"/>
            <w:r w:rsidRPr="00F70C81">
              <w:rPr>
                <w:rFonts w:ascii="Arial" w:hAnsi="Arial" w:cs="Arial"/>
                <w:sz w:val="22"/>
                <w:szCs w:val="22"/>
              </w:rPr>
              <w:t>. számla</w:t>
            </w:r>
          </w:p>
        </w:tc>
        <w:tc>
          <w:tcPr>
            <w:tcW w:w="1560" w:type="dxa"/>
            <w:tcBorders>
              <w:top w:val="nil"/>
              <w:left w:val="nil"/>
              <w:bottom w:val="single" w:sz="4" w:space="0" w:color="auto"/>
              <w:right w:val="single" w:sz="8" w:space="0" w:color="auto"/>
            </w:tcBorders>
            <w:shd w:val="clear" w:color="000000" w:fill="FFFFFF"/>
            <w:vAlign w:val="bottom"/>
            <w:hideMark/>
          </w:tcPr>
          <w:p w14:paraId="4F36B953" w14:textId="77777777" w:rsidR="00F70C81" w:rsidRPr="00F70C81" w:rsidRDefault="00F70C81">
            <w:pPr>
              <w:jc w:val="right"/>
              <w:rPr>
                <w:rFonts w:ascii="Arial" w:hAnsi="Arial" w:cs="Arial"/>
                <w:b/>
                <w:bCs/>
                <w:sz w:val="22"/>
                <w:szCs w:val="22"/>
              </w:rPr>
            </w:pPr>
            <w:r w:rsidRPr="00F70C81">
              <w:rPr>
                <w:rFonts w:ascii="Arial" w:hAnsi="Arial" w:cs="Arial"/>
                <w:b/>
                <w:bCs/>
                <w:sz w:val="22"/>
                <w:szCs w:val="22"/>
              </w:rPr>
              <w:t>564 916</w:t>
            </w:r>
          </w:p>
        </w:tc>
      </w:tr>
      <w:tr w:rsidR="00F70C81" w14:paraId="58BE885D" w14:textId="77777777" w:rsidTr="00F70C81">
        <w:trPr>
          <w:trHeight w:val="264"/>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53600C79" w14:textId="77777777" w:rsidR="00F70C81" w:rsidRPr="00F70C81" w:rsidRDefault="00F70C81">
            <w:pPr>
              <w:rPr>
                <w:rFonts w:ascii="Arial" w:hAnsi="Arial" w:cs="Arial"/>
                <w:sz w:val="22"/>
                <w:szCs w:val="22"/>
              </w:rPr>
            </w:pPr>
            <w:r w:rsidRPr="00F70C81">
              <w:rPr>
                <w:rFonts w:ascii="Arial" w:hAnsi="Arial" w:cs="Arial"/>
                <w:sz w:val="22"/>
                <w:szCs w:val="22"/>
              </w:rPr>
              <w:t>Fejlesztési</w:t>
            </w:r>
          </w:p>
        </w:tc>
        <w:tc>
          <w:tcPr>
            <w:tcW w:w="5700" w:type="dxa"/>
            <w:tcBorders>
              <w:top w:val="nil"/>
              <w:left w:val="nil"/>
              <w:bottom w:val="single" w:sz="4" w:space="0" w:color="auto"/>
              <w:right w:val="single" w:sz="4" w:space="0" w:color="auto"/>
            </w:tcBorders>
            <w:shd w:val="clear" w:color="000000" w:fill="FFFFFF"/>
            <w:vAlign w:val="bottom"/>
            <w:hideMark/>
          </w:tcPr>
          <w:p w14:paraId="26CB4E22" w14:textId="77777777" w:rsidR="00F70C81" w:rsidRPr="00F70C81" w:rsidRDefault="00F70C81">
            <w:pPr>
              <w:ind w:firstLineChars="100" w:firstLine="220"/>
              <w:rPr>
                <w:rFonts w:ascii="Arial" w:hAnsi="Arial" w:cs="Arial"/>
                <w:sz w:val="22"/>
                <w:szCs w:val="22"/>
              </w:rPr>
            </w:pPr>
            <w:r w:rsidRPr="00F70C81">
              <w:rPr>
                <w:rFonts w:ascii="Arial" w:hAnsi="Arial" w:cs="Arial"/>
                <w:sz w:val="22"/>
                <w:szCs w:val="22"/>
              </w:rPr>
              <w:t>Széchenyi Program pénzeszköz elkülönítés</w:t>
            </w:r>
          </w:p>
        </w:tc>
        <w:tc>
          <w:tcPr>
            <w:tcW w:w="1560" w:type="dxa"/>
            <w:tcBorders>
              <w:top w:val="nil"/>
              <w:left w:val="nil"/>
              <w:bottom w:val="single" w:sz="4" w:space="0" w:color="auto"/>
              <w:right w:val="single" w:sz="8" w:space="0" w:color="auto"/>
            </w:tcBorders>
            <w:shd w:val="clear" w:color="000000" w:fill="FFFFFF"/>
            <w:vAlign w:val="center"/>
            <w:hideMark/>
          </w:tcPr>
          <w:p w14:paraId="60813AED" w14:textId="77777777" w:rsidR="00F70C81" w:rsidRPr="00F70C81" w:rsidRDefault="00F70C81">
            <w:pPr>
              <w:jc w:val="right"/>
              <w:rPr>
                <w:rFonts w:ascii="Arial" w:hAnsi="Arial" w:cs="Arial"/>
                <w:b/>
                <w:bCs/>
                <w:sz w:val="22"/>
                <w:szCs w:val="22"/>
              </w:rPr>
            </w:pPr>
            <w:r w:rsidRPr="00F70C81">
              <w:rPr>
                <w:rFonts w:ascii="Arial" w:hAnsi="Arial" w:cs="Arial"/>
                <w:b/>
                <w:bCs/>
                <w:sz w:val="22"/>
                <w:szCs w:val="22"/>
              </w:rPr>
              <w:t>899 464</w:t>
            </w:r>
          </w:p>
        </w:tc>
      </w:tr>
      <w:tr w:rsidR="00E76974" w14:paraId="0CCEB1EA" w14:textId="77777777" w:rsidTr="00E76974">
        <w:trPr>
          <w:trHeight w:val="264"/>
        </w:trPr>
        <w:tc>
          <w:tcPr>
            <w:tcW w:w="1120" w:type="dxa"/>
            <w:tcBorders>
              <w:top w:val="nil"/>
              <w:left w:val="single" w:sz="4" w:space="0" w:color="auto"/>
              <w:bottom w:val="single" w:sz="4" w:space="0" w:color="auto"/>
              <w:right w:val="single" w:sz="4" w:space="0" w:color="auto"/>
            </w:tcBorders>
            <w:shd w:val="clear" w:color="auto" w:fill="auto"/>
            <w:noWrap/>
            <w:vAlign w:val="bottom"/>
          </w:tcPr>
          <w:p w14:paraId="1F7BD054" w14:textId="49E1EE84" w:rsidR="00E76974" w:rsidRPr="00E76974" w:rsidRDefault="00E76974">
            <w:pPr>
              <w:rPr>
                <w:rFonts w:ascii="Arial" w:hAnsi="Arial" w:cs="Arial"/>
                <w:b/>
                <w:bCs/>
                <w:sz w:val="22"/>
                <w:szCs w:val="22"/>
              </w:rPr>
            </w:pPr>
            <w:r w:rsidRPr="00E76974">
              <w:rPr>
                <w:rFonts w:ascii="Arial" w:hAnsi="Arial" w:cs="Arial"/>
                <w:b/>
                <w:bCs/>
                <w:sz w:val="22"/>
                <w:szCs w:val="22"/>
              </w:rPr>
              <w:t>Fejlesztési</w:t>
            </w:r>
          </w:p>
        </w:tc>
        <w:tc>
          <w:tcPr>
            <w:tcW w:w="5700" w:type="dxa"/>
            <w:tcBorders>
              <w:top w:val="nil"/>
              <w:left w:val="nil"/>
              <w:bottom w:val="single" w:sz="4" w:space="0" w:color="auto"/>
              <w:right w:val="single" w:sz="4" w:space="0" w:color="auto"/>
            </w:tcBorders>
            <w:shd w:val="clear" w:color="auto" w:fill="auto"/>
            <w:vAlign w:val="bottom"/>
          </w:tcPr>
          <w:p w14:paraId="6BF3F39D" w14:textId="38116E57" w:rsidR="00E76974" w:rsidRPr="00E76974" w:rsidRDefault="00E76974">
            <w:pPr>
              <w:rPr>
                <w:rFonts w:ascii="Arial" w:hAnsi="Arial" w:cs="Arial"/>
                <w:b/>
                <w:bCs/>
                <w:sz w:val="22"/>
                <w:szCs w:val="22"/>
              </w:rPr>
            </w:pPr>
            <w:r w:rsidRPr="00E76974">
              <w:rPr>
                <w:rFonts w:ascii="Arial" w:hAnsi="Arial" w:cs="Arial"/>
                <w:b/>
                <w:bCs/>
                <w:sz w:val="22"/>
                <w:szCs w:val="22"/>
              </w:rPr>
              <w:t>Bérlakások bevétele</w:t>
            </w:r>
          </w:p>
        </w:tc>
        <w:tc>
          <w:tcPr>
            <w:tcW w:w="1560" w:type="dxa"/>
            <w:tcBorders>
              <w:top w:val="nil"/>
              <w:left w:val="nil"/>
              <w:bottom w:val="single" w:sz="4" w:space="0" w:color="auto"/>
              <w:right w:val="single" w:sz="8" w:space="0" w:color="auto"/>
            </w:tcBorders>
            <w:shd w:val="clear" w:color="auto" w:fill="auto"/>
            <w:vAlign w:val="bottom"/>
          </w:tcPr>
          <w:p w14:paraId="08D5CAB8" w14:textId="04F8DA6B" w:rsidR="00E76974" w:rsidRPr="00E76974" w:rsidRDefault="00AE383B">
            <w:pPr>
              <w:jc w:val="right"/>
              <w:rPr>
                <w:rFonts w:ascii="Arial" w:hAnsi="Arial" w:cs="Arial"/>
                <w:b/>
                <w:bCs/>
                <w:sz w:val="22"/>
                <w:szCs w:val="22"/>
              </w:rPr>
            </w:pPr>
            <w:r>
              <w:rPr>
                <w:rFonts w:ascii="Arial" w:hAnsi="Arial" w:cs="Arial"/>
                <w:b/>
                <w:bCs/>
                <w:sz w:val="22"/>
                <w:szCs w:val="22"/>
              </w:rPr>
              <w:t>6 326</w:t>
            </w:r>
            <w:r w:rsidR="00E76974">
              <w:rPr>
                <w:rFonts w:ascii="Arial" w:hAnsi="Arial" w:cs="Arial"/>
                <w:b/>
                <w:bCs/>
                <w:sz w:val="22"/>
                <w:szCs w:val="22"/>
              </w:rPr>
              <w:t xml:space="preserve"> 000</w:t>
            </w:r>
          </w:p>
        </w:tc>
      </w:tr>
      <w:tr w:rsidR="00F70C81" w14:paraId="19A983EE" w14:textId="77777777" w:rsidTr="00F70C81">
        <w:trPr>
          <w:trHeight w:val="264"/>
        </w:trPr>
        <w:tc>
          <w:tcPr>
            <w:tcW w:w="1120" w:type="dxa"/>
            <w:tcBorders>
              <w:top w:val="nil"/>
              <w:left w:val="single" w:sz="4" w:space="0" w:color="auto"/>
              <w:bottom w:val="single" w:sz="4" w:space="0" w:color="auto"/>
              <w:right w:val="single" w:sz="4" w:space="0" w:color="auto"/>
            </w:tcBorders>
            <w:shd w:val="clear" w:color="000000" w:fill="CCFFCC"/>
            <w:noWrap/>
            <w:vAlign w:val="bottom"/>
            <w:hideMark/>
          </w:tcPr>
          <w:p w14:paraId="208231B4" w14:textId="77777777" w:rsidR="00F70C81" w:rsidRPr="00F70C81" w:rsidRDefault="00F70C81">
            <w:pPr>
              <w:rPr>
                <w:rFonts w:ascii="Arial" w:hAnsi="Arial" w:cs="Arial"/>
                <w:b/>
                <w:bCs/>
                <w:sz w:val="22"/>
                <w:szCs w:val="22"/>
              </w:rPr>
            </w:pPr>
            <w:r w:rsidRPr="00F70C81">
              <w:rPr>
                <w:rFonts w:ascii="Arial" w:hAnsi="Arial" w:cs="Arial"/>
                <w:b/>
                <w:bCs/>
                <w:sz w:val="22"/>
                <w:szCs w:val="22"/>
              </w:rPr>
              <w:t>Fejlesztési</w:t>
            </w:r>
          </w:p>
        </w:tc>
        <w:tc>
          <w:tcPr>
            <w:tcW w:w="5700" w:type="dxa"/>
            <w:tcBorders>
              <w:top w:val="nil"/>
              <w:left w:val="nil"/>
              <w:bottom w:val="single" w:sz="4" w:space="0" w:color="auto"/>
              <w:right w:val="single" w:sz="4" w:space="0" w:color="auto"/>
            </w:tcBorders>
            <w:shd w:val="clear" w:color="000000" w:fill="CCFFCC"/>
            <w:vAlign w:val="bottom"/>
            <w:hideMark/>
          </w:tcPr>
          <w:p w14:paraId="3DB978AB" w14:textId="77777777" w:rsidR="00F70C81" w:rsidRPr="00F70C81" w:rsidRDefault="00F70C81">
            <w:pPr>
              <w:rPr>
                <w:rFonts w:ascii="Arial" w:hAnsi="Arial" w:cs="Arial"/>
                <w:b/>
                <w:bCs/>
                <w:sz w:val="22"/>
                <w:szCs w:val="22"/>
              </w:rPr>
            </w:pPr>
            <w:r w:rsidRPr="00F70C81">
              <w:rPr>
                <w:rFonts w:ascii="Arial" w:hAnsi="Arial" w:cs="Arial"/>
                <w:b/>
                <w:bCs/>
                <w:sz w:val="22"/>
                <w:szCs w:val="22"/>
              </w:rPr>
              <w:t>Fejlesztési céltartalék összesen:</w:t>
            </w:r>
          </w:p>
        </w:tc>
        <w:tc>
          <w:tcPr>
            <w:tcW w:w="1560" w:type="dxa"/>
            <w:tcBorders>
              <w:top w:val="nil"/>
              <w:left w:val="nil"/>
              <w:bottom w:val="single" w:sz="4" w:space="0" w:color="auto"/>
              <w:right w:val="single" w:sz="8" w:space="0" w:color="auto"/>
            </w:tcBorders>
            <w:shd w:val="clear" w:color="000000" w:fill="CCFFCC"/>
            <w:vAlign w:val="bottom"/>
            <w:hideMark/>
          </w:tcPr>
          <w:p w14:paraId="0F570D65" w14:textId="027B5B99" w:rsidR="00F70C81" w:rsidRPr="00F70C81" w:rsidRDefault="00E76974">
            <w:pPr>
              <w:jc w:val="right"/>
              <w:rPr>
                <w:rFonts w:ascii="Arial" w:hAnsi="Arial" w:cs="Arial"/>
                <w:b/>
                <w:bCs/>
                <w:sz w:val="22"/>
                <w:szCs w:val="22"/>
              </w:rPr>
            </w:pPr>
            <w:r>
              <w:rPr>
                <w:rFonts w:ascii="Arial" w:hAnsi="Arial" w:cs="Arial"/>
                <w:b/>
                <w:bCs/>
                <w:sz w:val="22"/>
                <w:szCs w:val="22"/>
              </w:rPr>
              <w:t>7 790 380</w:t>
            </w:r>
          </w:p>
        </w:tc>
      </w:tr>
      <w:tr w:rsidR="00F70C81" w14:paraId="6CFE4C74" w14:textId="77777777" w:rsidTr="00F70C81">
        <w:trPr>
          <w:trHeight w:val="264"/>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173709B2" w14:textId="77777777" w:rsidR="00F70C81" w:rsidRPr="00F70C81" w:rsidRDefault="00F70C81">
            <w:pPr>
              <w:rPr>
                <w:rFonts w:ascii="Arial" w:hAnsi="Arial" w:cs="Arial"/>
                <w:sz w:val="22"/>
                <w:szCs w:val="22"/>
              </w:rPr>
            </w:pPr>
            <w:r w:rsidRPr="00F70C81">
              <w:rPr>
                <w:rFonts w:ascii="Arial" w:hAnsi="Arial" w:cs="Arial"/>
                <w:sz w:val="22"/>
                <w:szCs w:val="22"/>
              </w:rPr>
              <w:t>Működési</w:t>
            </w:r>
          </w:p>
        </w:tc>
        <w:tc>
          <w:tcPr>
            <w:tcW w:w="5700" w:type="dxa"/>
            <w:tcBorders>
              <w:top w:val="nil"/>
              <w:left w:val="nil"/>
              <w:bottom w:val="single" w:sz="4" w:space="0" w:color="auto"/>
              <w:right w:val="single" w:sz="4" w:space="0" w:color="auto"/>
            </w:tcBorders>
            <w:shd w:val="clear" w:color="000000" w:fill="FFFFFF"/>
            <w:noWrap/>
            <w:vAlign w:val="bottom"/>
            <w:hideMark/>
          </w:tcPr>
          <w:p w14:paraId="357BA909" w14:textId="77777777" w:rsidR="00F70C81" w:rsidRPr="00F70C81" w:rsidRDefault="00F70C81">
            <w:pPr>
              <w:rPr>
                <w:rFonts w:ascii="Arial" w:hAnsi="Arial" w:cs="Arial"/>
                <w:sz w:val="22"/>
                <w:szCs w:val="22"/>
              </w:rPr>
            </w:pPr>
            <w:r w:rsidRPr="00F70C81">
              <w:rPr>
                <w:rFonts w:ascii="Arial" w:hAnsi="Arial" w:cs="Arial"/>
                <w:sz w:val="22"/>
                <w:szCs w:val="22"/>
              </w:rPr>
              <w:t>Egyensúlyi céltartalék</w:t>
            </w:r>
          </w:p>
        </w:tc>
        <w:tc>
          <w:tcPr>
            <w:tcW w:w="1560" w:type="dxa"/>
            <w:tcBorders>
              <w:top w:val="nil"/>
              <w:left w:val="nil"/>
              <w:bottom w:val="single" w:sz="4" w:space="0" w:color="auto"/>
              <w:right w:val="single" w:sz="8" w:space="0" w:color="auto"/>
            </w:tcBorders>
            <w:shd w:val="clear" w:color="000000" w:fill="FFFFFF"/>
            <w:noWrap/>
            <w:vAlign w:val="bottom"/>
            <w:hideMark/>
          </w:tcPr>
          <w:p w14:paraId="6410A106" w14:textId="77777777" w:rsidR="00F70C81" w:rsidRPr="00F70C81" w:rsidRDefault="00F70C81">
            <w:pPr>
              <w:jc w:val="right"/>
              <w:rPr>
                <w:rFonts w:ascii="Arial" w:hAnsi="Arial" w:cs="Arial"/>
                <w:b/>
                <w:bCs/>
                <w:sz w:val="22"/>
                <w:szCs w:val="22"/>
              </w:rPr>
            </w:pPr>
            <w:r w:rsidRPr="00F70C81">
              <w:rPr>
                <w:rFonts w:ascii="Arial" w:hAnsi="Arial" w:cs="Arial"/>
                <w:b/>
                <w:bCs/>
                <w:sz w:val="22"/>
                <w:szCs w:val="22"/>
              </w:rPr>
              <w:t>3 000 000</w:t>
            </w:r>
          </w:p>
        </w:tc>
      </w:tr>
      <w:tr w:rsidR="00F70C81" w14:paraId="570150BD" w14:textId="77777777" w:rsidTr="00F70C81">
        <w:trPr>
          <w:trHeight w:val="264"/>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72C7DFD8" w14:textId="77777777" w:rsidR="00F70C81" w:rsidRPr="00F70C81" w:rsidRDefault="00F70C81">
            <w:pPr>
              <w:rPr>
                <w:rFonts w:ascii="Arial" w:hAnsi="Arial" w:cs="Arial"/>
                <w:sz w:val="22"/>
                <w:szCs w:val="22"/>
              </w:rPr>
            </w:pPr>
            <w:r w:rsidRPr="00F70C81">
              <w:rPr>
                <w:rFonts w:ascii="Arial" w:hAnsi="Arial" w:cs="Arial"/>
                <w:sz w:val="22"/>
                <w:szCs w:val="22"/>
              </w:rPr>
              <w:t>Működési</w:t>
            </w:r>
          </w:p>
        </w:tc>
        <w:tc>
          <w:tcPr>
            <w:tcW w:w="5700" w:type="dxa"/>
            <w:tcBorders>
              <w:top w:val="nil"/>
              <w:left w:val="nil"/>
              <w:bottom w:val="single" w:sz="4" w:space="0" w:color="auto"/>
              <w:right w:val="single" w:sz="4" w:space="0" w:color="auto"/>
            </w:tcBorders>
            <w:shd w:val="clear" w:color="000000" w:fill="FFFFFF"/>
            <w:vAlign w:val="bottom"/>
            <w:hideMark/>
          </w:tcPr>
          <w:p w14:paraId="78E35C46" w14:textId="77777777" w:rsidR="00F70C81" w:rsidRPr="00F70C81" w:rsidRDefault="00F70C81">
            <w:pPr>
              <w:rPr>
                <w:rFonts w:ascii="Arial" w:hAnsi="Arial" w:cs="Arial"/>
                <w:sz w:val="22"/>
                <w:szCs w:val="22"/>
              </w:rPr>
            </w:pPr>
            <w:r w:rsidRPr="00F70C81">
              <w:rPr>
                <w:rFonts w:ascii="Arial" w:hAnsi="Arial" w:cs="Arial"/>
                <w:sz w:val="22"/>
                <w:szCs w:val="22"/>
              </w:rPr>
              <w:t>Pályázati előkészítés, tervezés költség</w:t>
            </w:r>
          </w:p>
        </w:tc>
        <w:tc>
          <w:tcPr>
            <w:tcW w:w="1560" w:type="dxa"/>
            <w:tcBorders>
              <w:top w:val="nil"/>
              <w:left w:val="nil"/>
              <w:bottom w:val="single" w:sz="4" w:space="0" w:color="auto"/>
              <w:right w:val="single" w:sz="8" w:space="0" w:color="auto"/>
            </w:tcBorders>
            <w:shd w:val="clear" w:color="000000" w:fill="FFFFFF"/>
            <w:vAlign w:val="bottom"/>
            <w:hideMark/>
          </w:tcPr>
          <w:p w14:paraId="4557DE8B" w14:textId="77777777" w:rsidR="00F70C81" w:rsidRPr="00F70C81" w:rsidRDefault="00F70C81">
            <w:pPr>
              <w:jc w:val="right"/>
              <w:rPr>
                <w:rFonts w:ascii="Arial" w:hAnsi="Arial" w:cs="Arial"/>
                <w:b/>
                <w:bCs/>
                <w:color w:val="000000"/>
                <w:sz w:val="22"/>
                <w:szCs w:val="22"/>
              </w:rPr>
            </w:pPr>
            <w:r w:rsidRPr="00F70C81">
              <w:rPr>
                <w:rFonts w:ascii="Arial" w:hAnsi="Arial" w:cs="Arial"/>
                <w:b/>
                <w:bCs/>
                <w:color w:val="000000"/>
                <w:sz w:val="22"/>
                <w:szCs w:val="22"/>
              </w:rPr>
              <w:t>1 000 000</w:t>
            </w:r>
          </w:p>
        </w:tc>
      </w:tr>
      <w:tr w:rsidR="00F70C81" w14:paraId="38F06133" w14:textId="77777777" w:rsidTr="00F70C81">
        <w:trPr>
          <w:trHeight w:val="264"/>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68833F1F" w14:textId="77777777" w:rsidR="00F70C81" w:rsidRPr="00F70C81" w:rsidRDefault="00F70C81">
            <w:pPr>
              <w:rPr>
                <w:rFonts w:ascii="Arial" w:hAnsi="Arial" w:cs="Arial"/>
                <w:sz w:val="22"/>
                <w:szCs w:val="22"/>
              </w:rPr>
            </w:pPr>
            <w:r w:rsidRPr="00F70C81">
              <w:rPr>
                <w:rFonts w:ascii="Arial" w:hAnsi="Arial" w:cs="Arial"/>
                <w:sz w:val="22"/>
                <w:szCs w:val="22"/>
              </w:rPr>
              <w:t>Működési</w:t>
            </w:r>
          </w:p>
        </w:tc>
        <w:tc>
          <w:tcPr>
            <w:tcW w:w="5700" w:type="dxa"/>
            <w:tcBorders>
              <w:top w:val="nil"/>
              <w:left w:val="nil"/>
              <w:bottom w:val="single" w:sz="4" w:space="0" w:color="auto"/>
              <w:right w:val="single" w:sz="4" w:space="0" w:color="auto"/>
            </w:tcBorders>
            <w:shd w:val="clear" w:color="000000" w:fill="FFFFFF"/>
            <w:vAlign w:val="bottom"/>
            <w:hideMark/>
          </w:tcPr>
          <w:p w14:paraId="0E1967A6" w14:textId="77777777" w:rsidR="00F70C81" w:rsidRPr="00F70C81" w:rsidRDefault="00F70C81">
            <w:pPr>
              <w:rPr>
                <w:rFonts w:ascii="Arial" w:hAnsi="Arial" w:cs="Arial"/>
                <w:sz w:val="22"/>
                <w:szCs w:val="22"/>
              </w:rPr>
            </w:pPr>
            <w:r w:rsidRPr="00F70C81">
              <w:rPr>
                <w:rFonts w:ascii="Arial" w:hAnsi="Arial" w:cs="Arial"/>
                <w:sz w:val="22"/>
                <w:szCs w:val="22"/>
              </w:rPr>
              <w:t>Sportpálya üzemeltetés</w:t>
            </w:r>
          </w:p>
        </w:tc>
        <w:tc>
          <w:tcPr>
            <w:tcW w:w="1560" w:type="dxa"/>
            <w:tcBorders>
              <w:top w:val="nil"/>
              <w:left w:val="nil"/>
              <w:bottom w:val="single" w:sz="4" w:space="0" w:color="auto"/>
              <w:right w:val="single" w:sz="8" w:space="0" w:color="auto"/>
            </w:tcBorders>
            <w:shd w:val="clear" w:color="000000" w:fill="FFFFFF"/>
            <w:vAlign w:val="center"/>
            <w:hideMark/>
          </w:tcPr>
          <w:p w14:paraId="7FAA078B" w14:textId="77777777" w:rsidR="00F70C81" w:rsidRPr="00F70C81" w:rsidRDefault="00F70C81">
            <w:pPr>
              <w:jc w:val="right"/>
              <w:rPr>
                <w:rFonts w:ascii="Arial" w:hAnsi="Arial" w:cs="Arial"/>
                <w:b/>
                <w:bCs/>
                <w:sz w:val="22"/>
                <w:szCs w:val="22"/>
              </w:rPr>
            </w:pPr>
            <w:r w:rsidRPr="00F70C81">
              <w:rPr>
                <w:rFonts w:ascii="Arial" w:hAnsi="Arial" w:cs="Arial"/>
                <w:b/>
                <w:bCs/>
                <w:sz w:val="22"/>
                <w:szCs w:val="22"/>
              </w:rPr>
              <w:t>12 000 000</w:t>
            </w:r>
          </w:p>
        </w:tc>
      </w:tr>
      <w:tr w:rsidR="00F70C81" w14:paraId="72D65828" w14:textId="77777777" w:rsidTr="00F70C81">
        <w:trPr>
          <w:trHeight w:val="264"/>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78CDA52F" w14:textId="77777777" w:rsidR="00F70C81" w:rsidRPr="00F70C81" w:rsidRDefault="00F70C81">
            <w:pPr>
              <w:rPr>
                <w:rFonts w:ascii="Arial" w:hAnsi="Arial" w:cs="Arial"/>
                <w:sz w:val="22"/>
                <w:szCs w:val="22"/>
              </w:rPr>
            </w:pPr>
            <w:r w:rsidRPr="00F70C81">
              <w:rPr>
                <w:rFonts w:ascii="Arial" w:hAnsi="Arial" w:cs="Arial"/>
                <w:sz w:val="22"/>
                <w:szCs w:val="22"/>
              </w:rPr>
              <w:t>Működési</w:t>
            </w:r>
          </w:p>
        </w:tc>
        <w:tc>
          <w:tcPr>
            <w:tcW w:w="5700" w:type="dxa"/>
            <w:tcBorders>
              <w:top w:val="nil"/>
              <w:left w:val="nil"/>
              <w:bottom w:val="single" w:sz="4" w:space="0" w:color="auto"/>
              <w:right w:val="single" w:sz="4" w:space="0" w:color="auto"/>
            </w:tcBorders>
            <w:shd w:val="clear" w:color="000000" w:fill="FFFFFF"/>
            <w:vAlign w:val="bottom"/>
            <w:hideMark/>
          </w:tcPr>
          <w:p w14:paraId="0446FD1B" w14:textId="77777777" w:rsidR="00F70C81" w:rsidRPr="00F70C81" w:rsidRDefault="00F70C81">
            <w:pPr>
              <w:rPr>
                <w:rFonts w:ascii="Arial" w:hAnsi="Arial" w:cs="Arial"/>
                <w:sz w:val="22"/>
                <w:szCs w:val="22"/>
              </w:rPr>
            </w:pPr>
            <w:r w:rsidRPr="00F70C81">
              <w:rPr>
                <w:rFonts w:ascii="Arial" w:hAnsi="Arial" w:cs="Arial"/>
                <w:sz w:val="22"/>
                <w:szCs w:val="22"/>
              </w:rPr>
              <w:t>TOP Ipari park működése bevétel 2025 évi bevétel</w:t>
            </w:r>
          </w:p>
        </w:tc>
        <w:tc>
          <w:tcPr>
            <w:tcW w:w="1560" w:type="dxa"/>
            <w:tcBorders>
              <w:top w:val="nil"/>
              <w:left w:val="nil"/>
              <w:bottom w:val="single" w:sz="4" w:space="0" w:color="auto"/>
              <w:right w:val="single" w:sz="8" w:space="0" w:color="auto"/>
            </w:tcBorders>
            <w:shd w:val="clear" w:color="000000" w:fill="FFFFFF"/>
            <w:vAlign w:val="center"/>
            <w:hideMark/>
          </w:tcPr>
          <w:p w14:paraId="3268A031" w14:textId="77777777" w:rsidR="00F70C81" w:rsidRPr="00F70C81" w:rsidRDefault="00F70C81">
            <w:pPr>
              <w:jc w:val="right"/>
              <w:rPr>
                <w:rFonts w:ascii="Arial" w:hAnsi="Arial" w:cs="Arial"/>
                <w:b/>
                <w:bCs/>
                <w:sz w:val="22"/>
                <w:szCs w:val="22"/>
              </w:rPr>
            </w:pPr>
            <w:r w:rsidRPr="00F70C81">
              <w:rPr>
                <w:rFonts w:ascii="Arial" w:hAnsi="Arial" w:cs="Arial"/>
                <w:b/>
                <w:bCs/>
                <w:sz w:val="22"/>
                <w:szCs w:val="22"/>
              </w:rPr>
              <w:t>1 500 000</w:t>
            </w:r>
          </w:p>
        </w:tc>
      </w:tr>
      <w:tr w:rsidR="00F70C81" w14:paraId="31958C95" w14:textId="77777777" w:rsidTr="00F70C81">
        <w:trPr>
          <w:trHeight w:val="264"/>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2400E700" w14:textId="77777777" w:rsidR="00F70C81" w:rsidRPr="00F70C81" w:rsidRDefault="00F70C81">
            <w:pPr>
              <w:rPr>
                <w:rFonts w:ascii="Arial" w:hAnsi="Arial" w:cs="Arial"/>
                <w:sz w:val="22"/>
                <w:szCs w:val="22"/>
              </w:rPr>
            </w:pPr>
            <w:r w:rsidRPr="00F70C81">
              <w:rPr>
                <w:rFonts w:ascii="Arial" w:hAnsi="Arial" w:cs="Arial"/>
                <w:sz w:val="22"/>
                <w:szCs w:val="22"/>
              </w:rPr>
              <w:t>Működési</w:t>
            </w:r>
          </w:p>
        </w:tc>
        <w:tc>
          <w:tcPr>
            <w:tcW w:w="5700" w:type="dxa"/>
            <w:tcBorders>
              <w:top w:val="nil"/>
              <w:left w:val="nil"/>
              <w:bottom w:val="single" w:sz="4" w:space="0" w:color="auto"/>
              <w:right w:val="single" w:sz="4" w:space="0" w:color="auto"/>
            </w:tcBorders>
            <w:shd w:val="clear" w:color="000000" w:fill="FFFFFF"/>
            <w:vAlign w:val="bottom"/>
            <w:hideMark/>
          </w:tcPr>
          <w:p w14:paraId="51AAB734" w14:textId="77777777" w:rsidR="00F70C81" w:rsidRPr="00F70C81" w:rsidRDefault="00F70C81">
            <w:pPr>
              <w:rPr>
                <w:rFonts w:ascii="Arial" w:hAnsi="Arial" w:cs="Arial"/>
                <w:sz w:val="22"/>
                <w:szCs w:val="22"/>
              </w:rPr>
            </w:pPr>
            <w:r w:rsidRPr="00F70C81">
              <w:rPr>
                <w:rFonts w:ascii="Arial" w:hAnsi="Arial" w:cs="Arial"/>
                <w:sz w:val="22"/>
                <w:szCs w:val="22"/>
              </w:rPr>
              <w:t>TOP Agrárlogisztikai központ működése bevétel</w:t>
            </w:r>
          </w:p>
        </w:tc>
        <w:tc>
          <w:tcPr>
            <w:tcW w:w="1560" w:type="dxa"/>
            <w:tcBorders>
              <w:top w:val="nil"/>
              <w:left w:val="nil"/>
              <w:bottom w:val="single" w:sz="4" w:space="0" w:color="auto"/>
              <w:right w:val="single" w:sz="8" w:space="0" w:color="auto"/>
            </w:tcBorders>
            <w:shd w:val="clear" w:color="000000" w:fill="FFFFFF"/>
            <w:vAlign w:val="center"/>
            <w:hideMark/>
          </w:tcPr>
          <w:p w14:paraId="1D431551" w14:textId="77777777" w:rsidR="00F70C81" w:rsidRPr="00F70C81" w:rsidRDefault="00F70C81">
            <w:pPr>
              <w:jc w:val="right"/>
              <w:rPr>
                <w:rFonts w:ascii="Arial" w:hAnsi="Arial" w:cs="Arial"/>
                <w:b/>
                <w:bCs/>
                <w:sz w:val="22"/>
                <w:szCs w:val="22"/>
              </w:rPr>
            </w:pPr>
            <w:r w:rsidRPr="00F70C81">
              <w:rPr>
                <w:rFonts w:ascii="Arial" w:hAnsi="Arial" w:cs="Arial"/>
                <w:b/>
                <w:bCs/>
                <w:sz w:val="22"/>
                <w:szCs w:val="22"/>
              </w:rPr>
              <w:t>2 800 000</w:t>
            </w:r>
          </w:p>
        </w:tc>
      </w:tr>
      <w:tr w:rsidR="00F70C81" w14:paraId="7C615521" w14:textId="77777777" w:rsidTr="00F70C81">
        <w:trPr>
          <w:trHeight w:val="264"/>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513F06E5" w14:textId="77777777" w:rsidR="00F70C81" w:rsidRPr="00F70C81" w:rsidRDefault="00F70C81">
            <w:pPr>
              <w:rPr>
                <w:rFonts w:ascii="Arial" w:hAnsi="Arial" w:cs="Arial"/>
                <w:sz w:val="22"/>
                <w:szCs w:val="22"/>
              </w:rPr>
            </w:pPr>
            <w:r w:rsidRPr="00F70C81">
              <w:rPr>
                <w:rFonts w:ascii="Arial" w:hAnsi="Arial" w:cs="Arial"/>
                <w:sz w:val="22"/>
                <w:szCs w:val="22"/>
              </w:rPr>
              <w:t>Működési</w:t>
            </w:r>
          </w:p>
        </w:tc>
        <w:tc>
          <w:tcPr>
            <w:tcW w:w="5700" w:type="dxa"/>
            <w:tcBorders>
              <w:top w:val="nil"/>
              <w:left w:val="nil"/>
              <w:bottom w:val="single" w:sz="4" w:space="0" w:color="auto"/>
              <w:right w:val="single" w:sz="4" w:space="0" w:color="auto"/>
            </w:tcBorders>
            <w:shd w:val="clear" w:color="000000" w:fill="FFFFFF"/>
            <w:vAlign w:val="bottom"/>
            <w:hideMark/>
          </w:tcPr>
          <w:p w14:paraId="79F86611" w14:textId="77777777" w:rsidR="00F70C81" w:rsidRPr="00F70C81" w:rsidRDefault="00F70C81">
            <w:pPr>
              <w:rPr>
                <w:rFonts w:ascii="Arial" w:hAnsi="Arial" w:cs="Arial"/>
                <w:sz w:val="22"/>
                <w:szCs w:val="22"/>
              </w:rPr>
            </w:pPr>
            <w:r w:rsidRPr="00F70C81">
              <w:rPr>
                <w:rFonts w:ascii="Arial" w:hAnsi="Arial" w:cs="Arial"/>
                <w:sz w:val="22"/>
                <w:szCs w:val="22"/>
              </w:rPr>
              <w:t>TOP Agrárlogisztikai központ működése bevétel 2025 év bevétel</w:t>
            </w:r>
          </w:p>
        </w:tc>
        <w:tc>
          <w:tcPr>
            <w:tcW w:w="1560" w:type="dxa"/>
            <w:tcBorders>
              <w:top w:val="nil"/>
              <w:left w:val="nil"/>
              <w:bottom w:val="single" w:sz="4" w:space="0" w:color="auto"/>
              <w:right w:val="single" w:sz="8" w:space="0" w:color="auto"/>
            </w:tcBorders>
            <w:shd w:val="clear" w:color="000000" w:fill="FFFFFF"/>
            <w:vAlign w:val="center"/>
            <w:hideMark/>
          </w:tcPr>
          <w:p w14:paraId="49708313" w14:textId="77777777" w:rsidR="00F70C81" w:rsidRPr="00F70C81" w:rsidRDefault="00F70C81">
            <w:pPr>
              <w:jc w:val="right"/>
              <w:rPr>
                <w:rFonts w:ascii="Arial" w:hAnsi="Arial" w:cs="Arial"/>
                <w:b/>
                <w:bCs/>
                <w:sz w:val="22"/>
                <w:szCs w:val="22"/>
              </w:rPr>
            </w:pPr>
            <w:r w:rsidRPr="00F70C81">
              <w:rPr>
                <w:rFonts w:ascii="Arial" w:hAnsi="Arial" w:cs="Arial"/>
                <w:b/>
                <w:bCs/>
                <w:sz w:val="22"/>
                <w:szCs w:val="22"/>
              </w:rPr>
              <w:t>1 200 000</w:t>
            </w:r>
          </w:p>
        </w:tc>
      </w:tr>
      <w:tr w:rsidR="00F70C81" w14:paraId="0339A8B0" w14:textId="77777777" w:rsidTr="00F70C81">
        <w:trPr>
          <w:trHeight w:val="264"/>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3D0BBC0A" w14:textId="77777777" w:rsidR="00F70C81" w:rsidRPr="00F70C81" w:rsidRDefault="00F70C81">
            <w:pPr>
              <w:rPr>
                <w:rFonts w:ascii="Arial" w:hAnsi="Arial" w:cs="Arial"/>
                <w:sz w:val="22"/>
                <w:szCs w:val="22"/>
              </w:rPr>
            </w:pPr>
            <w:r w:rsidRPr="00F70C81">
              <w:rPr>
                <w:rFonts w:ascii="Arial" w:hAnsi="Arial" w:cs="Arial"/>
                <w:sz w:val="22"/>
                <w:szCs w:val="22"/>
              </w:rPr>
              <w:t>Működési</w:t>
            </w:r>
          </w:p>
        </w:tc>
        <w:tc>
          <w:tcPr>
            <w:tcW w:w="5700" w:type="dxa"/>
            <w:tcBorders>
              <w:top w:val="nil"/>
              <w:left w:val="nil"/>
              <w:bottom w:val="single" w:sz="4" w:space="0" w:color="auto"/>
              <w:right w:val="single" w:sz="4" w:space="0" w:color="auto"/>
            </w:tcBorders>
            <w:shd w:val="clear" w:color="000000" w:fill="FFFFFF"/>
            <w:vAlign w:val="bottom"/>
            <w:hideMark/>
          </w:tcPr>
          <w:p w14:paraId="06399897" w14:textId="77777777" w:rsidR="00F70C81" w:rsidRPr="00F70C81" w:rsidRDefault="00F70C81">
            <w:pPr>
              <w:rPr>
                <w:rFonts w:ascii="Arial" w:hAnsi="Arial" w:cs="Arial"/>
                <w:sz w:val="22"/>
                <w:szCs w:val="22"/>
              </w:rPr>
            </w:pPr>
            <w:proofErr w:type="spellStart"/>
            <w:r w:rsidRPr="00F70C81">
              <w:rPr>
                <w:rFonts w:ascii="Arial" w:hAnsi="Arial" w:cs="Arial"/>
                <w:sz w:val="22"/>
                <w:szCs w:val="22"/>
              </w:rPr>
              <w:t>Neak</w:t>
            </w:r>
            <w:proofErr w:type="spellEnd"/>
            <w:r w:rsidRPr="00F70C81">
              <w:rPr>
                <w:rFonts w:ascii="Arial" w:hAnsi="Arial" w:cs="Arial"/>
                <w:sz w:val="22"/>
                <w:szCs w:val="22"/>
              </w:rPr>
              <w:t xml:space="preserve"> finanszírozásból tartalékba</w:t>
            </w:r>
          </w:p>
        </w:tc>
        <w:tc>
          <w:tcPr>
            <w:tcW w:w="1560" w:type="dxa"/>
            <w:tcBorders>
              <w:top w:val="nil"/>
              <w:left w:val="nil"/>
              <w:bottom w:val="single" w:sz="4" w:space="0" w:color="auto"/>
              <w:right w:val="single" w:sz="8" w:space="0" w:color="auto"/>
            </w:tcBorders>
            <w:shd w:val="clear" w:color="000000" w:fill="FFFFFF"/>
            <w:vAlign w:val="center"/>
            <w:hideMark/>
          </w:tcPr>
          <w:p w14:paraId="6A9F7ADF" w14:textId="77777777" w:rsidR="00F70C81" w:rsidRPr="00F70C81" w:rsidRDefault="00F70C81">
            <w:pPr>
              <w:jc w:val="right"/>
              <w:rPr>
                <w:rFonts w:ascii="Arial" w:hAnsi="Arial" w:cs="Arial"/>
                <w:b/>
                <w:bCs/>
                <w:sz w:val="22"/>
                <w:szCs w:val="22"/>
              </w:rPr>
            </w:pPr>
            <w:r w:rsidRPr="00F70C81">
              <w:rPr>
                <w:rFonts w:ascii="Arial" w:hAnsi="Arial" w:cs="Arial"/>
                <w:b/>
                <w:bCs/>
                <w:sz w:val="22"/>
                <w:szCs w:val="22"/>
              </w:rPr>
              <w:t>5 000 000</w:t>
            </w:r>
          </w:p>
        </w:tc>
      </w:tr>
      <w:tr w:rsidR="00F70C81" w14:paraId="5344DECB" w14:textId="77777777" w:rsidTr="00F70C81">
        <w:trPr>
          <w:trHeight w:val="264"/>
        </w:trPr>
        <w:tc>
          <w:tcPr>
            <w:tcW w:w="1120" w:type="dxa"/>
            <w:tcBorders>
              <w:top w:val="nil"/>
              <w:left w:val="single" w:sz="4" w:space="0" w:color="auto"/>
              <w:bottom w:val="single" w:sz="4" w:space="0" w:color="auto"/>
              <w:right w:val="single" w:sz="4" w:space="0" w:color="auto"/>
            </w:tcBorders>
            <w:shd w:val="clear" w:color="000000" w:fill="FFFF99"/>
            <w:noWrap/>
            <w:vAlign w:val="bottom"/>
            <w:hideMark/>
          </w:tcPr>
          <w:p w14:paraId="56091C16" w14:textId="77777777" w:rsidR="00F70C81" w:rsidRPr="00F70C81" w:rsidRDefault="00F70C81">
            <w:pPr>
              <w:rPr>
                <w:rFonts w:ascii="Arial" w:hAnsi="Arial" w:cs="Arial"/>
                <w:b/>
                <w:bCs/>
                <w:sz w:val="22"/>
                <w:szCs w:val="22"/>
              </w:rPr>
            </w:pPr>
            <w:r w:rsidRPr="00F70C81">
              <w:rPr>
                <w:rFonts w:ascii="Arial" w:hAnsi="Arial" w:cs="Arial"/>
                <w:b/>
                <w:bCs/>
                <w:sz w:val="22"/>
                <w:szCs w:val="22"/>
              </w:rPr>
              <w:t>Működési</w:t>
            </w:r>
          </w:p>
        </w:tc>
        <w:tc>
          <w:tcPr>
            <w:tcW w:w="5700" w:type="dxa"/>
            <w:tcBorders>
              <w:top w:val="nil"/>
              <w:left w:val="nil"/>
              <w:bottom w:val="single" w:sz="4" w:space="0" w:color="auto"/>
              <w:right w:val="single" w:sz="4" w:space="0" w:color="auto"/>
            </w:tcBorders>
            <w:shd w:val="clear" w:color="000000" w:fill="FFFF99"/>
            <w:noWrap/>
            <w:vAlign w:val="bottom"/>
            <w:hideMark/>
          </w:tcPr>
          <w:p w14:paraId="36876205" w14:textId="77777777" w:rsidR="00F70C81" w:rsidRPr="00F70C81" w:rsidRDefault="00F70C81">
            <w:pPr>
              <w:rPr>
                <w:rFonts w:ascii="Arial" w:hAnsi="Arial" w:cs="Arial"/>
                <w:b/>
                <w:bCs/>
                <w:sz w:val="22"/>
                <w:szCs w:val="22"/>
              </w:rPr>
            </w:pPr>
            <w:r w:rsidRPr="00F70C81">
              <w:rPr>
                <w:rFonts w:ascii="Arial" w:hAnsi="Arial" w:cs="Arial"/>
                <w:b/>
                <w:bCs/>
                <w:sz w:val="22"/>
                <w:szCs w:val="22"/>
              </w:rPr>
              <w:t>Működési céltartalékok összesen:</w:t>
            </w:r>
          </w:p>
        </w:tc>
        <w:tc>
          <w:tcPr>
            <w:tcW w:w="1560" w:type="dxa"/>
            <w:tcBorders>
              <w:top w:val="nil"/>
              <w:left w:val="nil"/>
              <w:bottom w:val="single" w:sz="4" w:space="0" w:color="auto"/>
              <w:right w:val="single" w:sz="8" w:space="0" w:color="auto"/>
            </w:tcBorders>
            <w:shd w:val="clear" w:color="000000" w:fill="FFFF99"/>
            <w:noWrap/>
            <w:vAlign w:val="bottom"/>
            <w:hideMark/>
          </w:tcPr>
          <w:p w14:paraId="02C82520" w14:textId="77777777" w:rsidR="00F70C81" w:rsidRPr="00F70C81" w:rsidRDefault="00F70C81">
            <w:pPr>
              <w:jc w:val="right"/>
              <w:rPr>
                <w:rFonts w:ascii="Arial" w:hAnsi="Arial" w:cs="Arial"/>
                <w:b/>
                <w:bCs/>
                <w:sz w:val="22"/>
                <w:szCs w:val="22"/>
              </w:rPr>
            </w:pPr>
            <w:r w:rsidRPr="00F70C81">
              <w:rPr>
                <w:rFonts w:ascii="Arial" w:hAnsi="Arial" w:cs="Arial"/>
                <w:b/>
                <w:bCs/>
                <w:sz w:val="22"/>
                <w:szCs w:val="22"/>
              </w:rPr>
              <w:t>26 500 000</w:t>
            </w:r>
          </w:p>
        </w:tc>
      </w:tr>
      <w:tr w:rsidR="00F70C81" w14:paraId="1BC5701F" w14:textId="77777777" w:rsidTr="00F70C81">
        <w:trPr>
          <w:trHeight w:val="276"/>
        </w:trPr>
        <w:tc>
          <w:tcPr>
            <w:tcW w:w="1120" w:type="dxa"/>
            <w:tcBorders>
              <w:top w:val="nil"/>
              <w:left w:val="single" w:sz="4" w:space="0" w:color="auto"/>
              <w:bottom w:val="single" w:sz="8" w:space="0" w:color="auto"/>
              <w:right w:val="single" w:sz="4" w:space="0" w:color="auto"/>
            </w:tcBorders>
            <w:shd w:val="clear" w:color="000000" w:fill="C4BD97"/>
            <w:noWrap/>
            <w:vAlign w:val="bottom"/>
            <w:hideMark/>
          </w:tcPr>
          <w:p w14:paraId="1423E4FF" w14:textId="77777777" w:rsidR="00F70C81" w:rsidRPr="00F70C81" w:rsidRDefault="00F70C81">
            <w:pPr>
              <w:rPr>
                <w:rFonts w:ascii="Arial" w:hAnsi="Arial" w:cs="Arial"/>
                <w:b/>
                <w:bCs/>
                <w:sz w:val="22"/>
                <w:szCs w:val="22"/>
              </w:rPr>
            </w:pPr>
            <w:r w:rsidRPr="00F70C81">
              <w:rPr>
                <w:rFonts w:ascii="Arial" w:hAnsi="Arial" w:cs="Arial"/>
                <w:b/>
                <w:bCs/>
                <w:sz w:val="22"/>
                <w:szCs w:val="22"/>
              </w:rPr>
              <w:t> </w:t>
            </w:r>
          </w:p>
        </w:tc>
        <w:tc>
          <w:tcPr>
            <w:tcW w:w="5700" w:type="dxa"/>
            <w:tcBorders>
              <w:top w:val="nil"/>
              <w:left w:val="nil"/>
              <w:bottom w:val="single" w:sz="8" w:space="0" w:color="auto"/>
              <w:right w:val="single" w:sz="4" w:space="0" w:color="auto"/>
            </w:tcBorders>
            <w:shd w:val="clear" w:color="000000" w:fill="C4BD97"/>
            <w:noWrap/>
            <w:vAlign w:val="bottom"/>
            <w:hideMark/>
          </w:tcPr>
          <w:p w14:paraId="4014CD8C" w14:textId="77777777" w:rsidR="00F70C81" w:rsidRPr="00F70C81" w:rsidRDefault="00F70C81">
            <w:pPr>
              <w:rPr>
                <w:rFonts w:ascii="Arial" w:hAnsi="Arial" w:cs="Arial"/>
                <w:b/>
                <w:bCs/>
                <w:sz w:val="22"/>
                <w:szCs w:val="22"/>
              </w:rPr>
            </w:pPr>
            <w:r w:rsidRPr="00F70C81">
              <w:rPr>
                <w:rFonts w:ascii="Arial" w:hAnsi="Arial" w:cs="Arial"/>
                <w:b/>
                <w:bCs/>
                <w:sz w:val="22"/>
                <w:szCs w:val="22"/>
              </w:rPr>
              <w:t>Mindösszesen</w:t>
            </w:r>
          </w:p>
        </w:tc>
        <w:tc>
          <w:tcPr>
            <w:tcW w:w="1560" w:type="dxa"/>
            <w:tcBorders>
              <w:top w:val="nil"/>
              <w:left w:val="nil"/>
              <w:bottom w:val="single" w:sz="8" w:space="0" w:color="auto"/>
              <w:right w:val="single" w:sz="8" w:space="0" w:color="auto"/>
            </w:tcBorders>
            <w:shd w:val="clear" w:color="000000" w:fill="C4BD97"/>
            <w:noWrap/>
            <w:vAlign w:val="bottom"/>
            <w:hideMark/>
          </w:tcPr>
          <w:p w14:paraId="791E5590" w14:textId="18702775" w:rsidR="00F70C81" w:rsidRPr="00F70C81" w:rsidRDefault="00E76974">
            <w:pPr>
              <w:jc w:val="right"/>
              <w:rPr>
                <w:rFonts w:ascii="Arial" w:hAnsi="Arial" w:cs="Arial"/>
                <w:b/>
                <w:bCs/>
                <w:sz w:val="22"/>
                <w:szCs w:val="22"/>
              </w:rPr>
            </w:pPr>
            <w:r>
              <w:rPr>
                <w:rFonts w:ascii="Arial" w:hAnsi="Arial" w:cs="Arial"/>
                <w:b/>
                <w:bCs/>
                <w:sz w:val="22"/>
                <w:szCs w:val="22"/>
              </w:rPr>
              <w:t>34 290 380</w:t>
            </w:r>
          </w:p>
        </w:tc>
      </w:tr>
    </w:tbl>
    <w:p w14:paraId="4BC525BB" w14:textId="3BAC9E11" w:rsidR="00932982" w:rsidRPr="00A82F71" w:rsidRDefault="00932982" w:rsidP="006325C2">
      <w:pPr>
        <w:spacing w:before="120"/>
        <w:jc w:val="both"/>
        <w:rPr>
          <w:rFonts w:ascii="Arial" w:hAnsi="Arial" w:cs="Arial"/>
          <w:sz w:val="22"/>
          <w:szCs w:val="22"/>
          <w:highlight w:val="yellow"/>
        </w:rPr>
      </w:pPr>
    </w:p>
    <w:p w14:paraId="57D786F8" w14:textId="7288FACD" w:rsidR="006325C2" w:rsidRPr="00F70C81" w:rsidRDefault="00C025C4" w:rsidP="006325C2">
      <w:pPr>
        <w:spacing w:before="120"/>
        <w:jc w:val="both"/>
        <w:rPr>
          <w:rFonts w:ascii="Arial" w:hAnsi="Arial" w:cs="Arial"/>
          <w:sz w:val="22"/>
          <w:szCs w:val="22"/>
        </w:rPr>
      </w:pPr>
      <w:r w:rsidRPr="00F70C81">
        <w:rPr>
          <w:rFonts w:ascii="Arial" w:hAnsi="Arial" w:cs="Arial"/>
          <w:sz w:val="22"/>
          <w:szCs w:val="22"/>
        </w:rPr>
        <w:t>Az általános tartalék összege</w:t>
      </w:r>
      <w:r w:rsidR="006325C2" w:rsidRPr="00F70C81">
        <w:rPr>
          <w:rFonts w:ascii="Arial" w:hAnsi="Arial" w:cs="Arial"/>
          <w:sz w:val="22"/>
          <w:szCs w:val="22"/>
        </w:rPr>
        <w:t xml:space="preserve"> </w:t>
      </w:r>
      <w:r w:rsidR="00CD43C4" w:rsidRPr="00F70C81">
        <w:rPr>
          <w:rFonts w:ascii="Arial" w:hAnsi="Arial" w:cs="Arial"/>
          <w:sz w:val="22"/>
          <w:szCs w:val="22"/>
        </w:rPr>
        <w:t>10 000 000</w:t>
      </w:r>
      <w:r w:rsidR="006325C2" w:rsidRPr="00F70C81">
        <w:rPr>
          <w:rFonts w:ascii="Arial" w:hAnsi="Arial" w:cs="Arial"/>
          <w:sz w:val="22"/>
          <w:szCs w:val="22"/>
        </w:rPr>
        <w:t xml:space="preserve"> Ft</w:t>
      </w:r>
      <w:r w:rsidRPr="00F70C81">
        <w:rPr>
          <w:rFonts w:ascii="Arial" w:hAnsi="Arial" w:cs="Arial"/>
          <w:sz w:val="22"/>
          <w:szCs w:val="22"/>
        </w:rPr>
        <w:t xml:space="preserve">, mely az </w:t>
      </w:r>
      <w:r w:rsidR="00DB0177" w:rsidRPr="00F70C81">
        <w:rPr>
          <w:rFonts w:ascii="Arial" w:hAnsi="Arial" w:cs="Arial"/>
          <w:sz w:val="22"/>
          <w:szCs w:val="22"/>
        </w:rPr>
        <w:t xml:space="preserve">előre nem tervezett, év közben felmerülő </w:t>
      </w:r>
      <w:r w:rsidR="006325C2" w:rsidRPr="00F70C81">
        <w:rPr>
          <w:rFonts w:ascii="Arial" w:hAnsi="Arial" w:cs="Arial"/>
          <w:sz w:val="22"/>
          <w:szCs w:val="22"/>
        </w:rPr>
        <w:t>gazdasági esemény</w:t>
      </w:r>
      <w:r w:rsidR="00DB0177" w:rsidRPr="00F70C81">
        <w:rPr>
          <w:rFonts w:ascii="Arial" w:hAnsi="Arial" w:cs="Arial"/>
          <w:sz w:val="22"/>
          <w:szCs w:val="22"/>
        </w:rPr>
        <w:t>ek fedezetét jelentheti.</w:t>
      </w:r>
    </w:p>
    <w:p w14:paraId="0261C4D2" w14:textId="77777777" w:rsidR="006325C2" w:rsidRPr="00F70C81" w:rsidRDefault="006325C2" w:rsidP="006325C2">
      <w:pPr>
        <w:spacing w:before="120"/>
        <w:jc w:val="both"/>
        <w:rPr>
          <w:rFonts w:ascii="Arial" w:hAnsi="Arial" w:cs="Arial"/>
          <w:sz w:val="22"/>
          <w:szCs w:val="22"/>
          <w:u w:val="single"/>
        </w:rPr>
      </w:pPr>
    </w:p>
    <w:p w14:paraId="7BC84EE7" w14:textId="0AEC3636" w:rsidR="006325C2" w:rsidRPr="00293305" w:rsidRDefault="009F5D46" w:rsidP="006325C2">
      <w:pPr>
        <w:spacing w:before="120"/>
        <w:jc w:val="both"/>
        <w:rPr>
          <w:rFonts w:ascii="Arial" w:hAnsi="Arial" w:cs="Arial"/>
          <w:sz w:val="22"/>
          <w:szCs w:val="22"/>
          <w:u w:val="single"/>
        </w:rPr>
      </w:pPr>
      <w:r w:rsidRPr="00293305">
        <w:rPr>
          <w:rFonts w:ascii="Arial" w:hAnsi="Arial" w:cs="Arial"/>
          <w:b/>
          <w:sz w:val="22"/>
          <w:szCs w:val="22"/>
          <w:u w:val="single"/>
        </w:rPr>
        <w:t>A f</w:t>
      </w:r>
      <w:r w:rsidR="006325C2" w:rsidRPr="00293305">
        <w:rPr>
          <w:rFonts w:ascii="Arial" w:hAnsi="Arial" w:cs="Arial"/>
          <w:b/>
          <w:sz w:val="22"/>
          <w:szCs w:val="22"/>
          <w:u w:val="single"/>
        </w:rPr>
        <w:t>elhalmozási költségvetés</w:t>
      </w:r>
      <w:r w:rsidR="006325C2" w:rsidRPr="00293305">
        <w:rPr>
          <w:rFonts w:ascii="Arial" w:hAnsi="Arial" w:cs="Arial"/>
          <w:sz w:val="22"/>
          <w:szCs w:val="22"/>
          <w:u w:val="single"/>
        </w:rPr>
        <w:t xml:space="preserve"> </w:t>
      </w:r>
      <w:r w:rsidR="006325C2" w:rsidRPr="00293305">
        <w:rPr>
          <w:rFonts w:ascii="Arial" w:hAnsi="Arial" w:cs="Arial"/>
          <w:sz w:val="22"/>
          <w:szCs w:val="22"/>
        </w:rPr>
        <w:t xml:space="preserve">kiadásai </w:t>
      </w:r>
      <w:r w:rsidR="008D1622" w:rsidRPr="00293305">
        <w:rPr>
          <w:rFonts w:ascii="Arial" w:hAnsi="Arial" w:cs="Arial"/>
          <w:sz w:val="22"/>
          <w:szCs w:val="22"/>
        </w:rPr>
        <w:t>előirányzata</w:t>
      </w:r>
      <w:r w:rsidR="005E0843" w:rsidRPr="00293305">
        <w:rPr>
          <w:rFonts w:ascii="Arial" w:hAnsi="Arial" w:cs="Arial"/>
          <w:sz w:val="22"/>
          <w:szCs w:val="22"/>
        </w:rPr>
        <w:t xml:space="preserve"> </w:t>
      </w:r>
      <w:r w:rsidR="006325C2" w:rsidRPr="00293305">
        <w:rPr>
          <w:rFonts w:ascii="Arial" w:hAnsi="Arial" w:cs="Arial"/>
          <w:sz w:val="22"/>
          <w:szCs w:val="22"/>
        </w:rPr>
        <w:t>összesen</w:t>
      </w:r>
      <w:r w:rsidRPr="00293305">
        <w:t xml:space="preserve"> </w:t>
      </w:r>
      <w:r w:rsidR="000346E9">
        <w:t>966 461 205</w:t>
      </w:r>
      <w:r w:rsidR="006325C2" w:rsidRPr="00293305">
        <w:rPr>
          <w:rFonts w:ascii="Arial" w:hAnsi="Arial" w:cs="Arial"/>
          <w:sz w:val="22"/>
          <w:szCs w:val="22"/>
        </w:rPr>
        <w:t xml:space="preserve"> Ft</w:t>
      </w:r>
      <w:r w:rsidR="00623321" w:rsidRPr="00293305">
        <w:rPr>
          <w:rFonts w:ascii="Arial" w:hAnsi="Arial" w:cs="Arial"/>
          <w:sz w:val="22"/>
          <w:szCs w:val="22"/>
        </w:rPr>
        <w:t>.</w:t>
      </w:r>
    </w:p>
    <w:p w14:paraId="250C38AA" w14:textId="660AC473" w:rsidR="00F83732" w:rsidRDefault="00F83732" w:rsidP="00C54D3B">
      <w:pPr>
        <w:spacing w:before="120"/>
        <w:jc w:val="both"/>
        <w:rPr>
          <w:rFonts w:ascii="Arial" w:hAnsi="Arial" w:cs="Arial"/>
          <w:sz w:val="22"/>
          <w:szCs w:val="22"/>
        </w:rPr>
      </w:pPr>
      <w:r w:rsidRPr="00293305">
        <w:rPr>
          <w:rFonts w:ascii="Arial" w:hAnsi="Arial" w:cs="Arial"/>
          <w:sz w:val="22"/>
          <w:szCs w:val="22"/>
        </w:rPr>
        <w:t>A „TOP Plusz 3.3.2 Szociális alapszolgáltatás fejlesztés I.</w:t>
      </w:r>
      <w:r w:rsidR="005E0843" w:rsidRPr="00293305">
        <w:rPr>
          <w:rFonts w:ascii="Arial" w:hAnsi="Arial" w:cs="Arial"/>
          <w:sz w:val="22"/>
          <w:szCs w:val="22"/>
        </w:rPr>
        <w:t xml:space="preserve"> </w:t>
      </w:r>
      <w:r w:rsidRPr="00293305">
        <w:rPr>
          <w:rFonts w:ascii="Arial" w:hAnsi="Arial" w:cs="Arial"/>
          <w:sz w:val="22"/>
          <w:szCs w:val="22"/>
        </w:rPr>
        <w:t>ütem” európai uniós projektünkkel összefüggően 355 000 000 Ft, a „TOP Plusz 3.3.2 Szociális alapszolgáltatás fejlesztés II.</w:t>
      </w:r>
      <w:r w:rsidR="005E0843" w:rsidRPr="00293305">
        <w:rPr>
          <w:rFonts w:ascii="Arial" w:hAnsi="Arial" w:cs="Arial"/>
          <w:sz w:val="22"/>
          <w:szCs w:val="22"/>
        </w:rPr>
        <w:t xml:space="preserve"> </w:t>
      </w:r>
      <w:r w:rsidRPr="00293305">
        <w:rPr>
          <w:rFonts w:ascii="Arial" w:hAnsi="Arial" w:cs="Arial"/>
          <w:sz w:val="22"/>
          <w:szCs w:val="22"/>
        </w:rPr>
        <w:t>ütem” európai uniós projektünk megvalósítás</w:t>
      </w:r>
      <w:r w:rsidR="000F03AF" w:rsidRPr="00293305">
        <w:rPr>
          <w:rFonts w:ascii="Arial" w:hAnsi="Arial" w:cs="Arial"/>
          <w:sz w:val="22"/>
          <w:szCs w:val="22"/>
        </w:rPr>
        <w:t>a</w:t>
      </w:r>
      <w:r w:rsidRPr="00293305">
        <w:rPr>
          <w:rFonts w:ascii="Arial" w:hAnsi="Arial" w:cs="Arial"/>
          <w:sz w:val="22"/>
          <w:szCs w:val="22"/>
        </w:rPr>
        <w:t xml:space="preserve"> során 216 000 000 Ft beruházási kiadással számolunk Bátaszék Város Önkormányzatánál. </w:t>
      </w:r>
      <w:r w:rsidR="00C54D3B" w:rsidRPr="00293305">
        <w:rPr>
          <w:rFonts w:ascii="Arial" w:hAnsi="Arial" w:cs="Arial"/>
          <w:sz w:val="22"/>
          <w:szCs w:val="22"/>
        </w:rPr>
        <w:t xml:space="preserve">A „TOP Plusz 1.1.1. Kanizsai Dorottya Általános és Zeneiskola Konyha korszerűsítés, bővítés” projekt végrehajtásával összefüggően 252 786 Ft összegű kiadást vehettünk számításba. A „TOP Plusz 1.2.3 Bátaszék, belterületi utak I. Bezerédj utca” projekt részeként 73 000 000 Ft összegű beruházás valósulhat meg. </w:t>
      </w:r>
      <w:r w:rsidR="0036003D">
        <w:rPr>
          <w:rFonts w:ascii="Arial" w:hAnsi="Arial" w:cs="Arial"/>
          <w:sz w:val="22"/>
          <w:szCs w:val="22"/>
        </w:rPr>
        <w:t>A</w:t>
      </w:r>
      <w:r w:rsidR="00C54D3B" w:rsidRPr="00D76E26">
        <w:rPr>
          <w:rFonts w:ascii="Arial" w:hAnsi="Arial" w:cs="Arial"/>
          <w:sz w:val="22"/>
          <w:szCs w:val="22"/>
        </w:rPr>
        <w:t xml:space="preserve">z év során 300 000 Ft értékű berendezés beszerzése </w:t>
      </w:r>
      <w:r w:rsidR="004F23B3" w:rsidRPr="00D76E26">
        <w:rPr>
          <w:rFonts w:ascii="Arial" w:hAnsi="Arial" w:cs="Arial"/>
          <w:sz w:val="22"/>
          <w:szCs w:val="22"/>
        </w:rPr>
        <w:t xml:space="preserve">valósulhat meg, </w:t>
      </w:r>
      <w:proofErr w:type="spellStart"/>
      <w:r w:rsidR="004F23B3" w:rsidRPr="00D76E26">
        <w:rPr>
          <w:rFonts w:ascii="Arial" w:hAnsi="Arial" w:cs="Arial"/>
          <w:sz w:val="22"/>
          <w:szCs w:val="22"/>
        </w:rPr>
        <w:t>klímatizálásra</w:t>
      </w:r>
      <w:proofErr w:type="spellEnd"/>
      <w:r w:rsidR="004F23B3" w:rsidRPr="00D76E26">
        <w:rPr>
          <w:rFonts w:ascii="Arial" w:hAnsi="Arial" w:cs="Arial"/>
          <w:sz w:val="22"/>
          <w:szCs w:val="22"/>
        </w:rPr>
        <w:t xml:space="preserve"> 5</w:t>
      </w:r>
      <w:r w:rsidR="00C54D3B" w:rsidRPr="00D76E26">
        <w:rPr>
          <w:rFonts w:ascii="Arial" w:hAnsi="Arial" w:cs="Arial"/>
          <w:sz w:val="22"/>
          <w:szCs w:val="22"/>
        </w:rPr>
        <w:t>00 000 Ft előirányzat áll rendelkezésre. Az orvosi rendelő eszköz beszerzésére 1 millió Ft kiadást</w:t>
      </w:r>
      <w:r w:rsidR="00C54D3B" w:rsidRPr="00293305">
        <w:rPr>
          <w:rFonts w:ascii="Arial" w:hAnsi="Arial" w:cs="Arial"/>
          <w:sz w:val="22"/>
          <w:szCs w:val="22"/>
        </w:rPr>
        <w:t xml:space="preserve"> tervezünk, a közvilágítási lámpák cseréje VI. ütemű beruházási kiadásra 5 millió Ft, </w:t>
      </w:r>
      <w:r w:rsidR="00293305" w:rsidRPr="00293305">
        <w:rPr>
          <w:rFonts w:ascii="Arial" w:hAnsi="Arial" w:cs="Arial"/>
          <w:sz w:val="22"/>
          <w:szCs w:val="22"/>
        </w:rPr>
        <w:t>a</w:t>
      </w:r>
      <w:r w:rsidR="00C54D3B" w:rsidRPr="00293305">
        <w:rPr>
          <w:rFonts w:ascii="Arial" w:hAnsi="Arial" w:cs="Arial"/>
          <w:sz w:val="22"/>
          <w:szCs w:val="22"/>
        </w:rPr>
        <w:t xml:space="preserve"> Szabadság utca parkoló</w:t>
      </w:r>
      <w:r w:rsidR="00293305" w:rsidRPr="00293305">
        <w:rPr>
          <w:rFonts w:ascii="Arial" w:hAnsi="Arial" w:cs="Arial"/>
          <w:sz w:val="22"/>
          <w:szCs w:val="22"/>
        </w:rPr>
        <w:t xml:space="preserve"> építésére 9 954 039 Ft, a </w:t>
      </w:r>
      <w:r w:rsidR="00C54D3B" w:rsidRPr="00293305">
        <w:rPr>
          <w:rFonts w:ascii="Arial" w:hAnsi="Arial" w:cs="Arial"/>
          <w:sz w:val="22"/>
          <w:szCs w:val="22"/>
        </w:rPr>
        <w:t>Kossuth utcai parkoló II. ütem</w:t>
      </w:r>
      <w:r w:rsidR="00293305" w:rsidRPr="00293305">
        <w:rPr>
          <w:rFonts w:ascii="Arial" w:hAnsi="Arial" w:cs="Arial"/>
          <w:sz w:val="22"/>
          <w:szCs w:val="22"/>
        </w:rPr>
        <w:t>ű beruházási kiadásaira 1 410 081 Ft előirányzattal számolunk.</w:t>
      </w:r>
    </w:p>
    <w:p w14:paraId="7F797F2E" w14:textId="77777777" w:rsidR="002A1A4E" w:rsidRPr="00293305" w:rsidRDefault="002A1A4E" w:rsidP="00C54D3B">
      <w:pPr>
        <w:spacing w:before="120"/>
        <w:jc w:val="both"/>
        <w:rPr>
          <w:rFonts w:ascii="Arial" w:hAnsi="Arial" w:cs="Arial"/>
          <w:sz w:val="22"/>
          <w:szCs w:val="22"/>
        </w:rPr>
      </w:pPr>
    </w:p>
    <w:p w14:paraId="3D1E37D5" w14:textId="77777777" w:rsidR="004D72B7" w:rsidRDefault="00234C0A" w:rsidP="009F498D">
      <w:pPr>
        <w:jc w:val="both"/>
        <w:rPr>
          <w:rFonts w:ascii="Arial" w:hAnsi="Arial" w:cs="Arial"/>
          <w:iCs/>
          <w:sz w:val="22"/>
          <w:szCs w:val="22"/>
        </w:rPr>
      </w:pPr>
      <w:r w:rsidRPr="001D1C74">
        <w:rPr>
          <w:rFonts w:ascii="Arial" w:hAnsi="Arial" w:cs="Arial"/>
          <w:iCs/>
          <w:sz w:val="22"/>
          <w:szCs w:val="22"/>
        </w:rPr>
        <w:t xml:space="preserve">Ebben az évben </w:t>
      </w:r>
      <w:r w:rsidR="001D1C74" w:rsidRPr="001D1C74">
        <w:rPr>
          <w:rFonts w:ascii="Arial" w:hAnsi="Arial" w:cs="Arial"/>
          <w:iCs/>
          <w:sz w:val="22"/>
          <w:szCs w:val="22"/>
        </w:rPr>
        <w:t xml:space="preserve">kell teljesítenünk </w:t>
      </w:r>
      <w:r w:rsidR="009F498D" w:rsidRPr="001D1C74">
        <w:rPr>
          <w:rFonts w:ascii="Arial" w:hAnsi="Arial" w:cs="Arial"/>
          <w:iCs/>
          <w:sz w:val="22"/>
          <w:szCs w:val="22"/>
        </w:rPr>
        <w:t>a horgásztó és a hozzá tartozó ingatlanok megvásárlásával</w:t>
      </w:r>
      <w:r w:rsidR="001D1C74" w:rsidRPr="001D1C74">
        <w:rPr>
          <w:rFonts w:ascii="Arial" w:hAnsi="Arial" w:cs="Arial"/>
          <w:iCs/>
          <w:sz w:val="22"/>
          <w:szCs w:val="22"/>
        </w:rPr>
        <w:t xml:space="preserve"> összefüggő beruházási kiadás utolsó, 20 950 000 Ft összegű részletét. A </w:t>
      </w:r>
      <w:r w:rsidR="009F498D" w:rsidRPr="001D1C74">
        <w:rPr>
          <w:rFonts w:ascii="Arial" w:hAnsi="Arial" w:cs="Arial"/>
          <w:iCs/>
          <w:sz w:val="22"/>
          <w:szCs w:val="22"/>
        </w:rPr>
        <w:t>mintegy 74,6 hektárnyi terület</w:t>
      </w:r>
      <w:r w:rsidR="001D1C74">
        <w:rPr>
          <w:rFonts w:ascii="Arial" w:hAnsi="Arial" w:cs="Arial"/>
          <w:iCs/>
          <w:sz w:val="22"/>
          <w:szCs w:val="22"/>
        </w:rPr>
        <w:t>et</w:t>
      </w:r>
      <w:r w:rsidR="009F498D" w:rsidRPr="001D1C74">
        <w:rPr>
          <w:rFonts w:ascii="Arial" w:hAnsi="Arial" w:cs="Arial"/>
          <w:iCs/>
          <w:sz w:val="22"/>
          <w:szCs w:val="22"/>
        </w:rPr>
        <w:t xml:space="preserve"> 41,9 </w:t>
      </w:r>
      <w:r w:rsidR="000F03AF" w:rsidRPr="001D1C74">
        <w:rPr>
          <w:rFonts w:ascii="Arial" w:hAnsi="Arial" w:cs="Arial"/>
          <w:iCs/>
          <w:sz w:val="22"/>
          <w:szCs w:val="22"/>
        </w:rPr>
        <w:t>millió Ft + ÁFA ellenértékért</w:t>
      </w:r>
      <w:r w:rsidR="001D1C74" w:rsidRPr="001D1C74">
        <w:rPr>
          <w:rFonts w:ascii="Arial" w:hAnsi="Arial" w:cs="Arial"/>
          <w:iCs/>
          <w:sz w:val="22"/>
          <w:szCs w:val="22"/>
        </w:rPr>
        <w:t xml:space="preserve"> vásárol</w:t>
      </w:r>
      <w:r w:rsidR="001D1C74">
        <w:rPr>
          <w:rFonts w:ascii="Arial" w:hAnsi="Arial" w:cs="Arial"/>
          <w:iCs/>
          <w:sz w:val="22"/>
          <w:szCs w:val="22"/>
        </w:rPr>
        <w:t>hatta meg önkormányzatunk.</w:t>
      </w:r>
      <w:r w:rsidR="001D1C74" w:rsidRPr="001D1C74">
        <w:rPr>
          <w:rFonts w:ascii="Arial" w:hAnsi="Arial" w:cs="Arial"/>
          <w:iCs/>
          <w:sz w:val="22"/>
          <w:szCs w:val="22"/>
        </w:rPr>
        <w:t xml:space="preserve"> </w:t>
      </w:r>
      <w:r w:rsidR="001D1C74">
        <w:rPr>
          <w:rFonts w:ascii="Arial" w:hAnsi="Arial" w:cs="Arial"/>
          <w:iCs/>
          <w:sz w:val="22"/>
          <w:szCs w:val="22"/>
        </w:rPr>
        <w:t>Az i</w:t>
      </w:r>
      <w:r w:rsidR="001D1C74" w:rsidRPr="001D1C74">
        <w:rPr>
          <w:rFonts w:ascii="Arial" w:hAnsi="Arial" w:cs="Arial"/>
          <w:iCs/>
          <w:sz w:val="22"/>
          <w:szCs w:val="22"/>
        </w:rPr>
        <w:t xml:space="preserve">ngatlan már az első részlet megfizetését követően </w:t>
      </w:r>
      <w:r w:rsidR="001D1C74">
        <w:rPr>
          <w:rFonts w:ascii="Arial" w:hAnsi="Arial" w:cs="Arial"/>
          <w:iCs/>
          <w:sz w:val="22"/>
          <w:szCs w:val="22"/>
        </w:rPr>
        <w:t>a</w:t>
      </w:r>
      <w:r w:rsidR="000F03AF" w:rsidRPr="001D1C74">
        <w:rPr>
          <w:rFonts w:ascii="Arial" w:hAnsi="Arial" w:cs="Arial"/>
          <w:iCs/>
          <w:sz w:val="22"/>
          <w:szCs w:val="22"/>
        </w:rPr>
        <w:t xml:space="preserve"> tulajdon</w:t>
      </w:r>
      <w:r w:rsidR="001D1C74">
        <w:rPr>
          <w:rFonts w:ascii="Arial" w:hAnsi="Arial" w:cs="Arial"/>
          <w:iCs/>
          <w:sz w:val="22"/>
          <w:szCs w:val="22"/>
        </w:rPr>
        <w:t xml:space="preserve">unkba </w:t>
      </w:r>
      <w:r w:rsidR="000F03AF" w:rsidRPr="001D1C74">
        <w:rPr>
          <w:rFonts w:ascii="Arial" w:hAnsi="Arial" w:cs="Arial"/>
          <w:iCs/>
          <w:sz w:val="22"/>
          <w:szCs w:val="22"/>
        </w:rPr>
        <w:t>kerül</w:t>
      </w:r>
      <w:r w:rsidR="001D1C74" w:rsidRPr="001D1C74">
        <w:rPr>
          <w:rFonts w:ascii="Arial" w:hAnsi="Arial" w:cs="Arial"/>
          <w:iCs/>
          <w:sz w:val="22"/>
          <w:szCs w:val="22"/>
        </w:rPr>
        <w:t>t a 2024. évben</w:t>
      </w:r>
      <w:r w:rsidR="000F03AF" w:rsidRPr="001D1C74">
        <w:rPr>
          <w:rFonts w:ascii="Arial" w:hAnsi="Arial" w:cs="Arial"/>
          <w:iCs/>
          <w:sz w:val="22"/>
          <w:szCs w:val="22"/>
        </w:rPr>
        <w:t xml:space="preserve">. Az ingatlan vásárlás </w:t>
      </w:r>
      <w:r w:rsidR="004D72B7">
        <w:rPr>
          <w:rFonts w:ascii="Arial" w:hAnsi="Arial" w:cs="Arial"/>
          <w:iCs/>
          <w:sz w:val="22"/>
          <w:szCs w:val="22"/>
        </w:rPr>
        <w:t xml:space="preserve">utolsó részlete </w:t>
      </w:r>
      <w:r w:rsidR="000F03AF" w:rsidRPr="001D1C74">
        <w:rPr>
          <w:rFonts w:ascii="Arial" w:hAnsi="Arial" w:cs="Arial"/>
          <w:iCs/>
          <w:sz w:val="22"/>
          <w:szCs w:val="22"/>
        </w:rPr>
        <w:t>20 950 000 Ft összeg</w:t>
      </w:r>
      <w:r w:rsidR="004D72B7">
        <w:rPr>
          <w:rFonts w:ascii="Arial" w:hAnsi="Arial" w:cs="Arial"/>
          <w:iCs/>
          <w:sz w:val="22"/>
          <w:szCs w:val="22"/>
        </w:rPr>
        <w:t>gel terheli a 2025. évi költségv</w:t>
      </w:r>
      <w:bookmarkStart w:id="1" w:name="_GoBack"/>
      <w:bookmarkEnd w:id="1"/>
      <w:r w:rsidR="004D72B7">
        <w:rPr>
          <w:rFonts w:ascii="Arial" w:hAnsi="Arial" w:cs="Arial"/>
          <w:iCs/>
          <w:sz w:val="22"/>
          <w:szCs w:val="22"/>
        </w:rPr>
        <w:t>etést.</w:t>
      </w:r>
      <w:r w:rsidR="000F03AF" w:rsidRPr="001D1C74">
        <w:rPr>
          <w:rFonts w:ascii="Arial" w:hAnsi="Arial" w:cs="Arial"/>
          <w:iCs/>
          <w:sz w:val="22"/>
          <w:szCs w:val="22"/>
        </w:rPr>
        <w:t xml:space="preserve"> </w:t>
      </w:r>
    </w:p>
    <w:p w14:paraId="64A5C54A" w14:textId="055586BA" w:rsidR="00234C0A" w:rsidRPr="00C12190" w:rsidRDefault="000F03AF" w:rsidP="009F498D">
      <w:pPr>
        <w:jc w:val="both"/>
        <w:rPr>
          <w:rFonts w:ascii="Arial" w:hAnsi="Arial" w:cs="Arial"/>
          <w:b/>
          <w:iCs/>
          <w:sz w:val="22"/>
          <w:szCs w:val="22"/>
        </w:rPr>
      </w:pPr>
      <w:r w:rsidRPr="00C12190">
        <w:rPr>
          <w:rFonts w:ascii="Arial" w:hAnsi="Arial" w:cs="Arial"/>
          <w:b/>
          <w:iCs/>
          <w:sz w:val="22"/>
          <w:szCs w:val="22"/>
        </w:rPr>
        <w:t>Az ingatlan vásárlás eredményeként jelentős vagyongyarapodás történ</w:t>
      </w:r>
      <w:r w:rsidR="001D1C74" w:rsidRPr="00C12190">
        <w:rPr>
          <w:rFonts w:ascii="Arial" w:hAnsi="Arial" w:cs="Arial"/>
          <w:b/>
          <w:iCs/>
          <w:sz w:val="22"/>
          <w:szCs w:val="22"/>
        </w:rPr>
        <w:t>t</w:t>
      </w:r>
      <w:r w:rsidRPr="00C12190">
        <w:rPr>
          <w:rFonts w:ascii="Arial" w:hAnsi="Arial" w:cs="Arial"/>
          <w:b/>
          <w:iCs/>
          <w:sz w:val="22"/>
          <w:szCs w:val="22"/>
        </w:rPr>
        <w:t>.</w:t>
      </w:r>
    </w:p>
    <w:p w14:paraId="468E9641" w14:textId="77777777" w:rsidR="00234C0A" w:rsidRPr="001D1C74" w:rsidRDefault="00234C0A" w:rsidP="00234C0A">
      <w:pPr>
        <w:spacing w:before="120"/>
        <w:jc w:val="both"/>
        <w:rPr>
          <w:rFonts w:ascii="Arial" w:hAnsi="Arial" w:cs="Arial"/>
          <w:i/>
          <w:sz w:val="22"/>
          <w:szCs w:val="22"/>
        </w:rPr>
      </w:pPr>
    </w:p>
    <w:p w14:paraId="181AE3D7" w14:textId="43A6CE71" w:rsidR="001E256B" w:rsidRPr="001D1C74" w:rsidRDefault="00234C0A" w:rsidP="006325C2">
      <w:pPr>
        <w:spacing w:before="120"/>
        <w:jc w:val="both"/>
        <w:rPr>
          <w:rFonts w:ascii="Arial" w:hAnsi="Arial" w:cs="Arial"/>
          <w:iCs/>
          <w:sz w:val="22"/>
          <w:szCs w:val="22"/>
        </w:rPr>
      </w:pPr>
      <w:r w:rsidRPr="001D1C74">
        <w:rPr>
          <w:rFonts w:ascii="Arial" w:hAnsi="Arial" w:cs="Arial"/>
          <w:iCs/>
          <w:sz w:val="22"/>
          <w:szCs w:val="22"/>
        </w:rPr>
        <w:t xml:space="preserve">A Könyvtárnál könyvek beszerzésére </w:t>
      </w:r>
      <w:r w:rsidR="001D1C74" w:rsidRPr="001D1C74">
        <w:rPr>
          <w:rFonts w:ascii="Arial" w:hAnsi="Arial" w:cs="Arial"/>
          <w:iCs/>
          <w:sz w:val="22"/>
          <w:szCs w:val="22"/>
        </w:rPr>
        <w:t>1</w:t>
      </w:r>
      <w:r w:rsidRPr="001D1C74">
        <w:rPr>
          <w:rFonts w:ascii="Arial" w:hAnsi="Arial" w:cs="Arial"/>
          <w:iCs/>
          <w:sz w:val="22"/>
          <w:szCs w:val="22"/>
        </w:rPr>
        <w:t xml:space="preserve"> </w:t>
      </w:r>
      <w:r w:rsidR="00431A72">
        <w:rPr>
          <w:rFonts w:ascii="Arial" w:hAnsi="Arial" w:cs="Arial"/>
          <w:iCs/>
          <w:sz w:val="22"/>
          <w:szCs w:val="22"/>
        </w:rPr>
        <w:t>5</w:t>
      </w:r>
      <w:r w:rsidRPr="001D1C74">
        <w:rPr>
          <w:rFonts w:ascii="Arial" w:hAnsi="Arial" w:cs="Arial"/>
          <w:iCs/>
          <w:sz w:val="22"/>
          <w:szCs w:val="22"/>
        </w:rPr>
        <w:t>00 000 Ft-ot szerepeltettünk. A KÖH-nél egyéb gép, berendezés beszerzésére 1</w:t>
      </w:r>
      <w:r w:rsidR="001D1C74" w:rsidRPr="001D1C74">
        <w:rPr>
          <w:rFonts w:ascii="Arial" w:hAnsi="Arial" w:cs="Arial"/>
          <w:iCs/>
          <w:sz w:val="22"/>
          <w:szCs w:val="22"/>
        </w:rPr>
        <w:t> 000 0</w:t>
      </w:r>
      <w:r w:rsidRPr="001D1C74">
        <w:rPr>
          <w:rFonts w:ascii="Arial" w:hAnsi="Arial" w:cs="Arial"/>
          <w:iCs/>
          <w:sz w:val="22"/>
          <w:szCs w:val="22"/>
        </w:rPr>
        <w:t>00 Ft beruházási kiadás szolgálja a folyamatos működéshez szükséges számítástechnikai eszközbeszerzést.</w:t>
      </w:r>
    </w:p>
    <w:p w14:paraId="70BA9ABE" w14:textId="77777777" w:rsidR="004D72B7" w:rsidRDefault="004D72B7" w:rsidP="006325C2">
      <w:pPr>
        <w:spacing w:before="120"/>
        <w:jc w:val="both"/>
        <w:rPr>
          <w:rFonts w:ascii="Arial" w:hAnsi="Arial" w:cs="Arial"/>
          <w:iCs/>
          <w:sz w:val="22"/>
          <w:szCs w:val="22"/>
        </w:rPr>
      </w:pPr>
    </w:p>
    <w:p w14:paraId="4A6BC32F" w14:textId="77777777" w:rsidR="004D72B7" w:rsidRDefault="004D72B7" w:rsidP="006325C2">
      <w:pPr>
        <w:spacing w:before="120"/>
        <w:jc w:val="both"/>
        <w:rPr>
          <w:rFonts w:ascii="Arial" w:hAnsi="Arial" w:cs="Arial"/>
          <w:iCs/>
          <w:sz w:val="22"/>
          <w:szCs w:val="22"/>
        </w:rPr>
      </w:pPr>
    </w:p>
    <w:p w14:paraId="3045D631" w14:textId="41CF57E5" w:rsidR="000D65CA" w:rsidRDefault="000D65CA" w:rsidP="006325C2">
      <w:pPr>
        <w:spacing w:before="120"/>
        <w:jc w:val="both"/>
        <w:rPr>
          <w:rFonts w:ascii="Arial" w:hAnsi="Arial" w:cs="Arial"/>
          <w:iCs/>
          <w:sz w:val="22"/>
          <w:szCs w:val="22"/>
        </w:rPr>
      </w:pPr>
      <w:r w:rsidRPr="000A1A53">
        <w:rPr>
          <w:rFonts w:ascii="Arial" w:hAnsi="Arial" w:cs="Arial"/>
          <w:iCs/>
          <w:sz w:val="22"/>
          <w:szCs w:val="22"/>
        </w:rPr>
        <w:t>Az előzőekben részletezett beruházási kiadásokat az alábbi táblázat foglalja össze:</w:t>
      </w:r>
    </w:p>
    <w:p w14:paraId="0657FC8F" w14:textId="77777777" w:rsidR="00431A72" w:rsidRDefault="00431A72" w:rsidP="006325C2">
      <w:pPr>
        <w:spacing w:before="120"/>
        <w:jc w:val="both"/>
        <w:rPr>
          <w:rFonts w:ascii="Arial" w:hAnsi="Arial" w:cs="Arial"/>
          <w:iCs/>
          <w:sz w:val="22"/>
          <w:szCs w:val="22"/>
        </w:rPr>
      </w:pPr>
    </w:p>
    <w:tbl>
      <w:tblPr>
        <w:tblW w:w="9062" w:type="dxa"/>
        <w:tblCellMar>
          <w:left w:w="70" w:type="dxa"/>
          <w:right w:w="70" w:type="dxa"/>
        </w:tblCellMar>
        <w:tblLook w:val="04A0" w:firstRow="1" w:lastRow="0" w:firstColumn="1" w:lastColumn="0" w:noHBand="0" w:noVBand="1"/>
      </w:tblPr>
      <w:tblGrid>
        <w:gridCol w:w="3676"/>
        <w:gridCol w:w="1417"/>
        <w:gridCol w:w="1418"/>
        <w:gridCol w:w="1134"/>
        <w:gridCol w:w="1417"/>
      </w:tblGrid>
      <w:tr w:rsidR="00431A72" w14:paraId="71561534" w14:textId="77777777" w:rsidTr="00431A72">
        <w:trPr>
          <w:trHeight w:val="889"/>
        </w:trPr>
        <w:tc>
          <w:tcPr>
            <w:tcW w:w="367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22F6FC" w14:textId="77777777" w:rsidR="00431A72" w:rsidRPr="00431A72" w:rsidRDefault="00431A72">
            <w:pPr>
              <w:jc w:val="center"/>
              <w:rPr>
                <w:rFonts w:ascii="Times New Roman CE" w:hAnsi="Times New Roman CE" w:cs="Times New Roman CE"/>
                <w:b/>
                <w:bCs/>
                <w:sz w:val="18"/>
                <w:szCs w:val="18"/>
                <w:lang w:eastAsia="hu-HU"/>
              </w:rPr>
            </w:pPr>
            <w:proofErr w:type="gramStart"/>
            <w:r w:rsidRPr="00431A72">
              <w:rPr>
                <w:rFonts w:ascii="Times New Roman CE" w:hAnsi="Times New Roman CE" w:cs="Times New Roman CE"/>
                <w:b/>
                <w:bCs/>
                <w:sz w:val="18"/>
                <w:szCs w:val="18"/>
              </w:rPr>
              <w:t>Beruházás  megnevezése</w:t>
            </w:r>
            <w:proofErr w:type="gramEnd"/>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6B69E056" w14:textId="77777777" w:rsidR="00431A72" w:rsidRPr="00431A72" w:rsidRDefault="00431A72">
            <w:pPr>
              <w:jc w:val="center"/>
              <w:rPr>
                <w:rFonts w:ascii="Times New Roman CE" w:hAnsi="Times New Roman CE" w:cs="Times New Roman CE"/>
                <w:b/>
                <w:bCs/>
                <w:sz w:val="18"/>
                <w:szCs w:val="18"/>
              </w:rPr>
            </w:pPr>
            <w:r w:rsidRPr="00431A72">
              <w:rPr>
                <w:rFonts w:ascii="Times New Roman CE" w:hAnsi="Times New Roman CE" w:cs="Times New Roman CE"/>
                <w:b/>
                <w:bCs/>
                <w:sz w:val="18"/>
                <w:szCs w:val="18"/>
              </w:rPr>
              <w:t>Teljes költség</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57D02552" w14:textId="77777777" w:rsidR="00431A72" w:rsidRPr="00431A72" w:rsidRDefault="00431A72">
            <w:pPr>
              <w:jc w:val="center"/>
              <w:rPr>
                <w:rFonts w:ascii="Times New Roman CE" w:hAnsi="Times New Roman CE" w:cs="Times New Roman CE"/>
                <w:b/>
                <w:bCs/>
                <w:sz w:val="18"/>
                <w:szCs w:val="18"/>
              </w:rPr>
            </w:pPr>
            <w:r w:rsidRPr="00431A72">
              <w:rPr>
                <w:rFonts w:ascii="Times New Roman CE" w:hAnsi="Times New Roman CE" w:cs="Times New Roman CE"/>
                <w:b/>
                <w:bCs/>
                <w:sz w:val="18"/>
                <w:szCs w:val="18"/>
              </w:rPr>
              <w:t>Kivitelezés kezdési és befejezési éve</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734B226" w14:textId="77777777" w:rsidR="00431A72" w:rsidRPr="00431A72" w:rsidRDefault="00431A72">
            <w:pPr>
              <w:jc w:val="center"/>
              <w:rPr>
                <w:rFonts w:ascii="Times New Roman CE" w:hAnsi="Times New Roman CE" w:cs="Times New Roman CE"/>
                <w:b/>
                <w:bCs/>
                <w:sz w:val="18"/>
                <w:szCs w:val="18"/>
              </w:rPr>
            </w:pPr>
            <w:r w:rsidRPr="00431A72">
              <w:rPr>
                <w:rFonts w:ascii="Times New Roman CE" w:hAnsi="Times New Roman CE" w:cs="Times New Roman CE"/>
                <w:b/>
                <w:bCs/>
                <w:sz w:val="18"/>
                <w:szCs w:val="18"/>
              </w:rPr>
              <w:t>Felhasználás   2024. XII. 31-ig</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6BA34334" w14:textId="77777777" w:rsidR="00431A72" w:rsidRPr="00431A72" w:rsidRDefault="00431A72">
            <w:pPr>
              <w:jc w:val="center"/>
              <w:rPr>
                <w:rFonts w:ascii="Times New Roman CE" w:hAnsi="Times New Roman CE" w:cs="Times New Roman CE"/>
                <w:b/>
                <w:bCs/>
                <w:sz w:val="18"/>
                <w:szCs w:val="18"/>
              </w:rPr>
            </w:pPr>
            <w:r w:rsidRPr="00431A72">
              <w:rPr>
                <w:rFonts w:ascii="Times New Roman CE" w:hAnsi="Times New Roman CE" w:cs="Times New Roman CE"/>
                <w:b/>
                <w:bCs/>
                <w:sz w:val="18"/>
                <w:szCs w:val="18"/>
              </w:rPr>
              <w:t>2025. évi előirányzat</w:t>
            </w:r>
          </w:p>
        </w:tc>
      </w:tr>
      <w:tr w:rsidR="00431A72" w14:paraId="2C7DDC4D" w14:textId="77777777" w:rsidTr="00431A72">
        <w:trPr>
          <w:trHeight w:val="240"/>
        </w:trPr>
        <w:tc>
          <w:tcPr>
            <w:tcW w:w="3676" w:type="dxa"/>
            <w:tcBorders>
              <w:top w:val="nil"/>
              <w:left w:val="single" w:sz="8" w:space="0" w:color="auto"/>
              <w:bottom w:val="single" w:sz="8" w:space="0" w:color="auto"/>
              <w:right w:val="single" w:sz="4" w:space="0" w:color="auto"/>
            </w:tcBorders>
            <w:shd w:val="clear" w:color="auto" w:fill="auto"/>
            <w:vAlign w:val="center"/>
            <w:hideMark/>
          </w:tcPr>
          <w:p w14:paraId="0E785AB7" w14:textId="77777777" w:rsidR="00431A72" w:rsidRPr="00431A72" w:rsidRDefault="00431A72">
            <w:pPr>
              <w:jc w:val="center"/>
              <w:rPr>
                <w:rFonts w:ascii="Times New Roman CE" w:hAnsi="Times New Roman CE" w:cs="Times New Roman CE"/>
                <w:b/>
                <w:bCs/>
                <w:sz w:val="18"/>
                <w:szCs w:val="18"/>
              </w:rPr>
            </w:pPr>
            <w:r w:rsidRPr="00431A72">
              <w:rPr>
                <w:rFonts w:ascii="Times New Roman CE" w:hAnsi="Times New Roman CE" w:cs="Times New Roman CE"/>
                <w:b/>
                <w:bCs/>
                <w:sz w:val="18"/>
                <w:szCs w:val="18"/>
              </w:rPr>
              <w:t>A</w:t>
            </w:r>
          </w:p>
        </w:tc>
        <w:tc>
          <w:tcPr>
            <w:tcW w:w="1417" w:type="dxa"/>
            <w:tcBorders>
              <w:top w:val="nil"/>
              <w:left w:val="nil"/>
              <w:bottom w:val="single" w:sz="8" w:space="0" w:color="auto"/>
              <w:right w:val="single" w:sz="4" w:space="0" w:color="auto"/>
            </w:tcBorders>
            <w:shd w:val="clear" w:color="auto" w:fill="auto"/>
            <w:vAlign w:val="center"/>
            <w:hideMark/>
          </w:tcPr>
          <w:p w14:paraId="3A3CC478" w14:textId="77777777" w:rsidR="00431A72" w:rsidRPr="00431A72" w:rsidRDefault="00431A72">
            <w:pPr>
              <w:jc w:val="center"/>
              <w:rPr>
                <w:rFonts w:ascii="Times New Roman CE" w:hAnsi="Times New Roman CE" w:cs="Times New Roman CE"/>
                <w:b/>
                <w:bCs/>
                <w:sz w:val="18"/>
                <w:szCs w:val="18"/>
              </w:rPr>
            </w:pPr>
            <w:r w:rsidRPr="00431A72">
              <w:rPr>
                <w:rFonts w:ascii="Times New Roman CE" w:hAnsi="Times New Roman CE" w:cs="Times New Roman CE"/>
                <w:b/>
                <w:bCs/>
                <w:sz w:val="18"/>
                <w:szCs w:val="18"/>
              </w:rPr>
              <w:t>B</w:t>
            </w:r>
          </w:p>
        </w:tc>
        <w:tc>
          <w:tcPr>
            <w:tcW w:w="1418" w:type="dxa"/>
            <w:tcBorders>
              <w:top w:val="nil"/>
              <w:left w:val="nil"/>
              <w:bottom w:val="single" w:sz="8" w:space="0" w:color="auto"/>
              <w:right w:val="single" w:sz="4" w:space="0" w:color="auto"/>
            </w:tcBorders>
            <w:shd w:val="clear" w:color="auto" w:fill="auto"/>
            <w:vAlign w:val="center"/>
            <w:hideMark/>
          </w:tcPr>
          <w:p w14:paraId="484A0CF4" w14:textId="77777777" w:rsidR="00431A72" w:rsidRPr="00431A72" w:rsidRDefault="00431A72">
            <w:pPr>
              <w:jc w:val="center"/>
              <w:rPr>
                <w:rFonts w:ascii="Times New Roman CE" w:hAnsi="Times New Roman CE" w:cs="Times New Roman CE"/>
                <w:b/>
                <w:bCs/>
                <w:sz w:val="18"/>
                <w:szCs w:val="18"/>
              </w:rPr>
            </w:pPr>
            <w:r w:rsidRPr="00431A72">
              <w:rPr>
                <w:rFonts w:ascii="Times New Roman CE" w:hAnsi="Times New Roman CE" w:cs="Times New Roman CE"/>
                <w:b/>
                <w:bCs/>
                <w:sz w:val="18"/>
                <w:szCs w:val="18"/>
              </w:rPr>
              <w:t>C</w:t>
            </w:r>
          </w:p>
        </w:tc>
        <w:tc>
          <w:tcPr>
            <w:tcW w:w="1134" w:type="dxa"/>
            <w:tcBorders>
              <w:top w:val="nil"/>
              <w:left w:val="nil"/>
              <w:bottom w:val="single" w:sz="8" w:space="0" w:color="auto"/>
              <w:right w:val="single" w:sz="4" w:space="0" w:color="auto"/>
            </w:tcBorders>
            <w:shd w:val="clear" w:color="auto" w:fill="auto"/>
            <w:vAlign w:val="center"/>
            <w:hideMark/>
          </w:tcPr>
          <w:p w14:paraId="5BDFD2EB" w14:textId="77777777" w:rsidR="00431A72" w:rsidRPr="00431A72" w:rsidRDefault="00431A72">
            <w:pPr>
              <w:jc w:val="center"/>
              <w:rPr>
                <w:rFonts w:ascii="Times New Roman CE" w:hAnsi="Times New Roman CE" w:cs="Times New Roman CE"/>
                <w:b/>
                <w:bCs/>
                <w:sz w:val="18"/>
                <w:szCs w:val="18"/>
              </w:rPr>
            </w:pPr>
            <w:r w:rsidRPr="00431A72">
              <w:rPr>
                <w:rFonts w:ascii="Times New Roman CE" w:hAnsi="Times New Roman CE" w:cs="Times New Roman CE"/>
                <w:b/>
                <w:bCs/>
                <w:sz w:val="18"/>
                <w:szCs w:val="18"/>
              </w:rPr>
              <w:t>D</w:t>
            </w:r>
          </w:p>
        </w:tc>
        <w:tc>
          <w:tcPr>
            <w:tcW w:w="1417" w:type="dxa"/>
            <w:tcBorders>
              <w:top w:val="nil"/>
              <w:left w:val="nil"/>
              <w:bottom w:val="single" w:sz="8" w:space="0" w:color="auto"/>
              <w:right w:val="single" w:sz="4" w:space="0" w:color="auto"/>
            </w:tcBorders>
            <w:shd w:val="clear" w:color="auto" w:fill="auto"/>
            <w:vAlign w:val="center"/>
            <w:hideMark/>
          </w:tcPr>
          <w:p w14:paraId="34AB58E3" w14:textId="77777777" w:rsidR="00431A72" w:rsidRPr="00431A72" w:rsidRDefault="00431A72">
            <w:pPr>
              <w:jc w:val="center"/>
              <w:rPr>
                <w:rFonts w:ascii="Times New Roman CE" w:hAnsi="Times New Roman CE" w:cs="Times New Roman CE"/>
                <w:b/>
                <w:bCs/>
                <w:sz w:val="18"/>
                <w:szCs w:val="18"/>
              </w:rPr>
            </w:pPr>
            <w:r w:rsidRPr="00431A72">
              <w:rPr>
                <w:rFonts w:ascii="Times New Roman CE" w:hAnsi="Times New Roman CE" w:cs="Times New Roman CE"/>
                <w:b/>
                <w:bCs/>
                <w:sz w:val="18"/>
                <w:szCs w:val="18"/>
              </w:rPr>
              <w:t>E</w:t>
            </w:r>
          </w:p>
        </w:tc>
      </w:tr>
      <w:tr w:rsidR="00431A72" w14:paraId="3A8AB26C" w14:textId="77777777" w:rsidTr="00431A72">
        <w:trPr>
          <w:trHeight w:val="319"/>
        </w:trPr>
        <w:tc>
          <w:tcPr>
            <w:tcW w:w="36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7935A9"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xml:space="preserve">TOP Plusz 3.3.2 </w:t>
            </w:r>
            <w:proofErr w:type="spellStart"/>
            <w:r w:rsidRPr="00431A72">
              <w:rPr>
                <w:rFonts w:ascii="Times New Roman CE" w:hAnsi="Times New Roman CE" w:cs="Times New Roman CE"/>
                <w:sz w:val="18"/>
                <w:szCs w:val="18"/>
              </w:rPr>
              <w:t>Szoc</w:t>
            </w:r>
            <w:proofErr w:type="spellEnd"/>
            <w:r w:rsidRPr="00431A72">
              <w:rPr>
                <w:rFonts w:ascii="Times New Roman CE" w:hAnsi="Times New Roman CE" w:cs="Times New Roman CE"/>
                <w:sz w:val="18"/>
                <w:szCs w:val="18"/>
              </w:rPr>
              <w:t xml:space="preserve">. </w:t>
            </w:r>
            <w:proofErr w:type="spellStart"/>
            <w:r w:rsidRPr="00431A72">
              <w:rPr>
                <w:rFonts w:ascii="Times New Roman CE" w:hAnsi="Times New Roman CE" w:cs="Times New Roman CE"/>
                <w:sz w:val="18"/>
                <w:szCs w:val="18"/>
              </w:rPr>
              <w:t>alapszolg.fejl</w:t>
            </w:r>
            <w:proofErr w:type="spellEnd"/>
            <w:r w:rsidRPr="00431A72">
              <w:rPr>
                <w:rFonts w:ascii="Times New Roman CE" w:hAnsi="Times New Roman CE" w:cs="Times New Roman CE"/>
                <w:sz w:val="18"/>
                <w:szCs w:val="18"/>
              </w:rPr>
              <w:t xml:space="preserve"> I.ütem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0C7D5F"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363 000 000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326B6B"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2024-2025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4FD3C4"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8 000 000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C7BF59E"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355 000 000</w:t>
            </w:r>
          </w:p>
        </w:tc>
      </w:tr>
      <w:tr w:rsidR="00431A72" w14:paraId="0A0DED25" w14:textId="77777777" w:rsidTr="00431A72">
        <w:trPr>
          <w:trHeight w:val="319"/>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75EBB52B"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xml:space="preserve">TOP Plusz 3.3.2 </w:t>
            </w:r>
            <w:proofErr w:type="spellStart"/>
            <w:r w:rsidRPr="00431A72">
              <w:rPr>
                <w:rFonts w:ascii="Times New Roman CE" w:hAnsi="Times New Roman CE" w:cs="Times New Roman CE"/>
                <w:sz w:val="18"/>
                <w:szCs w:val="18"/>
              </w:rPr>
              <w:t>Szoc</w:t>
            </w:r>
            <w:proofErr w:type="spellEnd"/>
            <w:r w:rsidRPr="00431A72">
              <w:rPr>
                <w:rFonts w:ascii="Times New Roman CE" w:hAnsi="Times New Roman CE" w:cs="Times New Roman CE"/>
                <w:sz w:val="18"/>
                <w:szCs w:val="18"/>
              </w:rPr>
              <w:t xml:space="preserve">. </w:t>
            </w:r>
            <w:proofErr w:type="spellStart"/>
            <w:r w:rsidRPr="00431A72">
              <w:rPr>
                <w:rFonts w:ascii="Times New Roman CE" w:hAnsi="Times New Roman CE" w:cs="Times New Roman CE"/>
                <w:sz w:val="18"/>
                <w:szCs w:val="18"/>
              </w:rPr>
              <w:t>alapszolg.fejl</w:t>
            </w:r>
            <w:proofErr w:type="spellEnd"/>
            <w:r w:rsidRPr="00431A72">
              <w:rPr>
                <w:rFonts w:ascii="Times New Roman CE" w:hAnsi="Times New Roman CE" w:cs="Times New Roman CE"/>
                <w:sz w:val="18"/>
                <w:szCs w:val="18"/>
              </w:rPr>
              <w:t xml:space="preserve"> </w:t>
            </w:r>
            <w:proofErr w:type="spellStart"/>
            <w:r w:rsidRPr="00431A72">
              <w:rPr>
                <w:rFonts w:ascii="Times New Roman CE" w:hAnsi="Times New Roman CE" w:cs="Times New Roman CE"/>
                <w:sz w:val="18"/>
                <w:szCs w:val="18"/>
              </w:rPr>
              <w:t>II.ütem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E922DF3"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216 000 000</w:t>
            </w:r>
          </w:p>
        </w:tc>
        <w:tc>
          <w:tcPr>
            <w:tcW w:w="1418" w:type="dxa"/>
            <w:tcBorders>
              <w:top w:val="nil"/>
              <w:left w:val="nil"/>
              <w:bottom w:val="single" w:sz="4" w:space="0" w:color="auto"/>
              <w:right w:val="single" w:sz="4" w:space="0" w:color="auto"/>
            </w:tcBorders>
            <w:shd w:val="clear" w:color="auto" w:fill="auto"/>
            <w:vAlign w:val="center"/>
            <w:hideMark/>
          </w:tcPr>
          <w:p w14:paraId="78F9C2E1"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2024-2025</w:t>
            </w:r>
          </w:p>
        </w:tc>
        <w:tc>
          <w:tcPr>
            <w:tcW w:w="1134" w:type="dxa"/>
            <w:tcBorders>
              <w:top w:val="nil"/>
              <w:left w:val="nil"/>
              <w:bottom w:val="single" w:sz="4" w:space="0" w:color="auto"/>
              <w:right w:val="single" w:sz="4" w:space="0" w:color="auto"/>
            </w:tcBorders>
            <w:shd w:val="clear" w:color="auto" w:fill="auto"/>
            <w:vAlign w:val="center"/>
            <w:hideMark/>
          </w:tcPr>
          <w:p w14:paraId="20B61878"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14:paraId="04D56846"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216 000 000</w:t>
            </w:r>
          </w:p>
        </w:tc>
      </w:tr>
      <w:tr w:rsidR="00431A72" w14:paraId="3640BE65" w14:textId="77777777" w:rsidTr="00431A72">
        <w:trPr>
          <w:trHeight w:val="420"/>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534F6242"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TOP Plusz 1.1.1. Kanizsai Dorottya Általános és Zeneiskola Konyha korszerűsítés, bővítés</w:t>
            </w:r>
          </w:p>
        </w:tc>
        <w:tc>
          <w:tcPr>
            <w:tcW w:w="1417" w:type="dxa"/>
            <w:tcBorders>
              <w:top w:val="nil"/>
              <w:left w:val="nil"/>
              <w:bottom w:val="single" w:sz="4" w:space="0" w:color="auto"/>
              <w:right w:val="single" w:sz="4" w:space="0" w:color="auto"/>
            </w:tcBorders>
            <w:shd w:val="clear" w:color="auto" w:fill="auto"/>
            <w:vAlign w:val="center"/>
            <w:hideMark/>
          </w:tcPr>
          <w:p w14:paraId="27795233"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247 400 000</w:t>
            </w:r>
          </w:p>
        </w:tc>
        <w:tc>
          <w:tcPr>
            <w:tcW w:w="1418" w:type="dxa"/>
            <w:tcBorders>
              <w:top w:val="nil"/>
              <w:left w:val="nil"/>
              <w:bottom w:val="single" w:sz="4" w:space="0" w:color="auto"/>
              <w:right w:val="single" w:sz="4" w:space="0" w:color="auto"/>
            </w:tcBorders>
            <w:shd w:val="clear" w:color="auto" w:fill="auto"/>
            <w:vAlign w:val="center"/>
            <w:hideMark/>
          </w:tcPr>
          <w:p w14:paraId="7453284B"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2024-2025</w:t>
            </w:r>
          </w:p>
        </w:tc>
        <w:tc>
          <w:tcPr>
            <w:tcW w:w="1134" w:type="dxa"/>
            <w:tcBorders>
              <w:top w:val="nil"/>
              <w:left w:val="nil"/>
              <w:bottom w:val="single" w:sz="4" w:space="0" w:color="auto"/>
              <w:right w:val="single" w:sz="4" w:space="0" w:color="auto"/>
            </w:tcBorders>
            <w:shd w:val="clear" w:color="auto" w:fill="auto"/>
            <w:vAlign w:val="center"/>
            <w:hideMark/>
          </w:tcPr>
          <w:p w14:paraId="353DC72C"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14:paraId="1E0EBBA0"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247 400 000</w:t>
            </w:r>
          </w:p>
        </w:tc>
      </w:tr>
      <w:tr w:rsidR="00431A72" w14:paraId="60F5B8AF" w14:textId="77777777" w:rsidTr="00431A72">
        <w:trPr>
          <w:trHeight w:val="420"/>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6CD4F74A"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TOP Plusz 1.1.1. Kanizsai Dorottya Általános és Zeneiskola Konyha korszerűsítés, bővítés önerő</w:t>
            </w:r>
          </w:p>
        </w:tc>
        <w:tc>
          <w:tcPr>
            <w:tcW w:w="1417" w:type="dxa"/>
            <w:tcBorders>
              <w:top w:val="nil"/>
              <w:left w:val="nil"/>
              <w:bottom w:val="single" w:sz="4" w:space="0" w:color="auto"/>
              <w:right w:val="single" w:sz="4" w:space="0" w:color="auto"/>
            </w:tcBorders>
            <w:shd w:val="clear" w:color="auto" w:fill="auto"/>
            <w:vAlign w:val="center"/>
            <w:hideMark/>
          </w:tcPr>
          <w:p w14:paraId="411FC07A"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5 386 392</w:t>
            </w:r>
          </w:p>
        </w:tc>
        <w:tc>
          <w:tcPr>
            <w:tcW w:w="1418" w:type="dxa"/>
            <w:tcBorders>
              <w:top w:val="nil"/>
              <w:left w:val="nil"/>
              <w:bottom w:val="single" w:sz="4" w:space="0" w:color="auto"/>
              <w:right w:val="single" w:sz="4" w:space="0" w:color="auto"/>
            </w:tcBorders>
            <w:shd w:val="clear" w:color="auto" w:fill="auto"/>
            <w:vAlign w:val="center"/>
            <w:hideMark/>
          </w:tcPr>
          <w:p w14:paraId="7A27E60D"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2024-2025</w:t>
            </w:r>
          </w:p>
        </w:tc>
        <w:tc>
          <w:tcPr>
            <w:tcW w:w="1134" w:type="dxa"/>
            <w:tcBorders>
              <w:top w:val="nil"/>
              <w:left w:val="nil"/>
              <w:bottom w:val="single" w:sz="4" w:space="0" w:color="auto"/>
              <w:right w:val="single" w:sz="4" w:space="0" w:color="auto"/>
            </w:tcBorders>
            <w:shd w:val="clear" w:color="auto" w:fill="auto"/>
            <w:vAlign w:val="center"/>
            <w:hideMark/>
          </w:tcPr>
          <w:p w14:paraId="67B189D7"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14:paraId="2101E688"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5 386 392</w:t>
            </w:r>
          </w:p>
        </w:tc>
      </w:tr>
      <w:tr w:rsidR="00431A72" w14:paraId="5827FD43" w14:textId="77777777" w:rsidTr="00431A72">
        <w:trPr>
          <w:trHeight w:val="319"/>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4DBB0424"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xml:space="preserve">TOP </w:t>
            </w:r>
            <w:proofErr w:type="gramStart"/>
            <w:r w:rsidRPr="00431A72">
              <w:rPr>
                <w:rFonts w:ascii="Times New Roman CE" w:hAnsi="Times New Roman CE" w:cs="Times New Roman CE"/>
                <w:sz w:val="18"/>
                <w:szCs w:val="18"/>
              </w:rPr>
              <w:t>Plusz  1</w:t>
            </w:r>
            <w:proofErr w:type="gramEnd"/>
            <w:r w:rsidRPr="00431A72">
              <w:rPr>
                <w:rFonts w:ascii="Times New Roman CE" w:hAnsi="Times New Roman CE" w:cs="Times New Roman CE"/>
                <w:sz w:val="18"/>
                <w:szCs w:val="18"/>
              </w:rPr>
              <w:t>.2.3 Bátaszék, belterületi utak I. Bezerédj utca</w:t>
            </w:r>
          </w:p>
        </w:tc>
        <w:tc>
          <w:tcPr>
            <w:tcW w:w="1417" w:type="dxa"/>
            <w:tcBorders>
              <w:top w:val="nil"/>
              <w:left w:val="nil"/>
              <w:bottom w:val="single" w:sz="4" w:space="0" w:color="auto"/>
              <w:right w:val="single" w:sz="4" w:space="0" w:color="auto"/>
            </w:tcBorders>
            <w:shd w:val="clear" w:color="auto" w:fill="auto"/>
            <w:vAlign w:val="center"/>
            <w:hideMark/>
          </w:tcPr>
          <w:p w14:paraId="1A9AA881"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73 000 000</w:t>
            </w:r>
          </w:p>
        </w:tc>
        <w:tc>
          <w:tcPr>
            <w:tcW w:w="1418" w:type="dxa"/>
            <w:tcBorders>
              <w:top w:val="nil"/>
              <w:left w:val="nil"/>
              <w:bottom w:val="single" w:sz="4" w:space="0" w:color="auto"/>
              <w:right w:val="single" w:sz="4" w:space="0" w:color="auto"/>
            </w:tcBorders>
            <w:shd w:val="clear" w:color="auto" w:fill="auto"/>
            <w:vAlign w:val="center"/>
            <w:hideMark/>
          </w:tcPr>
          <w:p w14:paraId="3A3F2505"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2025-2026</w:t>
            </w:r>
          </w:p>
        </w:tc>
        <w:tc>
          <w:tcPr>
            <w:tcW w:w="1134" w:type="dxa"/>
            <w:tcBorders>
              <w:top w:val="nil"/>
              <w:left w:val="nil"/>
              <w:bottom w:val="single" w:sz="4" w:space="0" w:color="auto"/>
              <w:right w:val="single" w:sz="4" w:space="0" w:color="auto"/>
            </w:tcBorders>
            <w:shd w:val="clear" w:color="auto" w:fill="auto"/>
            <w:vAlign w:val="center"/>
            <w:hideMark/>
          </w:tcPr>
          <w:p w14:paraId="237C0796"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14:paraId="683BC601"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73 000 000</w:t>
            </w:r>
          </w:p>
        </w:tc>
      </w:tr>
      <w:tr w:rsidR="00431A72" w14:paraId="0D926A5F" w14:textId="77777777" w:rsidTr="00431A72">
        <w:trPr>
          <w:trHeight w:val="319"/>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112BD892"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xml:space="preserve">Egyéb gép, berendezés </w:t>
            </w:r>
          </w:p>
        </w:tc>
        <w:tc>
          <w:tcPr>
            <w:tcW w:w="1417" w:type="dxa"/>
            <w:tcBorders>
              <w:top w:val="nil"/>
              <w:left w:val="nil"/>
              <w:bottom w:val="single" w:sz="4" w:space="0" w:color="auto"/>
              <w:right w:val="single" w:sz="4" w:space="0" w:color="auto"/>
            </w:tcBorders>
            <w:shd w:val="clear" w:color="auto" w:fill="auto"/>
            <w:vAlign w:val="center"/>
            <w:hideMark/>
          </w:tcPr>
          <w:p w14:paraId="5A201BB9"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300 000</w:t>
            </w:r>
          </w:p>
        </w:tc>
        <w:tc>
          <w:tcPr>
            <w:tcW w:w="1418" w:type="dxa"/>
            <w:tcBorders>
              <w:top w:val="nil"/>
              <w:left w:val="nil"/>
              <w:bottom w:val="single" w:sz="4" w:space="0" w:color="auto"/>
              <w:right w:val="single" w:sz="4" w:space="0" w:color="auto"/>
            </w:tcBorders>
            <w:shd w:val="clear" w:color="auto" w:fill="auto"/>
            <w:vAlign w:val="center"/>
            <w:hideMark/>
          </w:tcPr>
          <w:p w14:paraId="1CD47B60"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1E8DCC52"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40E43357"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300 000</w:t>
            </w:r>
          </w:p>
        </w:tc>
      </w:tr>
      <w:tr w:rsidR="00431A72" w14:paraId="1FC14D3A" w14:textId="77777777" w:rsidTr="00431A72">
        <w:trPr>
          <w:trHeight w:val="319"/>
        </w:trPr>
        <w:tc>
          <w:tcPr>
            <w:tcW w:w="3676" w:type="dxa"/>
            <w:tcBorders>
              <w:top w:val="nil"/>
              <w:left w:val="single" w:sz="8" w:space="0" w:color="auto"/>
              <w:bottom w:val="nil"/>
              <w:right w:val="single" w:sz="4" w:space="0" w:color="auto"/>
            </w:tcBorders>
            <w:shd w:val="clear" w:color="auto" w:fill="auto"/>
            <w:vAlign w:val="center"/>
            <w:hideMark/>
          </w:tcPr>
          <w:p w14:paraId="45078937"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Klíma beszerzés</w:t>
            </w:r>
          </w:p>
        </w:tc>
        <w:tc>
          <w:tcPr>
            <w:tcW w:w="1417" w:type="dxa"/>
            <w:tcBorders>
              <w:top w:val="nil"/>
              <w:left w:val="nil"/>
              <w:bottom w:val="single" w:sz="4" w:space="0" w:color="auto"/>
              <w:right w:val="single" w:sz="4" w:space="0" w:color="auto"/>
            </w:tcBorders>
            <w:shd w:val="clear" w:color="auto" w:fill="auto"/>
            <w:vAlign w:val="center"/>
            <w:hideMark/>
          </w:tcPr>
          <w:p w14:paraId="4D27E07E"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500 000</w:t>
            </w:r>
          </w:p>
        </w:tc>
        <w:tc>
          <w:tcPr>
            <w:tcW w:w="1418" w:type="dxa"/>
            <w:tcBorders>
              <w:top w:val="nil"/>
              <w:left w:val="nil"/>
              <w:bottom w:val="single" w:sz="4" w:space="0" w:color="auto"/>
              <w:right w:val="single" w:sz="4" w:space="0" w:color="auto"/>
            </w:tcBorders>
            <w:shd w:val="clear" w:color="auto" w:fill="auto"/>
            <w:vAlign w:val="center"/>
            <w:hideMark/>
          </w:tcPr>
          <w:p w14:paraId="0DDC0FA1"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4E503C66"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7729F5A2"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500 000</w:t>
            </w:r>
          </w:p>
        </w:tc>
      </w:tr>
      <w:tr w:rsidR="00431A72" w14:paraId="141C3C59" w14:textId="77777777" w:rsidTr="00431A72">
        <w:trPr>
          <w:trHeight w:val="319"/>
        </w:trPr>
        <w:tc>
          <w:tcPr>
            <w:tcW w:w="36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BC69D5"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Orvosi rendelő eszköz beszerzés</w:t>
            </w:r>
          </w:p>
        </w:tc>
        <w:tc>
          <w:tcPr>
            <w:tcW w:w="1417" w:type="dxa"/>
            <w:tcBorders>
              <w:top w:val="nil"/>
              <w:left w:val="nil"/>
              <w:bottom w:val="single" w:sz="4" w:space="0" w:color="auto"/>
              <w:right w:val="single" w:sz="4" w:space="0" w:color="auto"/>
            </w:tcBorders>
            <w:shd w:val="clear" w:color="auto" w:fill="auto"/>
            <w:vAlign w:val="center"/>
            <w:hideMark/>
          </w:tcPr>
          <w:p w14:paraId="38350053"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1 000 000</w:t>
            </w:r>
          </w:p>
        </w:tc>
        <w:tc>
          <w:tcPr>
            <w:tcW w:w="1418" w:type="dxa"/>
            <w:tcBorders>
              <w:top w:val="nil"/>
              <w:left w:val="nil"/>
              <w:bottom w:val="single" w:sz="4" w:space="0" w:color="auto"/>
              <w:right w:val="single" w:sz="4" w:space="0" w:color="auto"/>
            </w:tcBorders>
            <w:shd w:val="clear" w:color="auto" w:fill="auto"/>
            <w:vAlign w:val="center"/>
            <w:hideMark/>
          </w:tcPr>
          <w:p w14:paraId="645A31DD"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7337D096"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3F49FA83"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1 000 000</w:t>
            </w:r>
          </w:p>
        </w:tc>
      </w:tr>
      <w:tr w:rsidR="00431A72" w14:paraId="652AD4C5" w14:textId="77777777" w:rsidTr="00431A72">
        <w:trPr>
          <w:trHeight w:val="319"/>
        </w:trPr>
        <w:tc>
          <w:tcPr>
            <w:tcW w:w="3676" w:type="dxa"/>
            <w:tcBorders>
              <w:top w:val="nil"/>
              <w:left w:val="single" w:sz="8" w:space="0" w:color="auto"/>
              <w:bottom w:val="nil"/>
              <w:right w:val="single" w:sz="4" w:space="0" w:color="auto"/>
            </w:tcBorders>
            <w:shd w:val="clear" w:color="000000" w:fill="FFFFFF"/>
            <w:vAlign w:val="center"/>
            <w:hideMark/>
          </w:tcPr>
          <w:p w14:paraId="1A43E41F"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xml:space="preserve">Közvilágítási lámpák cseréje VI. ütem </w:t>
            </w:r>
          </w:p>
        </w:tc>
        <w:tc>
          <w:tcPr>
            <w:tcW w:w="1417" w:type="dxa"/>
            <w:tcBorders>
              <w:top w:val="nil"/>
              <w:left w:val="nil"/>
              <w:bottom w:val="single" w:sz="4" w:space="0" w:color="auto"/>
              <w:right w:val="single" w:sz="4" w:space="0" w:color="auto"/>
            </w:tcBorders>
            <w:shd w:val="clear" w:color="auto" w:fill="auto"/>
            <w:vAlign w:val="center"/>
            <w:hideMark/>
          </w:tcPr>
          <w:p w14:paraId="39933F2C"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5 000 000</w:t>
            </w:r>
          </w:p>
        </w:tc>
        <w:tc>
          <w:tcPr>
            <w:tcW w:w="1418" w:type="dxa"/>
            <w:tcBorders>
              <w:top w:val="nil"/>
              <w:left w:val="nil"/>
              <w:bottom w:val="single" w:sz="4" w:space="0" w:color="auto"/>
              <w:right w:val="single" w:sz="4" w:space="0" w:color="auto"/>
            </w:tcBorders>
            <w:shd w:val="clear" w:color="auto" w:fill="auto"/>
            <w:vAlign w:val="center"/>
            <w:hideMark/>
          </w:tcPr>
          <w:p w14:paraId="60EB4084"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3C16F75F"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581CD52C"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5 000 000</w:t>
            </w:r>
          </w:p>
        </w:tc>
      </w:tr>
      <w:tr w:rsidR="00431A72" w14:paraId="609466A6" w14:textId="77777777" w:rsidTr="00431A72">
        <w:trPr>
          <w:trHeight w:val="319"/>
        </w:trPr>
        <w:tc>
          <w:tcPr>
            <w:tcW w:w="36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3176F6"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Szabadság utca 3. parkoló befejező munkái</w:t>
            </w:r>
          </w:p>
        </w:tc>
        <w:tc>
          <w:tcPr>
            <w:tcW w:w="1417" w:type="dxa"/>
            <w:tcBorders>
              <w:top w:val="nil"/>
              <w:left w:val="nil"/>
              <w:bottom w:val="single" w:sz="4" w:space="0" w:color="auto"/>
              <w:right w:val="single" w:sz="4" w:space="0" w:color="auto"/>
            </w:tcBorders>
            <w:shd w:val="clear" w:color="auto" w:fill="auto"/>
            <w:vAlign w:val="center"/>
            <w:hideMark/>
          </w:tcPr>
          <w:p w14:paraId="7FAD9CB2"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9 954 039</w:t>
            </w:r>
          </w:p>
        </w:tc>
        <w:tc>
          <w:tcPr>
            <w:tcW w:w="1418" w:type="dxa"/>
            <w:tcBorders>
              <w:top w:val="nil"/>
              <w:left w:val="nil"/>
              <w:bottom w:val="single" w:sz="4" w:space="0" w:color="auto"/>
              <w:right w:val="single" w:sz="4" w:space="0" w:color="auto"/>
            </w:tcBorders>
            <w:shd w:val="clear" w:color="auto" w:fill="auto"/>
            <w:vAlign w:val="center"/>
            <w:hideMark/>
          </w:tcPr>
          <w:p w14:paraId="426156FE"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2B5331B4"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31A6A1A8"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9 954 039</w:t>
            </w:r>
          </w:p>
        </w:tc>
      </w:tr>
      <w:tr w:rsidR="00431A72" w14:paraId="7AB75CC8" w14:textId="77777777" w:rsidTr="00431A72">
        <w:trPr>
          <w:trHeight w:val="319"/>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3832C61F" w14:textId="65285104"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Kossuth utcai 49 ideig</w:t>
            </w:r>
            <w:r>
              <w:rPr>
                <w:rFonts w:ascii="Times New Roman CE" w:hAnsi="Times New Roman CE" w:cs="Times New Roman CE"/>
                <w:sz w:val="18"/>
                <w:szCs w:val="18"/>
              </w:rPr>
              <w:t>len</w:t>
            </w:r>
            <w:r w:rsidRPr="00431A72">
              <w:rPr>
                <w:rFonts w:ascii="Times New Roman CE" w:hAnsi="Times New Roman CE" w:cs="Times New Roman CE"/>
                <w:sz w:val="18"/>
                <w:szCs w:val="18"/>
              </w:rPr>
              <w:t>es parkoló II. ütem</w:t>
            </w:r>
          </w:p>
        </w:tc>
        <w:tc>
          <w:tcPr>
            <w:tcW w:w="1417" w:type="dxa"/>
            <w:tcBorders>
              <w:top w:val="nil"/>
              <w:left w:val="nil"/>
              <w:bottom w:val="single" w:sz="4" w:space="0" w:color="auto"/>
              <w:right w:val="single" w:sz="4" w:space="0" w:color="auto"/>
            </w:tcBorders>
            <w:shd w:val="clear" w:color="auto" w:fill="auto"/>
            <w:vAlign w:val="center"/>
            <w:hideMark/>
          </w:tcPr>
          <w:p w14:paraId="0EE7689C"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1 410 081</w:t>
            </w:r>
          </w:p>
        </w:tc>
        <w:tc>
          <w:tcPr>
            <w:tcW w:w="1418" w:type="dxa"/>
            <w:tcBorders>
              <w:top w:val="nil"/>
              <w:left w:val="nil"/>
              <w:bottom w:val="single" w:sz="4" w:space="0" w:color="auto"/>
              <w:right w:val="single" w:sz="4" w:space="0" w:color="auto"/>
            </w:tcBorders>
            <w:shd w:val="clear" w:color="auto" w:fill="auto"/>
            <w:vAlign w:val="center"/>
            <w:hideMark/>
          </w:tcPr>
          <w:p w14:paraId="5EA4D7E0"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74FA96D8"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4C79E0F1"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1 410 081</w:t>
            </w:r>
          </w:p>
        </w:tc>
      </w:tr>
      <w:tr w:rsidR="00431A72" w14:paraId="60C78ADE" w14:textId="77777777" w:rsidTr="00431A72">
        <w:trPr>
          <w:trHeight w:val="319"/>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676F5FB0"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Wienerberger területek adásvétele</w:t>
            </w:r>
          </w:p>
        </w:tc>
        <w:tc>
          <w:tcPr>
            <w:tcW w:w="1417" w:type="dxa"/>
            <w:tcBorders>
              <w:top w:val="nil"/>
              <w:left w:val="nil"/>
              <w:bottom w:val="single" w:sz="4" w:space="0" w:color="auto"/>
              <w:right w:val="single" w:sz="4" w:space="0" w:color="auto"/>
            </w:tcBorders>
            <w:shd w:val="clear" w:color="auto" w:fill="auto"/>
            <w:vAlign w:val="center"/>
            <w:hideMark/>
          </w:tcPr>
          <w:p w14:paraId="36B6C6AB"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53 213 000</w:t>
            </w:r>
          </w:p>
        </w:tc>
        <w:tc>
          <w:tcPr>
            <w:tcW w:w="1418" w:type="dxa"/>
            <w:tcBorders>
              <w:top w:val="nil"/>
              <w:left w:val="nil"/>
              <w:bottom w:val="single" w:sz="4" w:space="0" w:color="auto"/>
              <w:right w:val="single" w:sz="4" w:space="0" w:color="auto"/>
            </w:tcBorders>
            <w:shd w:val="clear" w:color="auto" w:fill="auto"/>
            <w:vAlign w:val="center"/>
            <w:hideMark/>
          </w:tcPr>
          <w:p w14:paraId="1CF05EE5"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2024-2025</w:t>
            </w:r>
          </w:p>
        </w:tc>
        <w:tc>
          <w:tcPr>
            <w:tcW w:w="1134" w:type="dxa"/>
            <w:tcBorders>
              <w:top w:val="nil"/>
              <w:left w:val="nil"/>
              <w:bottom w:val="single" w:sz="4" w:space="0" w:color="auto"/>
              <w:right w:val="single" w:sz="4" w:space="0" w:color="auto"/>
            </w:tcBorders>
            <w:shd w:val="clear" w:color="auto" w:fill="auto"/>
            <w:vAlign w:val="center"/>
            <w:hideMark/>
          </w:tcPr>
          <w:p w14:paraId="4C7549B0"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32 263 000</w:t>
            </w:r>
          </w:p>
        </w:tc>
        <w:tc>
          <w:tcPr>
            <w:tcW w:w="1417" w:type="dxa"/>
            <w:tcBorders>
              <w:top w:val="nil"/>
              <w:left w:val="nil"/>
              <w:bottom w:val="single" w:sz="4" w:space="0" w:color="auto"/>
              <w:right w:val="single" w:sz="4" w:space="0" w:color="auto"/>
            </w:tcBorders>
            <w:shd w:val="clear" w:color="auto" w:fill="auto"/>
            <w:vAlign w:val="center"/>
            <w:hideMark/>
          </w:tcPr>
          <w:p w14:paraId="4A98BE40"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20 950 000</w:t>
            </w:r>
          </w:p>
        </w:tc>
      </w:tr>
      <w:tr w:rsidR="00431A72" w14:paraId="50698245" w14:textId="77777777" w:rsidTr="00431A72">
        <w:trPr>
          <w:trHeight w:val="319"/>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62275CE2"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Könyvtár könyv beszerzés</w:t>
            </w:r>
          </w:p>
        </w:tc>
        <w:tc>
          <w:tcPr>
            <w:tcW w:w="1417" w:type="dxa"/>
            <w:tcBorders>
              <w:top w:val="nil"/>
              <w:left w:val="nil"/>
              <w:bottom w:val="single" w:sz="4" w:space="0" w:color="auto"/>
              <w:right w:val="single" w:sz="4" w:space="0" w:color="auto"/>
            </w:tcBorders>
            <w:shd w:val="clear" w:color="auto" w:fill="auto"/>
            <w:vAlign w:val="center"/>
            <w:hideMark/>
          </w:tcPr>
          <w:p w14:paraId="1B233C12"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1 500 000</w:t>
            </w:r>
          </w:p>
        </w:tc>
        <w:tc>
          <w:tcPr>
            <w:tcW w:w="1418" w:type="dxa"/>
            <w:tcBorders>
              <w:top w:val="nil"/>
              <w:left w:val="nil"/>
              <w:bottom w:val="single" w:sz="4" w:space="0" w:color="auto"/>
              <w:right w:val="single" w:sz="4" w:space="0" w:color="auto"/>
            </w:tcBorders>
            <w:shd w:val="clear" w:color="auto" w:fill="auto"/>
            <w:vAlign w:val="center"/>
            <w:hideMark/>
          </w:tcPr>
          <w:p w14:paraId="31C43C95"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5054E2E4"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63911899"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1 500 000</w:t>
            </w:r>
          </w:p>
        </w:tc>
      </w:tr>
      <w:tr w:rsidR="00431A72" w14:paraId="49250FF0" w14:textId="77777777" w:rsidTr="00431A72">
        <w:trPr>
          <w:trHeight w:val="319"/>
        </w:trPr>
        <w:tc>
          <w:tcPr>
            <w:tcW w:w="3676" w:type="dxa"/>
            <w:tcBorders>
              <w:top w:val="nil"/>
              <w:left w:val="single" w:sz="8" w:space="0" w:color="auto"/>
              <w:bottom w:val="single" w:sz="4" w:space="0" w:color="auto"/>
              <w:right w:val="single" w:sz="4" w:space="0" w:color="auto"/>
            </w:tcBorders>
            <w:shd w:val="clear" w:color="auto" w:fill="auto"/>
            <w:vAlign w:val="center"/>
            <w:hideMark/>
          </w:tcPr>
          <w:p w14:paraId="7AB75EFD" w14:textId="77777777" w:rsidR="00431A72" w:rsidRPr="00431A72" w:rsidRDefault="00431A72">
            <w:pPr>
              <w:rPr>
                <w:rFonts w:ascii="Times New Roman CE" w:hAnsi="Times New Roman CE" w:cs="Times New Roman CE"/>
                <w:sz w:val="18"/>
                <w:szCs w:val="18"/>
              </w:rPr>
            </w:pPr>
            <w:proofErr w:type="spellStart"/>
            <w:r w:rsidRPr="00431A72">
              <w:rPr>
                <w:rFonts w:ascii="Times New Roman CE" w:hAnsi="Times New Roman CE" w:cs="Times New Roman CE"/>
                <w:sz w:val="18"/>
                <w:szCs w:val="18"/>
              </w:rPr>
              <w:t>Köh</w:t>
            </w:r>
            <w:proofErr w:type="spellEnd"/>
            <w:r w:rsidRPr="00431A72">
              <w:rPr>
                <w:rFonts w:ascii="Times New Roman CE" w:hAnsi="Times New Roman CE" w:cs="Times New Roman CE"/>
                <w:sz w:val="18"/>
                <w:szCs w:val="18"/>
              </w:rPr>
              <w:t xml:space="preserve"> egyéb gép, berendezés</w:t>
            </w:r>
          </w:p>
        </w:tc>
        <w:tc>
          <w:tcPr>
            <w:tcW w:w="1417" w:type="dxa"/>
            <w:tcBorders>
              <w:top w:val="nil"/>
              <w:left w:val="nil"/>
              <w:bottom w:val="single" w:sz="4" w:space="0" w:color="auto"/>
              <w:right w:val="single" w:sz="4" w:space="0" w:color="auto"/>
            </w:tcBorders>
            <w:shd w:val="clear" w:color="auto" w:fill="auto"/>
            <w:vAlign w:val="center"/>
            <w:hideMark/>
          </w:tcPr>
          <w:p w14:paraId="67C40C84"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1 000 000</w:t>
            </w:r>
          </w:p>
        </w:tc>
        <w:tc>
          <w:tcPr>
            <w:tcW w:w="1418" w:type="dxa"/>
            <w:tcBorders>
              <w:top w:val="nil"/>
              <w:left w:val="nil"/>
              <w:bottom w:val="single" w:sz="4" w:space="0" w:color="auto"/>
              <w:right w:val="single" w:sz="4" w:space="0" w:color="auto"/>
            </w:tcBorders>
            <w:shd w:val="clear" w:color="auto" w:fill="auto"/>
            <w:vAlign w:val="center"/>
            <w:hideMark/>
          </w:tcPr>
          <w:p w14:paraId="6721007D" w14:textId="77777777" w:rsidR="00431A72" w:rsidRPr="00431A72" w:rsidRDefault="00431A72">
            <w:pPr>
              <w:jc w:val="center"/>
              <w:rPr>
                <w:rFonts w:ascii="Times New Roman CE" w:hAnsi="Times New Roman CE" w:cs="Times New Roman CE"/>
                <w:sz w:val="18"/>
                <w:szCs w:val="18"/>
              </w:rPr>
            </w:pPr>
            <w:r w:rsidRPr="00431A72">
              <w:rPr>
                <w:rFonts w:ascii="Times New Roman CE" w:hAnsi="Times New Roman CE" w:cs="Times New Roman CE"/>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781CA1C2" w14:textId="77777777" w:rsidR="00431A72" w:rsidRPr="00431A72" w:rsidRDefault="00431A72">
            <w:pPr>
              <w:rPr>
                <w:rFonts w:ascii="Times New Roman CE" w:hAnsi="Times New Roman CE" w:cs="Times New Roman CE"/>
                <w:sz w:val="18"/>
                <w:szCs w:val="18"/>
              </w:rPr>
            </w:pPr>
            <w:r w:rsidRPr="00431A72">
              <w:rPr>
                <w:rFonts w:ascii="Times New Roman CE" w:hAnsi="Times New Roman CE" w:cs="Times New Roman CE"/>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7D769452" w14:textId="77777777" w:rsidR="00431A72" w:rsidRPr="00431A72" w:rsidRDefault="00431A72">
            <w:pPr>
              <w:jc w:val="right"/>
              <w:rPr>
                <w:rFonts w:ascii="Times New Roman CE" w:hAnsi="Times New Roman CE" w:cs="Times New Roman CE"/>
                <w:sz w:val="18"/>
                <w:szCs w:val="18"/>
              </w:rPr>
            </w:pPr>
            <w:r w:rsidRPr="00431A72">
              <w:rPr>
                <w:rFonts w:ascii="Times New Roman CE" w:hAnsi="Times New Roman CE" w:cs="Times New Roman CE"/>
                <w:sz w:val="18"/>
                <w:szCs w:val="18"/>
              </w:rPr>
              <w:t>1 000 000</w:t>
            </w:r>
          </w:p>
        </w:tc>
      </w:tr>
    </w:tbl>
    <w:p w14:paraId="66274AA9" w14:textId="77777777" w:rsidR="00431A72" w:rsidRDefault="00431A72" w:rsidP="006325C2">
      <w:pPr>
        <w:spacing w:before="120"/>
        <w:jc w:val="both"/>
        <w:rPr>
          <w:rFonts w:ascii="Arial" w:hAnsi="Arial" w:cs="Arial"/>
          <w:iCs/>
          <w:sz w:val="22"/>
          <w:szCs w:val="22"/>
        </w:rPr>
      </w:pPr>
    </w:p>
    <w:p w14:paraId="79C8B0E6" w14:textId="7C8D7432" w:rsidR="001D55F9" w:rsidRDefault="001D55F9" w:rsidP="006325C2">
      <w:pPr>
        <w:spacing w:before="120"/>
        <w:jc w:val="both"/>
        <w:rPr>
          <w:rFonts w:ascii="Arial" w:hAnsi="Arial" w:cs="Arial"/>
          <w:sz w:val="20"/>
          <w:szCs w:val="20"/>
          <w:highlight w:val="yellow"/>
        </w:rPr>
      </w:pPr>
    </w:p>
    <w:p w14:paraId="26A0D8E1" w14:textId="77777777" w:rsidR="000A1A53" w:rsidRPr="00A82F71" w:rsidRDefault="000A1A53" w:rsidP="006325C2">
      <w:pPr>
        <w:spacing w:before="120"/>
        <w:jc w:val="both"/>
        <w:rPr>
          <w:rFonts w:ascii="Arial" w:hAnsi="Arial" w:cs="Arial"/>
          <w:sz w:val="20"/>
          <w:szCs w:val="20"/>
          <w:highlight w:val="yellow"/>
        </w:rPr>
      </w:pPr>
    </w:p>
    <w:p w14:paraId="4296A47C" w14:textId="6BCDE5B6" w:rsidR="00155D67" w:rsidRPr="00A82F71" w:rsidRDefault="006325C2" w:rsidP="00155D67">
      <w:pPr>
        <w:spacing w:before="120"/>
        <w:jc w:val="both"/>
        <w:rPr>
          <w:rFonts w:ascii="Arial" w:hAnsi="Arial" w:cs="Arial"/>
          <w:sz w:val="22"/>
          <w:szCs w:val="22"/>
          <w:highlight w:val="yellow"/>
        </w:rPr>
      </w:pPr>
      <w:r w:rsidRPr="00632CBE">
        <w:rPr>
          <w:rFonts w:ascii="Arial" w:hAnsi="Arial" w:cs="Arial"/>
          <w:sz w:val="22"/>
          <w:szCs w:val="22"/>
        </w:rPr>
        <w:t>A felújítási kiadások között</w:t>
      </w:r>
      <w:r w:rsidR="00161E33" w:rsidRPr="00632CBE">
        <w:rPr>
          <w:rFonts w:ascii="Arial" w:hAnsi="Arial" w:cs="Arial"/>
          <w:sz w:val="22"/>
          <w:szCs w:val="22"/>
        </w:rPr>
        <w:t xml:space="preserve"> </w:t>
      </w:r>
      <w:r w:rsidR="00632CBE" w:rsidRPr="00632CBE">
        <w:rPr>
          <w:rFonts w:ascii="Arial" w:hAnsi="Arial" w:cs="Arial"/>
          <w:sz w:val="22"/>
          <w:szCs w:val="22"/>
        </w:rPr>
        <w:t>B</w:t>
      </w:r>
      <w:r w:rsidR="00632CBE">
        <w:rPr>
          <w:rFonts w:ascii="Arial" w:hAnsi="Arial" w:cs="Arial"/>
          <w:sz w:val="22"/>
          <w:szCs w:val="22"/>
        </w:rPr>
        <w:t>átaszék Város Önkormányzata költségvetésében a „</w:t>
      </w:r>
      <w:r w:rsidR="00632CBE" w:rsidRPr="00632CBE">
        <w:rPr>
          <w:rFonts w:ascii="Arial" w:hAnsi="Arial" w:cs="Arial"/>
          <w:sz w:val="22"/>
          <w:szCs w:val="22"/>
        </w:rPr>
        <w:t>TOP Plusz 3.3.2 Szoc</w:t>
      </w:r>
      <w:r w:rsidR="00632CBE">
        <w:rPr>
          <w:rFonts w:ascii="Arial" w:hAnsi="Arial" w:cs="Arial"/>
          <w:sz w:val="22"/>
          <w:szCs w:val="22"/>
        </w:rPr>
        <w:t xml:space="preserve">iális </w:t>
      </w:r>
      <w:r w:rsidR="00632CBE" w:rsidRPr="00632CBE">
        <w:rPr>
          <w:rFonts w:ascii="Arial" w:hAnsi="Arial" w:cs="Arial"/>
          <w:sz w:val="22"/>
          <w:szCs w:val="22"/>
        </w:rPr>
        <w:t>alapszolg</w:t>
      </w:r>
      <w:r w:rsidR="00632CBE">
        <w:rPr>
          <w:rFonts w:ascii="Arial" w:hAnsi="Arial" w:cs="Arial"/>
          <w:sz w:val="22"/>
          <w:szCs w:val="22"/>
        </w:rPr>
        <w:t>áltatás fejlesztése</w:t>
      </w:r>
      <w:r w:rsidR="00632CBE" w:rsidRPr="00632CBE">
        <w:rPr>
          <w:rFonts w:ascii="Arial" w:hAnsi="Arial" w:cs="Arial"/>
          <w:sz w:val="22"/>
          <w:szCs w:val="22"/>
        </w:rPr>
        <w:t xml:space="preserve"> I.</w:t>
      </w:r>
      <w:r w:rsidR="00632CBE">
        <w:rPr>
          <w:rFonts w:ascii="Arial" w:hAnsi="Arial" w:cs="Arial"/>
          <w:sz w:val="22"/>
          <w:szCs w:val="22"/>
        </w:rPr>
        <w:t xml:space="preserve"> </w:t>
      </w:r>
      <w:r w:rsidR="00632CBE" w:rsidRPr="00632CBE">
        <w:rPr>
          <w:rFonts w:ascii="Arial" w:hAnsi="Arial" w:cs="Arial"/>
          <w:sz w:val="22"/>
          <w:szCs w:val="22"/>
        </w:rPr>
        <w:t>ütem</w:t>
      </w:r>
      <w:r w:rsidR="00632CBE">
        <w:rPr>
          <w:rFonts w:ascii="Arial" w:hAnsi="Arial" w:cs="Arial"/>
          <w:sz w:val="22"/>
          <w:szCs w:val="22"/>
        </w:rPr>
        <w:t>”</w:t>
      </w:r>
      <w:r w:rsidR="00632CBE" w:rsidRPr="00632CBE">
        <w:rPr>
          <w:rFonts w:ascii="Arial" w:hAnsi="Arial" w:cs="Arial"/>
          <w:sz w:val="22"/>
          <w:szCs w:val="22"/>
        </w:rPr>
        <w:t xml:space="preserve"> projekthez kapcsolódó ideiglenes épület kialakításának munkálatai</w:t>
      </w:r>
      <w:r w:rsidR="00632CBE">
        <w:rPr>
          <w:rFonts w:ascii="Arial" w:hAnsi="Arial" w:cs="Arial"/>
          <w:sz w:val="22"/>
          <w:szCs w:val="22"/>
        </w:rPr>
        <w:t xml:space="preserve"> terveztük </w:t>
      </w:r>
      <w:r w:rsidR="00632CBE" w:rsidRPr="00632CBE">
        <w:rPr>
          <w:rFonts w:ascii="Arial" w:hAnsi="Arial" w:cs="Arial"/>
          <w:sz w:val="22"/>
          <w:szCs w:val="22"/>
        </w:rPr>
        <w:t>21 963</w:t>
      </w:r>
      <w:r w:rsidR="00632CBE">
        <w:rPr>
          <w:rFonts w:ascii="Arial" w:hAnsi="Arial" w:cs="Arial"/>
          <w:sz w:val="22"/>
          <w:szCs w:val="22"/>
        </w:rPr>
        <w:t> </w:t>
      </w:r>
      <w:r w:rsidR="00632CBE" w:rsidRPr="00632CBE">
        <w:rPr>
          <w:rFonts w:ascii="Arial" w:hAnsi="Arial" w:cs="Arial"/>
          <w:sz w:val="22"/>
          <w:szCs w:val="22"/>
        </w:rPr>
        <w:t>693</w:t>
      </w:r>
      <w:r w:rsidR="00411AFE">
        <w:rPr>
          <w:rFonts w:ascii="Arial" w:hAnsi="Arial" w:cs="Arial"/>
          <w:sz w:val="22"/>
          <w:szCs w:val="22"/>
        </w:rPr>
        <w:t xml:space="preserve"> Ft összeggel, továbbá 2 390 000 Ft-tal terveztük a bérlakások felújítására fordítandó kiadást.</w:t>
      </w:r>
    </w:p>
    <w:p w14:paraId="79E09511" w14:textId="7D1E3950" w:rsidR="006325C2" w:rsidRPr="00A82F71" w:rsidRDefault="00174957" w:rsidP="006325C2">
      <w:pPr>
        <w:spacing w:before="120"/>
        <w:jc w:val="both"/>
        <w:rPr>
          <w:rFonts w:ascii="Arial" w:hAnsi="Arial" w:cs="Arial"/>
          <w:sz w:val="22"/>
          <w:szCs w:val="22"/>
          <w:highlight w:val="yellow"/>
        </w:rPr>
      </w:pPr>
      <w:r w:rsidRPr="005A4630">
        <w:rPr>
          <w:rFonts w:ascii="Arial" w:hAnsi="Arial" w:cs="Arial"/>
          <w:b/>
          <w:sz w:val="22"/>
          <w:szCs w:val="22"/>
          <w:u w:val="single"/>
        </w:rPr>
        <w:t>Egy</w:t>
      </w:r>
      <w:r w:rsidR="00DB69E5" w:rsidRPr="005A4630">
        <w:rPr>
          <w:rFonts w:ascii="Arial" w:hAnsi="Arial" w:cs="Arial"/>
          <w:b/>
          <w:sz w:val="22"/>
          <w:szCs w:val="22"/>
          <w:u w:val="single"/>
        </w:rPr>
        <w:t>éb felhalmozási célú kiadást</w:t>
      </w:r>
      <w:r w:rsidRPr="005A4630">
        <w:rPr>
          <w:rFonts w:ascii="Arial" w:hAnsi="Arial" w:cs="Arial"/>
          <w:b/>
          <w:sz w:val="22"/>
          <w:szCs w:val="22"/>
        </w:rPr>
        <w:t xml:space="preserve"> </w:t>
      </w:r>
      <w:r w:rsidR="00FD4A53" w:rsidRPr="005A4630">
        <w:rPr>
          <w:rFonts w:ascii="Arial" w:hAnsi="Arial" w:cs="Arial"/>
          <w:b/>
          <w:sz w:val="22"/>
          <w:szCs w:val="22"/>
        </w:rPr>
        <w:t>3 707 000</w:t>
      </w:r>
      <w:r w:rsidR="00DD0448" w:rsidRPr="005A4630">
        <w:rPr>
          <w:rFonts w:ascii="Arial" w:hAnsi="Arial" w:cs="Arial"/>
          <w:sz w:val="22"/>
          <w:szCs w:val="22"/>
        </w:rPr>
        <w:t xml:space="preserve"> Ft összegben tervezünk a Bátaszéki Önkormányzatnál. </w:t>
      </w:r>
      <w:r w:rsidR="00DB69E5" w:rsidRPr="005A4630">
        <w:rPr>
          <w:rFonts w:ascii="Arial" w:hAnsi="Arial" w:cs="Arial"/>
          <w:sz w:val="22"/>
          <w:szCs w:val="22"/>
        </w:rPr>
        <w:t xml:space="preserve">a </w:t>
      </w:r>
      <w:r w:rsidR="00A06B68" w:rsidRPr="005A4630">
        <w:rPr>
          <w:rFonts w:ascii="Arial" w:hAnsi="Arial" w:cs="Arial"/>
          <w:sz w:val="22"/>
          <w:szCs w:val="22"/>
        </w:rPr>
        <w:t xml:space="preserve">MOB részére szerepel </w:t>
      </w:r>
      <w:r w:rsidR="00DB69E5" w:rsidRPr="005A4630">
        <w:rPr>
          <w:rFonts w:ascii="Arial" w:hAnsi="Arial" w:cs="Arial"/>
          <w:sz w:val="22"/>
          <w:szCs w:val="22"/>
        </w:rPr>
        <w:t>a</w:t>
      </w:r>
      <w:r w:rsidR="005A4630" w:rsidRPr="005A4630">
        <w:rPr>
          <w:rFonts w:ascii="Arial" w:hAnsi="Arial" w:cs="Arial"/>
          <w:sz w:val="22"/>
          <w:szCs w:val="22"/>
        </w:rPr>
        <w:t xml:space="preserve">z előirányzat: e jogcímen a működéshez alapvetően szükséges eszközbeszerzéseket szerepeltettük óvodai, bölcsődei neveléshez és a konyhai feladatellátáshoz kapcsolódóan. Az év során a tervek szerint: 1db ipari dagasztógép </w:t>
      </w:r>
      <w:r w:rsidR="005A4630">
        <w:rPr>
          <w:rFonts w:ascii="Arial" w:hAnsi="Arial" w:cs="Arial"/>
          <w:sz w:val="22"/>
          <w:szCs w:val="22"/>
        </w:rPr>
        <w:t xml:space="preserve">beszerzésére kerül sor </w:t>
      </w:r>
      <w:r w:rsidR="005A4630" w:rsidRPr="005A4630">
        <w:rPr>
          <w:rFonts w:ascii="Arial" w:hAnsi="Arial" w:cs="Arial"/>
          <w:sz w:val="22"/>
          <w:szCs w:val="22"/>
        </w:rPr>
        <w:t>402</w:t>
      </w:r>
      <w:r w:rsidR="005A4630">
        <w:rPr>
          <w:rFonts w:ascii="Arial" w:hAnsi="Arial" w:cs="Arial"/>
          <w:sz w:val="22"/>
          <w:szCs w:val="22"/>
        </w:rPr>
        <w:t> </w:t>
      </w:r>
      <w:r w:rsidR="005A4630" w:rsidRPr="005A4630">
        <w:rPr>
          <w:rFonts w:ascii="Arial" w:hAnsi="Arial" w:cs="Arial"/>
          <w:sz w:val="22"/>
          <w:szCs w:val="22"/>
        </w:rPr>
        <w:t>000</w:t>
      </w:r>
      <w:r w:rsidR="005A4630">
        <w:rPr>
          <w:rFonts w:ascii="Arial" w:hAnsi="Arial" w:cs="Arial"/>
          <w:sz w:val="22"/>
          <w:szCs w:val="22"/>
        </w:rPr>
        <w:t xml:space="preserve"> </w:t>
      </w:r>
      <w:r w:rsidR="005A4630" w:rsidRPr="005A4630">
        <w:rPr>
          <w:rFonts w:ascii="Arial" w:hAnsi="Arial" w:cs="Arial"/>
          <w:sz w:val="22"/>
          <w:szCs w:val="22"/>
        </w:rPr>
        <w:t>Ft</w:t>
      </w:r>
      <w:r w:rsidR="005A4630">
        <w:rPr>
          <w:rFonts w:ascii="Arial" w:hAnsi="Arial" w:cs="Arial"/>
          <w:sz w:val="22"/>
          <w:szCs w:val="22"/>
        </w:rPr>
        <w:t xml:space="preserve"> összeggel</w:t>
      </w:r>
      <w:r w:rsidR="005A4630" w:rsidRPr="005A4630">
        <w:rPr>
          <w:rFonts w:ascii="Arial" w:hAnsi="Arial" w:cs="Arial"/>
          <w:sz w:val="22"/>
          <w:szCs w:val="22"/>
        </w:rPr>
        <w:t>, 1db ipari kézimixer 205</w:t>
      </w:r>
      <w:r w:rsidR="005A4630">
        <w:rPr>
          <w:rFonts w:ascii="Arial" w:hAnsi="Arial" w:cs="Arial"/>
          <w:sz w:val="22"/>
          <w:szCs w:val="22"/>
        </w:rPr>
        <w:t> </w:t>
      </w:r>
      <w:r w:rsidR="005A4630" w:rsidRPr="005A4630">
        <w:rPr>
          <w:rFonts w:ascii="Arial" w:hAnsi="Arial" w:cs="Arial"/>
          <w:sz w:val="22"/>
          <w:szCs w:val="22"/>
        </w:rPr>
        <w:t>000</w:t>
      </w:r>
      <w:r w:rsidR="005A4630">
        <w:rPr>
          <w:rFonts w:ascii="Arial" w:hAnsi="Arial" w:cs="Arial"/>
          <w:sz w:val="22"/>
          <w:szCs w:val="22"/>
        </w:rPr>
        <w:t xml:space="preserve"> </w:t>
      </w:r>
      <w:r w:rsidR="005A4630" w:rsidRPr="005A4630">
        <w:rPr>
          <w:rFonts w:ascii="Arial" w:hAnsi="Arial" w:cs="Arial"/>
          <w:sz w:val="22"/>
          <w:szCs w:val="22"/>
        </w:rPr>
        <w:t>Ft</w:t>
      </w:r>
      <w:r w:rsidR="005A4630">
        <w:rPr>
          <w:rFonts w:ascii="Arial" w:hAnsi="Arial" w:cs="Arial"/>
          <w:sz w:val="22"/>
          <w:szCs w:val="22"/>
        </w:rPr>
        <w:t xml:space="preserve"> összeggel,</w:t>
      </w:r>
      <w:r w:rsidR="005A4630" w:rsidRPr="005A4630">
        <w:rPr>
          <w:rFonts w:ascii="Arial" w:hAnsi="Arial" w:cs="Arial"/>
          <w:sz w:val="22"/>
          <w:szCs w:val="22"/>
        </w:rPr>
        <w:t xml:space="preserve"> 1db udvari játék (gőzmozdony vagonnal) 1 300</w:t>
      </w:r>
      <w:r w:rsidR="005A4630">
        <w:rPr>
          <w:rFonts w:ascii="Arial" w:hAnsi="Arial" w:cs="Arial"/>
          <w:sz w:val="22"/>
          <w:szCs w:val="22"/>
        </w:rPr>
        <w:t> </w:t>
      </w:r>
      <w:r w:rsidR="005A4630" w:rsidRPr="005A4630">
        <w:rPr>
          <w:rFonts w:ascii="Arial" w:hAnsi="Arial" w:cs="Arial"/>
          <w:sz w:val="22"/>
          <w:szCs w:val="22"/>
        </w:rPr>
        <w:t>000</w:t>
      </w:r>
      <w:r w:rsidR="005A4630">
        <w:rPr>
          <w:rFonts w:ascii="Arial" w:hAnsi="Arial" w:cs="Arial"/>
          <w:sz w:val="22"/>
          <w:szCs w:val="22"/>
        </w:rPr>
        <w:t xml:space="preserve"> </w:t>
      </w:r>
      <w:r w:rsidR="005A4630" w:rsidRPr="005A4630">
        <w:rPr>
          <w:rFonts w:ascii="Arial" w:hAnsi="Arial" w:cs="Arial"/>
          <w:sz w:val="22"/>
          <w:szCs w:val="22"/>
        </w:rPr>
        <w:t>Ft</w:t>
      </w:r>
      <w:r w:rsidR="005A4630">
        <w:rPr>
          <w:rFonts w:ascii="Arial" w:hAnsi="Arial" w:cs="Arial"/>
          <w:sz w:val="22"/>
          <w:szCs w:val="22"/>
        </w:rPr>
        <w:t xml:space="preserve"> a b</w:t>
      </w:r>
      <w:r w:rsidR="005A4630" w:rsidRPr="005A4630">
        <w:rPr>
          <w:rFonts w:ascii="Arial" w:hAnsi="Arial" w:cs="Arial"/>
          <w:sz w:val="22"/>
          <w:szCs w:val="22"/>
        </w:rPr>
        <w:t>ölcsőd</w:t>
      </w:r>
      <w:r w:rsidR="005A4630">
        <w:rPr>
          <w:rFonts w:ascii="Arial" w:hAnsi="Arial" w:cs="Arial"/>
          <w:sz w:val="22"/>
          <w:szCs w:val="22"/>
        </w:rPr>
        <w:t xml:space="preserve">ei feladat ellátáshoz, </w:t>
      </w:r>
      <w:r w:rsidR="005A4630" w:rsidRPr="005A4630">
        <w:rPr>
          <w:rFonts w:ascii="Arial" w:hAnsi="Arial" w:cs="Arial"/>
          <w:sz w:val="22"/>
          <w:szCs w:val="22"/>
        </w:rPr>
        <w:t xml:space="preserve">,1db 3*3m </w:t>
      </w:r>
      <w:r w:rsidR="005A4630">
        <w:rPr>
          <w:rFonts w:ascii="Arial" w:hAnsi="Arial" w:cs="Arial"/>
          <w:sz w:val="22"/>
          <w:szCs w:val="22"/>
        </w:rPr>
        <w:t xml:space="preserve">nagyságú </w:t>
      </w:r>
      <w:r w:rsidR="005A4630" w:rsidRPr="005A4630">
        <w:rPr>
          <w:rFonts w:ascii="Arial" w:hAnsi="Arial" w:cs="Arial"/>
          <w:sz w:val="22"/>
          <w:szCs w:val="22"/>
        </w:rPr>
        <w:t>homokozó 300</w:t>
      </w:r>
      <w:r w:rsidR="005A4630">
        <w:rPr>
          <w:rFonts w:ascii="Arial" w:hAnsi="Arial" w:cs="Arial"/>
          <w:sz w:val="22"/>
          <w:szCs w:val="22"/>
        </w:rPr>
        <w:t> </w:t>
      </w:r>
      <w:r w:rsidR="005A4630" w:rsidRPr="005A4630">
        <w:rPr>
          <w:rFonts w:ascii="Arial" w:hAnsi="Arial" w:cs="Arial"/>
          <w:sz w:val="22"/>
          <w:szCs w:val="22"/>
        </w:rPr>
        <w:t>000</w:t>
      </w:r>
      <w:r w:rsidR="005A4630">
        <w:rPr>
          <w:rFonts w:ascii="Arial" w:hAnsi="Arial" w:cs="Arial"/>
          <w:sz w:val="22"/>
          <w:szCs w:val="22"/>
        </w:rPr>
        <w:t xml:space="preserve"> </w:t>
      </w:r>
      <w:r w:rsidR="005A4630" w:rsidRPr="005A4630">
        <w:rPr>
          <w:rFonts w:ascii="Arial" w:hAnsi="Arial" w:cs="Arial"/>
          <w:sz w:val="22"/>
          <w:szCs w:val="22"/>
        </w:rPr>
        <w:t xml:space="preserve">Ft </w:t>
      </w:r>
      <w:r w:rsidR="005A4630">
        <w:rPr>
          <w:rFonts w:ascii="Arial" w:hAnsi="Arial" w:cs="Arial"/>
          <w:sz w:val="22"/>
          <w:szCs w:val="22"/>
        </w:rPr>
        <w:t xml:space="preserve">összeggel, valamint a szakmai munka ellátásához szükséges </w:t>
      </w:r>
      <w:r w:rsidR="005A4630" w:rsidRPr="005A4630">
        <w:rPr>
          <w:rFonts w:ascii="Arial" w:hAnsi="Arial" w:cs="Arial"/>
          <w:sz w:val="22"/>
          <w:szCs w:val="22"/>
        </w:rPr>
        <w:t xml:space="preserve">5 db notebook </w:t>
      </w:r>
      <w:r w:rsidR="005A4630">
        <w:rPr>
          <w:rFonts w:ascii="Arial" w:hAnsi="Arial" w:cs="Arial"/>
          <w:sz w:val="22"/>
          <w:szCs w:val="22"/>
        </w:rPr>
        <w:t xml:space="preserve">beszerzése összesen </w:t>
      </w:r>
      <w:r w:rsidR="005A4630" w:rsidRPr="005A4630">
        <w:rPr>
          <w:rFonts w:ascii="Arial" w:hAnsi="Arial" w:cs="Arial"/>
          <w:sz w:val="22"/>
          <w:szCs w:val="22"/>
        </w:rPr>
        <w:t>1 500</w:t>
      </w:r>
      <w:r w:rsidR="005A4630">
        <w:rPr>
          <w:rFonts w:ascii="Arial" w:hAnsi="Arial" w:cs="Arial"/>
          <w:sz w:val="22"/>
          <w:szCs w:val="22"/>
        </w:rPr>
        <w:t> </w:t>
      </w:r>
      <w:r w:rsidR="005A4630" w:rsidRPr="005A4630">
        <w:rPr>
          <w:rFonts w:ascii="Arial" w:hAnsi="Arial" w:cs="Arial"/>
          <w:sz w:val="22"/>
          <w:szCs w:val="22"/>
        </w:rPr>
        <w:t>000</w:t>
      </w:r>
      <w:r w:rsidR="005A4630">
        <w:rPr>
          <w:rFonts w:ascii="Arial" w:hAnsi="Arial" w:cs="Arial"/>
          <w:sz w:val="22"/>
          <w:szCs w:val="22"/>
        </w:rPr>
        <w:t xml:space="preserve"> </w:t>
      </w:r>
      <w:r w:rsidR="005A4630" w:rsidRPr="005A4630">
        <w:rPr>
          <w:rFonts w:ascii="Arial" w:hAnsi="Arial" w:cs="Arial"/>
          <w:sz w:val="22"/>
          <w:szCs w:val="22"/>
        </w:rPr>
        <w:t xml:space="preserve">Ft </w:t>
      </w:r>
      <w:r w:rsidR="005A4630">
        <w:rPr>
          <w:rFonts w:ascii="Arial" w:hAnsi="Arial" w:cs="Arial"/>
          <w:sz w:val="22"/>
          <w:szCs w:val="22"/>
        </w:rPr>
        <w:t>összeggel.</w:t>
      </w:r>
    </w:p>
    <w:p w14:paraId="14CA7BA4" w14:textId="152E3548" w:rsidR="006325C2" w:rsidRDefault="006325C2" w:rsidP="006325C2">
      <w:pPr>
        <w:spacing w:before="120"/>
        <w:jc w:val="both"/>
        <w:rPr>
          <w:rFonts w:ascii="Arial" w:hAnsi="Arial" w:cs="Arial"/>
          <w:sz w:val="22"/>
          <w:szCs w:val="22"/>
        </w:rPr>
      </w:pPr>
      <w:r w:rsidRPr="00FD4A53">
        <w:rPr>
          <w:rFonts w:ascii="Arial" w:hAnsi="Arial" w:cs="Arial"/>
          <w:b/>
          <w:sz w:val="22"/>
          <w:szCs w:val="22"/>
          <w:u w:val="single"/>
        </w:rPr>
        <w:t>Finanszírozási kiadásaink</w:t>
      </w:r>
      <w:r w:rsidR="004631CD" w:rsidRPr="00FD4A53">
        <w:rPr>
          <w:rFonts w:ascii="Arial" w:hAnsi="Arial" w:cs="Arial"/>
          <w:sz w:val="22"/>
          <w:szCs w:val="22"/>
        </w:rPr>
        <w:t xml:space="preserve"> között </w:t>
      </w:r>
      <w:r w:rsidRPr="00FD4A53">
        <w:rPr>
          <w:rFonts w:ascii="Arial" w:hAnsi="Arial" w:cs="Arial"/>
          <w:sz w:val="22"/>
          <w:szCs w:val="22"/>
        </w:rPr>
        <w:t>a</w:t>
      </w:r>
      <w:r w:rsidR="00226E52">
        <w:rPr>
          <w:rFonts w:ascii="Arial" w:hAnsi="Arial" w:cs="Arial"/>
          <w:sz w:val="22"/>
          <w:szCs w:val="22"/>
        </w:rPr>
        <w:t xml:space="preserve"> konszolidált adatok a szerint </w:t>
      </w:r>
      <w:r w:rsidRPr="00FD4A53">
        <w:rPr>
          <w:rFonts w:ascii="Arial" w:hAnsi="Arial" w:cs="Arial"/>
          <w:sz w:val="22"/>
          <w:szCs w:val="22"/>
        </w:rPr>
        <w:t xml:space="preserve">MÁK által megelőlegezett </w:t>
      </w:r>
      <w:r w:rsidR="00FD4A53" w:rsidRPr="00FD4A53">
        <w:rPr>
          <w:rFonts w:ascii="Arial" w:hAnsi="Arial" w:cs="Arial"/>
          <w:sz w:val="22"/>
          <w:szCs w:val="22"/>
        </w:rPr>
        <w:t>31 088 602</w:t>
      </w:r>
      <w:r w:rsidR="004631CD" w:rsidRPr="00FD4A53">
        <w:rPr>
          <w:rFonts w:ascii="Arial" w:hAnsi="Arial" w:cs="Arial"/>
          <w:sz w:val="22"/>
          <w:szCs w:val="22"/>
        </w:rPr>
        <w:t xml:space="preserve"> Ft összegű forrás visszafizetése szerepel, melyet az előző évbe</w:t>
      </w:r>
      <w:r w:rsidR="0059334A" w:rsidRPr="00FD4A53">
        <w:rPr>
          <w:rFonts w:ascii="Arial" w:hAnsi="Arial" w:cs="Arial"/>
          <w:sz w:val="22"/>
          <w:szCs w:val="22"/>
        </w:rPr>
        <w:t>n a januári bérek kifizetésére</w:t>
      </w:r>
      <w:r w:rsidR="004631CD" w:rsidRPr="00FD4A53">
        <w:rPr>
          <w:rFonts w:ascii="Arial" w:hAnsi="Arial" w:cs="Arial"/>
          <w:sz w:val="22"/>
          <w:szCs w:val="22"/>
        </w:rPr>
        <w:t xml:space="preserve"> bocsátottak rendelkezésünkre</w:t>
      </w:r>
      <w:r w:rsidR="00FD4A53" w:rsidRPr="00FD4A53">
        <w:rPr>
          <w:rFonts w:ascii="Arial" w:hAnsi="Arial" w:cs="Arial"/>
          <w:sz w:val="22"/>
          <w:szCs w:val="22"/>
        </w:rPr>
        <w:t>.</w:t>
      </w:r>
    </w:p>
    <w:p w14:paraId="18CCC6FA" w14:textId="61AE38EC" w:rsidR="00B84896" w:rsidRDefault="00B84896" w:rsidP="006325C2">
      <w:pPr>
        <w:spacing w:before="120"/>
        <w:jc w:val="both"/>
        <w:rPr>
          <w:rFonts w:ascii="Arial" w:hAnsi="Arial" w:cs="Arial"/>
          <w:sz w:val="22"/>
          <w:szCs w:val="22"/>
        </w:rPr>
      </w:pPr>
      <w:r>
        <w:rPr>
          <w:rFonts w:ascii="Arial" w:hAnsi="Arial" w:cs="Arial"/>
          <w:sz w:val="22"/>
          <w:szCs w:val="22"/>
        </w:rPr>
        <w:t xml:space="preserve">A KÖH 2025. évi feladatainak finanszírozásához tervszinten </w:t>
      </w:r>
      <w:r w:rsidR="00DD29B3" w:rsidRPr="00DD29B3">
        <w:rPr>
          <w:rFonts w:ascii="Arial" w:hAnsi="Arial" w:cs="Arial"/>
          <w:sz w:val="22"/>
          <w:szCs w:val="22"/>
        </w:rPr>
        <w:t>59 084 710 Ft összeggel</w:t>
      </w:r>
      <w:r w:rsidR="00DD29B3">
        <w:rPr>
          <w:rFonts w:ascii="Arial" w:hAnsi="Arial" w:cs="Arial"/>
          <w:sz w:val="22"/>
          <w:szCs w:val="22"/>
        </w:rPr>
        <w:t xml:space="preserve"> kell hozzájárulnunk, az előző évi 42 379 423 Ft-tal szemben. A tervezett összeg március hónapban kerül korrigálásra a szervezeti struktúrában 2025. január 1-jén bekövetkezett változással összefüggő állami fi</w:t>
      </w:r>
      <w:r w:rsidR="00226E52">
        <w:rPr>
          <w:rFonts w:ascii="Arial" w:hAnsi="Arial" w:cs="Arial"/>
          <w:sz w:val="22"/>
          <w:szCs w:val="22"/>
        </w:rPr>
        <w:t>n</w:t>
      </w:r>
      <w:r w:rsidR="00DD29B3">
        <w:rPr>
          <w:rFonts w:ascii="Arial" w:hAnsi="Arial" w:cs="Arial"/>
          <w:sz w:val="22"/>
          <w:szCs w:val="22"/>
        </w:rPr>
        <w:t xml:space="preserve">anszírozás módosulásával, a kötelezettségünk az előzetes számítások szerint mintegy 7 millió Ft-tal csökkenni fog. A Keresztély Gyula Városi Könyvtár feladatainak ellátására tervszinten </w:t>
      </w:r>
      <w:r w:rsidR="007504DA" w:rsidRPr="007504DA">
        <w:rPr>
          <w:rFonts w:ascii="Arial" w:hAnsi="Arial" w:cs="Arial"/>
          <w:sz w:val="22"/>
          <w:szCs w:val="22"/>
        </w:rPr>
        <w:t>22 046</w:t>
      </w:r>
      <w:r w:rsidR="007504DA">
        <w:rPr>
          <w:rFonts w:ascii="Arial" w:hAnsi="Arial" w:cs="Arial"/>
          <w:sz w:val="22"/>
          <w:szCs w:val="22"/>
        </w:rPr>
        <w:t> </w:t>
      </w:r>
      <w:r w:rsidR="007504DA" w:rsidRPr="007504DA">
        <w:rPr>
          <w:rFonts w:ascii="Arial" w:hAnsi="Arial" w:cs="Arial"/>
          <w:sz w:val="22"/>
          <w:szCs w:val="22"/>
        </w:rPr>
        <w:t>783</w:t>
      </w:r>
      <w:r w:rsidR="007504DA">
        <w:rPr>
          <w:rFonts w:ascii="Arial" w:hAnsi="Arial" w:cs="Arial"/>
          <w:sz w:val="22"/>
          <w:szCs w:val="22"/>
        </w:rPr>
        <w:t xml:space="preserve"> Ft fedezetet tartalmaz a költségvetési javaslat a 2024. évi </w:t>
      </w:r>
      <w:r w:rsidR="007504DA" w:rsidRPr="007504DA">
        <w:rPr>
          <w:rFonts w:ascii="Arial" w:hAnsi="Arial" w:cs="Arial"/>
          <w:sz w:val="22"/>
          <w:szCs w:val="22"/>
        </w:rPr>
        <w:t>20 946</w:t>
      </w:r>
      <w:r w:rsidR="007504DA">
        <w:rPr>
          <w:rFonts w:ascii="Arial" w:hAnsi="Arial" w:cs="Arial"/>
          <w:sz w:val="22"/>
          <w:szCs w:val="22"/>
        </w:rPr>
        <w:t> </w:t>
      </w:r>
      <w:r w:rsidR="007504DA" w:rsidRPr="007504DA">
        <w:rPr>
          <w:rFonts w:ascii="Arial" w:hAnsi="Arial" w:cs="Arial"/>
          <w:sz w:val="22"/>
          <w:szCs w:val="22"/>
        </w:rPr>
        <w:t>343</w:t>
      </w:r>
      <w:r w:rsidR="007504DA">
        <w:rPr>
          <w:rFonts w:ascii="Arial" w:hAnsi="Arial" w:cs="Arial"/>
          <w:sz w:val="22"/>
          <w:szCs w:val="22"/>
        </w:rPr>
        <w:t xml:space="preserve"> Ft-tal szemben.</w:t>
      </w:r>
    </w:p>
    <w:p w14:paraId="397BA4FB" w14:textId="7B3EDE08" w:rsidR="00540853" w:rsidRPr="00FD4A53" w:rsidRDefault="00540853" w:rsidP="006325C2">
      <w:pPr>
        <w:spacing w:before="120"/>
        <w:jc w:val="both"/>
        <w:rPr>
          <w:rFonts w:ascii="Arial" w:hAnsi="Arial" w:cs="Arial"/>
          <w:sz w:val="22"/>
          <w:szCs w:val="22"/>
        </w:rPr>
      </w:pPr>
      <w:r>
        <w:rPr>
          <w:rFonts w:ascii="Arial" w:hAnsi="Arial" w:cs="Arial"/>
          <w:sz w:val="22"/>
          <w:szCs w:val="22"/>
        </w:rPr>
        <w:t xml:space="preserve">Nem tervezhető az eredeti költségvetés részeként a 70 millió Ft keretösszeggel rendelkezésre </w:t>
      </w:r>
      <w:r w:rsidR="00226E52">
        <w:rPr>
          <w:rFonts w:ascii="Arial" w:hAnsi="Arial" w:cs="Arial"/>
          <w:sz w:val="22"/>
          <w:szCs w:val="22"/>
        </w:rPr>
        <w:t xml:space="preserve">álló </w:t>
      </w:r>
      <w:r>
        <w:rPr>
          <w:rFonts w:ascii="Arial" w:hAnsi="Arial" w:cs="Arial"/>
          <w:sz w:val="22"/>
          <w:szCs w:val="22"/>
        </w:rPr>
        <w:t>folyószámlahitel esetleges felvételével összefüggő</w:t>
      </w:r>
      <w:r w:rsidR="00226E52">
        <w:rPr>
          <w:rFonts w:ascii="Arial" w:hAnsi="Arial" w:cs="Arial"/>
          <w:sz w:val="22"/>
          <w:szCs w:val="22"/>
        </w:rPr>
        <w:t xml:space="preserve"> </w:t>
      </w:r>
      <w:r>
        <w:rPr>
          <w:rFonts w:ascii="Arial" w:hAnsi="Arial" w:cs="Arial"/>
          <w:sz w:val="22"/>
          <w:szCs w:val="22"/>
        </w:rPr>
        <w:t xml:space="preserve">forgalomhoz kötődő előirányzat. </w:t>
      </w:r>
      <w:r w:rsidR="00226E52">
        <w:rPr>
          <w:rFonts w:ascii="Arial" w:hAnsi="Arial" w:cs="Arial"/>
          <w:sz w:val="22"/>
          <w:szCs w:val="22"/>
        </w:rPr>
        <w:t xml:space="preserve">Erről a </w:t>
      </w:r>
      <w:r>
        <w:rPr>
          <w:rFonts w:ascii="Arial" w:hAnsi="Arial" w:cs="Arial"/>
          <w:sz w:val="22"/>
          <w:szCs w:val="22"/>
        </w:rPr>
        <w:t>bevételi és a kiadási előirányzatok fő összegét érintő változásról az előirányzat módosítások keretében kell tájékoztatni a testületet.</w:t>
      </w:r>
    </w:p>
    <w:p w14:paraId="36F5F3CF" w14:textId="77777777" w:rsidR="006325C2" w:rsidRPr="00FD4A53" w:rsidRDefault="006325C2" w:rsidP="006325C2">
      <w:pPr>
        <w:pStyle w:val="lfej"/>
        <w:tabs>
          <w:tab w:val="clear" w:pos="4536"/>
          <w:tab w:val="right" w:pos="5160"/>
        </w:tabs>
        <w:spacing w:line="276" w:lineRule="auto"/>
        <w:rPr>
          <w:rFonts w:ascii="Arial" w:hAnsi="Arial" w:cs="Arial"/>
          <w:sz w:val="22"/>
          <w:szCs w:val="22"/>
        </w:rPr>
      </w:pPr>
    </w:p>
    <w:p w14:paraId="14970CA4" w14:textId="532CCF2E" w:rsidR="006325C2" w:rsidRPr="00FD4A53" w:rsidRDefault="006325C2" w:rsidP="006325C2">
      <w:pPr>
        <w:tabs>
          <w:tab w:val="center" w:pos="4536"/>
          <w:tab w:val="right" w:pos="5160"/>
          <w:tab w:val="right" w:pos="9072"/>
        </w:tabs>
        <w:overflowPunct w:val="0"/>
        <w:autoSpaceDE w:val="0"/>
        <w:autoSpaceDN w:val="0"/>
        <w:adjustRightInd w:val="0"/>
        <w:spacing w:line="276" w:lineRule="auto"/>
        <w:jc w:val="center"/>
        <w:textAlignment w:val="baseline"/>
        <w:rPr>
          <w:rFonts w:ascii="Arial" w:hAnsi="Arial" w:cs="Arial"/>
          <w:b/>
          <w:sz w:val="22"/>
          <w:szCs w:val="22"/>
          <w:lang w:val="x-none" w:eastAsia="hu-HU"/>
        </w:rPr>
      </w:pPr>
      <w:r w:rsidRPr="00FD4A53">
        <w:rPr>
          <w:rFonts w:ascii="Arial" w:hAnsi="Arial" w:cs="Arial"/>
          <w:b/>
          <w:sz w:val="22"/>
          <w:szCs w:val="22"/>
          <w:lang w:val="x-none" w:eastAsia="hu-HU"/>
        </w:rPr>
        <w:t>Az Áht. 24. § (4) bekezdése a) – d) pontjai által előírt  mérle</w:t>
      </w:r>
      <w:r w:rsidR="00FC2E7D" w:rsidRPr="00FD4A53">
        <w:rPr>
          <w:rFonts w:ascii="Arial" w:hAnsi="Arial" w:cs="Arial"/>
          <w:b/>
          <w:sz w:val="22"/>
          <w:szCs w:val="22"/>
          <w:lang w:val="x-none" w:eastAsia="hu-HU"/>
        </w:rPr>
        <w:t xml:space="preserve">gek, kimutatások </w:t>
      </w:r>
      <w:r w:rsidRPr="00FD4A53">
        <w:rPr>
          <w:rFonts w:ascii="Arial" w:hAnsi="Arial" w:cs="Arial"/>
          <w:b/>
          <w:sz w:val="22"/>
          <w:szCs w:val="22"/>
          <w:lang w:val="x-none" w:eastAsia="hu-HU"/>
        </w:rPr>
        <w:t>tartalma</w:t>
      </w:r>
      <w:r w:rsidR="00FC2E7D" w:rsidRPr="00FD4A53">
        <w:rPr>
          <w:rFonts w:ascii="Arial" w:hAnsi="Arial" w:cs="Arial"/>
          <w:b/>
          <w:sz w:val="22"/>
          <w:szCs w:val="22"/>
          <w:lang w:val="x-none" w:eastAsia="hu-HU"/>
        </w:rPr>
        <w:t>zzák</w:t>
      </w:r>
    </w:p>
    <w:p w14:paraId="01CCAB26" w14:textId="77777777" w:rsidR="006325C2" w:rsidRPr="00FD4A53" w:rsidRDefault="006325C2" w:rsidP="006325C2">
      <w:pPr>
        <w:tabs>
          <w:tab w:val="center" w:pos="4536"/>
          <w:tab w:val="right" w:pos="5160"/>
          <w:tab w:val="right" w:pos="9072"/>
        </w:tabs>
        <w:overflowPunct w:val="0"/>
        <w:autoSpaceDE w:val="0"/>
        <w:autoSpaceDN w:val="0"/>
        <w:adjustRightInd w:val="0"/>
        <w:spacing w:line="276" w:lineRule="auto"/>
        <w:textAlignment w:val="baseline"/>
        <w:rPr>
          <w:rFonts w:ascii="Arial" w:hAnsi="Arial" w:cs="Arial"/>
          <w:sz w:val="22"/>
          <w:szCs w:val="22"/>
          <w:lang w:val="x-none" w:eastAsia="hu-HU"/>
        </w:rPr>
      </w:pPr>
    </w:p>
    <w:p w14:paraId="23CE93CB" w14:textId="77777777" w:rsidR="006325C2" w:rsidRPr="00FD4A53" w:rsidRDefault="006325C2" w:rsidP="006325C2">
      <w:pPr>
        <w:tabs>
          <w:tab w:val="center" w:pos="4536"/>
          <w:tab w:val="right" w:pos="5160"/>
          <w:tab w:val="right" w:pos="9072"/>
        </w:tabs>
        <w:overflowPunct w:val="0"/>
        <w:autoSpaceDE w:val="0"/>
        <w:autoSpaceDN w:val="0"/>
        <w:adjustRightInd w:val="0"/>
        <w:spacing w:line="276" w:lineRule="auto"/>
        <w:textAlignment w:val="baseline"/>
        <w:rPr>
          <w:rFonts w:ascii="Arial" w:hAnsi="Arial" w:cs="Arial"/>
          <w:sz w:val="22"/>
          <w:szCs w:val="22"/>
          <w:lang w:val="x-none" w:eastAsia="hu-HU"/>
        </w:rPr>
      </w:pPr>
      <w:r w:rsidRPr="00FD4A53">
        <w:rPr>
          <w:rFonts w:ascii="Arial" w:hAnsi="Arial" w:cs="Arial"/>
          <w:sz w:val="22"/>
          <w:szCs w:val="22"/>
          <w:lang w:val="x-none" w:eastAsia="hu-HU"/>
        </w:rPr>
        <w:t xml:space="preserve">1. az önkormányzat költségvetési mérlegét közgazdasági tagolásban (összes bevételét, kiadást), </w:t>
      </w:r>
    </w:p>
    <w:p w14:paraId="4708950F" w14:textId="77777777" w:rsidR="006325C2" w:rsidRPr="00FD4A53" w:rsidRDefault="006325C2" w:rsidP="006325C2">
      <w:pPr>
        <w:tabs>
          <w:tab w:val="center" w:pos="4536"/>
          <w:tab w:val="right" w:pos="5160"/>
          <w:tab w:val="right" w:pos="9072"/>
        </w:tabs>
        <w:overflowPunct w:val="0"/>
        <w:autoSpaceDE w:val="0"/>
        <w:autoSpaceDN w:val="0"/>
        <w:adjustRightInd w:val="0"/>
        <w:spacing w:line="276" w:lineRule="auto"/>
        <w:textAlignment w:val="baseline"/>
        <w:rPr>
          <w:rFonts w:ascii="Arial" w:hAnsi="Arial" w:cs="Arial"/>
          <w:sz w:val="22"/>
          <w:szCs w:val="22"/>
          <w:lang w:val="x-none" w:eastAsia="hu-HU"/>
        </w:rPr>
      </w:pPr>
      <w:r w:rsidRPr="00FD4A53">
        <w:rPr>
          <w:rFonts w:ascii="Arial" w:hAnsi="Arial" w:cs="Arial"/>
          <w:sz w:val="22"/>
          <w:szCs w:val="22"/>
          <w:lang w:val="x-none" w:eastAsia="hu-HU"/>
        </w:rPr>
        <w:t xml:space="preserve">2. előirányzat felhasználási tervét, </w:t>
      </w:r>
    </w:p>
    <w:p w14:paraId="2F4B47C7" w14:textId="77777777" w:rsidR="006325C2" w:rsidRPr="00FD4A53" w:rsidRDefault="006325C2" w:rsidP="006325C2">
      <w:pPr>
        <w:tabs>
          <w:tab w:val="center" w:pos="4536"/>
          <w:tab w:val="right" w:pos="5160"/>
          <w:tab w:val="right" w:pos="9072"/>
        </w:tabs>
        <w:overflowPunct w:val="0"/>
        <w:autoSpaceDE w:val="0"/>
        <w:autoSpaceDN w:val="0"/>
        <w:adjustRightInd w:val="0"/>
        <w:spacing w:line="276" w:lineRule="auto"/>
        <w:textAlignment w:val="baseline"/>
        <w:rPr>
          <w:rFonts w:ascii="Arial" w:hAnsi="Arial" w:cs="Arial"/>
          <w:sz w:val="22"/>
          <w:szCs w:val="22"/>
          <w:lang w:val="x-none" w:eastAsia="hu-HU"/>
        </w:rPr>
      </w:pPr>
      <w:r w:rsidRPr="00FD4A53">
        <w:rPr>
          <w:rFonts w:ascii="Arial" w:hAnsi="Arial" w:cs="Arial"/>
          <w:sz w:val="22"/>
          <w:szCs w:val="22"/>
          <w:lang w:val="x-none" w:eastAsia="hu-HU"/>
        </w:rPr>
        <w:t>3.</w:t>
      </w:r>
      <w:r w:rsidRPr="00FD4A53">
        <w:rPr>
          <w:rFonts w:ascii="Arial" w:hAnsi="Arial" w:cs="Arial"/>
          <w:sz w:val="22"/>
          <w:szCs w:val="22"/>
          <w:lang w:val="x-none" w:eastAsia="hu-HU"/>
        </w:rPr>
        <w:tab/>
        <w:t xml:space="preserve"> a többéves kihatással járó döntések számszerűsítését évenkénti bontásban és összesítve, </w:t>
      </w:r>
    </w:p>
    <w:p w14:paraId="760D6346" w14:textId="77777777" w:rsidR="006325C2" w:rsidRPr="00FD4A53" w:rsidRDefault="006325C2" w:rsidP="006325C2">
      <w:pPr>
        <w:tabs>
          <w:tab w:val="center" w:pos="4536"/>
          <w:tab w:val="right" w:pos="5160"/>
          <w:tab w:val="right" w:pos="9072"/>
        </w:tabs>
        <w:overflowPunct w:val="0"/>
        <w:autoSpaceDE w:val="0"/>
        <w:autoSpaceDN w:val="0"/>
        <w:adjustRightInd w:val="0"/>
        <w:spacing w:line="276" w:lineRule="auto"/>
        <w:textAlignment w:val="baseline"/>
        <w:rPr>
          <w:rFonts w:ascii="Arial" w:hAnsi="Arial" w:cs="Arial"/>
          <w:sz w:val="22"/>
          <w:szCs w:val="22"/>
          <w:lang w:val="x-none" w:eastAsia="hu-HU"/>
        </w:rPr>
      </w:pPr>
      <w:r w:rsidRPr="00FD4A53">
        <w:rPr>
          <w:rFonts w:ascii="Arial" w:hAnsi="Arial" w:cs="Arial"/>
          <w:sz w:val="22"/>
          <w:szCs w:val="22"/>
          <w:lang w:val="x-none" w:eastAsia="hu-HU"/>
        </w:rPr>
        <w:t>4. a közvetett támogatásokat (</w:t>
      </w:r>
      <w:proofErr w:type="spellStart"/>
      <w:r w:rsidRPr="00FD4A53">
        <w:rPr>
          <w:rFonts w:ascii="Arial" w:hAnsi="Arial" w:cs="Arial"/>
          <w:sz w:val="22"/>
          <w:szCs w:val="22"/>
          <w:lang w:val="x-none" w:eastAsia="hu-HU"/>
        </w:rPr>
        <w:t>pl</w:t>
      </w:r>
      <w:proofErr w:type="spellEnd"/>
      <w:r w:rsidRPr="00FD4A53">
        <w:rPr>
          <w:rFonts w:ascii="Arial" w:hAnsi="Arial" w:cs="Arial"/>
          <w:sz w:val="22"/>
          <w:szCs w:val="22"/>
          <w:lang w:val="x-none" w:eastAsia="hu-HU"/>
        </w:rPr>
        <w:t xml:space="preserve">: adóelengedéseket, adókedvezményeket) tartalmazó kimutatást. </w:t>
      </w:r>
    </w:p>
    <w:p w14:paraId="7AA6674B" w14:textId="77777777" w:rsidR="006325C2" w:rsidRPr="00FD4A53" w:rsidRDefault="006325C2" w:rsidP="006325C2">
      <w:pPr>
        <w:tabs>
          <w:tab w:val="center" w:pos="4536"/>
          <w:tab w:val="right" w:pos="5160"/>
          <w:tab w:val="right" w:pos="9072"/>
        </w:tabs>
        <w:overflowPunct w:val="0"/>
        <w:autoSpaceDE w:val="0"/>
        <w:autoSpaceDN w:val="0"/>
        <w:adjustRightInd w:val="0"/>
        <w:spacing w:line="276" w:lineRule="auto"/>
        <w:textAlignment w:val="baseline"/>
        <w:rPr>
          <w:rFonts w:ascii="Arial" w:hAnsi="Arial" w:cs="Arial"/>
          <w:sz w:val="22"/>
          <w:szCs w:val="22"/>
          <w:lang w:val="x-none" w:eastAsia="hu-HU"/>
        </w:rPr>
      </w:pPr>
      <w:r w:rsidRPr="00FD4A53">
        <w:rPr>
          <w:rFonts w:ascii="Arial" w:hAnsi="Arial" w:cs="Arial"/>
          <w:sz w:val="22"/>
          <w:szCs w:val="22"/>
          <w:lang w:val="x-none" w:eastAsia="hu-HU"/>
        </w:rPr>
        <w:t>5.</w:t>
      </w:r>
      <w:r w:rsidRPr="00FD4A53">
        <w:rPr>
          <w:rFonts w:ascii="Arial" w:hAnsi="Arial" w:cs="Arial"/>
          <w:sz w:val="22"/>
          <w:szCs w:val="22"/>
          <w:lang w:val="x-none" w:eastAsia="hu-HU"/>
        </w:rPr>
        <w:tab/>
        <w:t xml:space="preserve"> az Áht. 29/A. § szerinti tervszámoknak megfelelően a költségvetési évet követő három év tervezett előirányzatainak keretszámait főbb csoportokban, és a 29/A. § szerinti tervszámoktól történő esetleges eltérés indokait.</w:t>
      </w:r>
    </w:p>
    <w:p w14:paraId="5CD5939E" w14:textId="79E84E43" w:rsidR="006325C2" w:rsidRPr="00FD4A53" w:rsidRDefault="006325C2" w:rsidP="006325C2">
      <w:pPr>
        <w:tabs>
          <w:tab w:val="right" w:pos="5160"/>
          <w:tab w:val="right" w:pos="9072"/>
        </w:tabs>
        <w:overflowPunct w:val="0"/>
        <w:autoSpaceDE w:val="0"/>
        <w:autoSpaceDN w:val="0"/>
        <w:adjustRightInd w:val="0"/>
        <w:spacing w:line="276" w:lineRule="auto"/>
        <w:textAlignment w:val="baseline"/>
        <w:rPr>
          <w:rFonts w:ascii="Arial" w:hAnsi="Arial" w:cs="Arial"/>
          <w:sz w:val="22"/>
          <w:szCs w:val="22"/>
          <w:lang w:val="x-none" w:eastAsia="hu-HU"/>
        </w:rPr>
      </w:pPr>
      <w:r w:rsidRPr="00FD4A53">
        <w:rPr>
          <w:rFonts w:ascii="Arial" w:hAnsi="Arial" w:cs="Arial"/>
          <w:sz w:val="22"/>
          <w:szCs w:val="22"/>
          <w:lang w:val="x-none" w:eastAsia="hu-HU"/>
        </w:rPr>
        <w:t>A tájékoztató mérlegeket, kimu</w:t>
      </w:r>
      <w:r w:rsidR="00343350">
        <w:rPr>
          <w:rFonts w:ascii="Arial" w:hAnsi="Arial" w:cs="Arial"/>
          <w:sz w:val="22"/>
          <w:szCs w:val="22"/>
          <w:lang w:val="x-none" w:eastAsia="hu-HU"/>
        </w:rPr>
        <w:t>tatásokat az előterjesztés 13-21</w:t>
      </w:r>
      <w:r w:rsidRPr="00FD4A53">
        <w:rPr>
          <w:rFonts w:ascii="Arial" w:hAnsi="Arial" w:cs="Arial"/>
          <w:sz w:val="22"/>
          <w:szCs w:val="22"/>
          <w:lang w:val="x-none" w:eastAsia="hu-HU"/>
        </w:rPr>
        <w:t>. mellékletei tartalmazzák.</w:t>
      </w:r>
    </w:p>
    <w:p w14:paraId="620D6A1D" w14:textId="43033D01" w:rsidR="006325C2" w:rsidRPr="00FD4A53" w:rsidRDefault="006325C2" w:rsidP="006325C2">
      <w:pPr>
        <w:jc w:val="both"/>
        <w:rPr>
          <w:rFonts w:ascii="Arial" w:hAnsi="Arial" w:cs="Arial"/>
          <w:bCs/>
          <w:sz w:val="22"/>
          <w:szCs w:val="22"/>
        </w:rPr>
      </w:pPr>
    </w:p>
    <w:p w14:paraId="37ACBFC4" w14:textId="342CC3D9" w:rsidR="000315B2" w:rsidRPr="002A2B45" w:rsidRDefault="000315B2" w:rsidP="000315B2">
      <w:pPr>
        <w:tabs>
          <w:tab w:val="center" w:pos="4536"/>
          <w:tab w:val="right" w:pos="5160"/>
          <w:tab w:val="right" w:pos="9072"/>
        </w:tabs>
        <w:overflowPunct w:val="0"/>
        <w:autoSpaceDE w:val="0"/>
        <w:autoSpaceDN w:val="0"/>
        <w:adjustRightInd w:val="0"/>
        <w:textAlignment w:val="baseline"/>
        <w:rPr>
          <w:rFonts w:ascii="Arial" w:hAnsi="Arial" w:cs="Arial"/>
          <w:b/>
          <w:sz w:val="22"/>
          <w:szCs w:val="22"/>
          <w:lang w:eastAsia="hu-HU"/>
        </w:rPr>
      </w:pPr>
      <w:r w:rsidRPr="002A2B45">
        <w:rPr>
          <w:rFonts w:ascii="Arial" w:hAnsi="Arial" w:cs="Arial"/>
          <w:b/>
          <w:sz w:val="22"/>
          <w:szCs w:val="22"/>
          <w:lang w:eastAsia="hu-HU"/>
        </w:rPr>
        <w:t>Tisztelt Képviselő</w:t>
      </w:r>
      <w:r w:rsidR="008D363E" w:rsidRPr="002A2B45">
        <w:rPr>
          <w:rFonts w:ascii="Arial" w:hAnsi="Arial" w:cs="Arial"/>
          <w:b/>
          <w:sz w:val="22"/>
          <w:szCs w:val="22"/>
          <w:lang w:eastAsia="hu-HU"/>
        </w:rPr>
        <w:t>-</w:t>
      </w:r>
      <w:r w:rsidRPr="002A2B45">
        <w:rPr>
          <w:rFonts w:ascii="Arial" w:hAnsi="Arial" w:cs="Arial"/>
          <w:b/>
          <w:sz w:val="22"/>
          <w:szCs w:val="22"/>
          <w:lang w:eastAsia="hu-HU"/>
        </w:rPr>
        <w:t>testület!</w:t>
      </w:r>
    </w:p>
    <w:p w14:paraId="794584E3" w14:textId="77777777" w:rsidR="000315B2" w:rsidRPr="002A2B45" w:rsidRDefault="000315B2" w:rsidP="000315B2">
      <w:pPr>
        <w:tabs>
          <w:tab w:val="center" w:pos="4536"/>
          <w:tab w:val="right" w:pos="5160"/>
          <w:tab w:val="right" w:pos="9072"/>
        </w:tabs>
        <w:overflowPunct w:val="0"/>
        <w:autoSpaceDE w:val="0"/>
        <w:autoSpaceDN w:val="0"/>
        <w:adjustRightInd w:val="0"/>
        <w:textAlignment w:val="baseline"/>
        <w:rPr>
          <w:rFonts w:ascii="Arial" w:hAnsi="Arial" w:cs="Arial"/>
          <w:b/>
          <w:sz w:val="22"/>
          <w:szCs w:val="22"/>
          <w:lang w:eastAsia="hu-HU"/>
        </w:rPr>
      </w:pPr>
    </w:p>
    <w:p w14:paraId="7B07EBA0" w14:textId="14224D31"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Az államháztartásról szóló 2011. évi CXCV. törvény (a továbbiakban: Áht.) 29/A. §-</w:t>
      </w:r>
      <w:proofErr w:type="spellStart"/>
      <w:r w:rsidRPr="002A2B45">
        <w:rPr>
          <w:rFonts w:ascii="Arial" w:hAnsi="Arial" w:cs="Arial"/>
          <w:sz w:val="22"/>
          <w:szCs w:val="22"/>
          <w:lang w:eastAsia="hu-HU"/>
        </w:rPr>
        <w:t>ában</w:t>
      </w:r>
      <w:proofErr w:type="spellEnd"/>
      <w:r w:rsidRPr="002A2B45">
        <w:rPr>
          <w:rFonts w:ascii="Arial" w:hAnsi="Arial" w:cs="Arial"/>
          <w:sz w:val="22"/>
          <w:szCs w:val="22"/>
          <w:lang w:eastAsia="hu-HU"/>
        </w:rPr>
        <w:t xml:space="preserve"> foglaltak alapján a helyi önkormányzatok középtávú tervezési feladatainak végrehajtása keretében a Magyarország gazdasági stabilitásáról szóló 2011. évi CXCIV. törvény (a továbbiakban: </w:t>
      </w:r>
      <w:proofErr w:type="spellStart"/>
      <w:r w:rsidRPr="002A2B45">
        <w:rPr>
          <w:rFonts w:ascii="Arial" w:hAnsi="Arial" w:cs="Arial"/>
          <w:sz w:val="22"/>
          <w:szCs w:val="22"/>
          <w:lang w:eastAsia="hu-HU"/>
        </w:rPr>
        <w:t>Gst</w:t>
      </w:r>
      <w:proofErr w:type="spellEnd"/>
      <w:r w:rsidRPr="002A2B45">
        <w:rPr>
          <w:rFonts w:ascii="Arial" w:hAnsi="Arial" w:cs="Arial"/>
          <w:sz w:val="22"/>
          <w:szCs w:val="22"/>
          <w:lang w:eastAsia="hu-HU"/>
        </w:rPr>
        <w:t xml:space="preserve">.) szerinti saját bevételek és adósságot keletkeztető ügyletek jóváhagyását </w:t>
      </w:r>
      <w:r w:rsidR="0078464E" w:rsidRPr="002A2B45">
        <w:rPr>
          <w:rFonts w:ascii="Arial" w:hAnsi="Arial" w:cs="Arial"/>
          <w:sz w:val="22"/>
          <w:szCs w:val="22"/>
          <w:lang w:eastAsia="hu-HU"/>
        </w:rPr>
        <w:t xml:space="preserve">is </w:t>
      </w:r>
      <w:r w:rsidRPr="002A2B45">
        <w:rPr>
          <w:rFonts w:ascii="Arial" w:hAnsi="Arial" w:cs="Arial"/>
          <w:sz w:val="22"/>
          <w:szCs w:val="22"/>
          <w:lang w:eastAsia="hu-HU"/>
        </w:rPr>
        <w:t>előterjesztem.</w:t>
      </w:r>
    </w:p>
    <w:p w14:paraId="79E7605E"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3C68F11B"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Az Áht. 29/A. §-a </w:t>
      </w:r>
      <w:proofErr w:type="spellStart"/>
      <w:r w:rsidRPr="002A2B45">
        <w:rPr>
          <w:rFonts w:ascii="Arial" w:hAnsi="Arial" w:cs="Arial"/>
          <w:sz w:val="22"/>
          <w:szCs w:val="22"/>
          <w:lang w:eastAsia="hu-HU"/>
        </w:rPr>
        <w:t>a</w:t>
      </w:r>
      <w:proofErr w:type="spellEnd"/>
      <w:r w:rsidRPr="002A2B45">
        <w:rPr>
          <w:rFonts w:ascii="Arial" w:hAnsi="Arial" w:cs="Arial"/>
          <w:sz w:val="22"/>
          <w:szCs w:val="22"/>
          <w:lang w:eastAsia="hu-HU"/>
        </w:rPr>
        <w:t xml:space="preserve"> következőket tartalmazza: „A helyi önkormányzat, a nemzetiségi önkormányzat és a társulás évente, legkésőbb a költségvetési rendelet, határozat elfogadásáig határozatban állapítja meg:</w:t>
      </w:r>
    </w:p>
    <w:p w14:paraId="20F6757F"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a)</w:t>
      </w:r>
      <w:r w:rsidRPr="002A2B45">
        <w:rPr>
          <w:rFonts w:ascii="Arial" w:hAnsi="Arial" w:cs="Arial"/>
          <w:sz w:val="22"/>
          <w:szCs w:val="22"/>
          <w:lang w:eastAsia="hu-HU"/>
        </w:rPr>
        <w:tab/>
        <w:t xml:space="preserve">a </w:t>
      </w:r>
      <w:proofErr w:type="spellStart"/>
      <w:r w:rsidRPr="002A2B45">
        <w:rPr>
          <w:rFonts w:ascii="Arial" w:hAnsi="Arial" w:cs="Arial"/>
          <w:sz w:val="22"/>
          <w:szCs w:val="22"/>
          <w:lang w:eastAsia="hu-HU"/>
        </w:rPr>
        <w:t>Gst</w:t>
      </w:r>
      <w:proofErr w:type="spellEnd"/>
      <w:r w:rsidRPr="002A2B45">
        <w:rPr>
          <w:rFonts w:ascii="Arial" w:hAnsi="Arial" w:cs="Arial"/>
          <w:sz w:val="22"/>
          <w:szCs w:val="22"/>
          <w:lang w:eastAsia="hu-HU"/>
        </w:rPr>
        <w:t>. 45. § (1) bekezdés a) pontjában kapott felhatalmazás alapján kiadott jogszabályban meghatározottak szerinti saját bevételeinek és</w:t>
      </w:r>
    </w:p>
    <w:p w14:paraId="2A065710"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b)</w:t>
      </w:r>
      <w:r w:rsidRPr="002A2B45">
        <w:rPr>
          <w:rFonts w:ascii="Arial" w:hAnsi="Arial" w:cs="Arial"/>
          <w:sz w:val="22"/>
          <w:szCs w:val="22"/>
          <w:lang w:eastAsia="hu-HU"/>
        </w:rPr>
        <w:tab/>
        <w:t xml:space="preserve"> a </w:t>
      </w:r>
      <w:proofErr w:type="spellStart"/>
      <w:r w:rsidRPr="002A2B45">
        <w:rPr>
          <w:rFonts w:ascii="Arial" w:hAnsi="Arial" w:cs="Arial"/>
          <w:sz w:val="22"/>
          <w:szCs w:val="22"/>
          <w:lang w:eastAsia="hu-HU"/>
        </w:rPr>
        <w:t>Gst</w:t>
      </w:r>
      <w:proofErr w:type="spellEnd"/>
      <w:r w:rsidRPr="002A2B45">
        <w:rPr>
          <w:rFonts w:ascii="Arial" w:hAnsi="Arial" w:cs="Arial"/>
          <w:sz w:val="22"/>
          <w:szCs w:val="22"/>
          <w:lang w:eastAsia="hu-HU"/>
        </w:rPr>
        <w:t>. 8. § (2) bekezdése szerinti adósságot keletkeztető ügyleteiből eredő fizetési kötelezettségeinek</w:t>
      </w:r>
    </w:p>
    <w:p w14:paraId="5046D70E"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a költségvetési évet követő három évre várható összegét.”</w:t>
      </w:r>
    </w:p>
    <w:p w14:paraId="48B5108C"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6548AA3E"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Az adósságot keletkeztető ügylet tekintetében a </w:t>
      </w:r>
      <w:proofErr w:type="spellStart"/>
      <w:r w:rsidRPr="002A2B45">
        <w:rPr>
          <w:rFonts w:ascii="Arial" w:hAnsi="Arial" w:cs="Arial"/>
          <w:sz w:val="22"/>
          <w:szCs w:val="22"/>
          <w:lang w:eastAsia="hu-HU"/>
        </w:rPr>
        <w:t>Gst</w:t>
      </w:r>
      <w:proofErr w:type="spellEnd"/>
      <w:r w:rsidRPr="002A2B45">
        <w:rPr>
          <w:rFonts w:ascii="Arial" w:hAnsi="Arial" w:cs="Arial"/>
          <w:sz w:val="22"/>
          <w:szCs w:val="22"/>
          <w:lang w:eastAsia="hu-HU"/>
        </w:rPr>
        <w:t>. 8. § (2) bekezdése, 10.-10/F. §-a, valamint az adósságot keletkeztető ügyletekhez történő hozzájárulás részletes szabályairól szóló 353/2011. (XII. 30.) Korm. rendelet (a továbbiakban: Kormányrendelet) előírásait kell a határozat elfogadásánál figyelembe venni.</w:t>
      </w:r>
    </w:p>
    <w:p w14:paraId="2FB7EF21"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3E5DA054"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A </w:t>
      </w:r>
      <w:proofErr w:type="spellStart"/>
      <w:r w:rsidRPr="002A2B45">
        <w:rPr>
          <w:rFonts w:ascii="Arial" w:hAnsi="Arial" w:cs="Arial"/>
          <w:sz w:val="22"/>
          <w:szCs w:val="22"/>
          <w:lang w:eastAsia="hu-HU"/>
        </w:rPr>
        <w:t>Gst</w:t>
      </w:r>
      <w:proofErr w:type="spellEnd"/>
      <w:r w:rsidRPr="002A2B45">
        <w:rPr>
          <w:rFonts w:ascii="Arial" w:hAnsi="Arial" w:cs="Arial"/>
          <w:sz w:val="22"/>
          <w:szCs w:val="22"/>
          <w:lang w:eastAsia="hu-HU"/>
        </w:rPr>
        <w:t xml:space="preserve">. 10. § (1) bekezdése a következőket tartalmazza: „Az önkormányzat érvényesen kizárólag a Kormány előzetes hozzájárulásával vállalhat a Polgári Törvénykönyv szerinti kezességet és garanciát, valamint köthet adósságot keletkeztető ügyletet.” A 10. § (3) bekezdés a)-d) pontja tartalmazza azokat a kivételi köröket is, amely esetben a Kormány hozzájárulása nem szükséges. Nincs szükség többek között a Kormány hozzájárulására az önkormányzat jogszabályon alapuló, kötelező kezesség-, illetve garanciavállalásához, a naptári éven belül lejáró adósságot keletkeztető ügyletéhez, a központi költségvetésből nyújtott európai uniós vagy más nemzetközi szervezettől az önkormányzat által elnyert, fejlesztési célú támogatás előfinanszírozásának biztosítására szolgáló esetben, vagy például, ha az önkormányzati többségi tulajdonban álló gazdasági társaság által a naptári éven belül keletkeztetett és lejáró futamidejű adósságot keletkeztető ügylethez kapcsolódik. </w:t>
      </w:r>
    </w:p>
    <w:p w14:paraId="28DC7A1A"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Feltétel az adósságot keletkeztető ügyletek jóváhagyásához, hogy az önkormányzat adósságot keletkeztető ügyletből származó tárgyévi fizetési kötelezettsége a futamidő végéig egyik évben sem haladhatja meg a saját bevételek 50 %-át. </w:t>
      </w:r>
    </w:p>
    <w:p w14:paraId="2D450B24"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4CC939CC"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A saját bevételek körét a Kormányrendelet rögzíti. </w:t>
      </w:r>
    </w:p>
    <w:p w14:paraId="5EBB1928"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3DD1FE0E" w14:textId="2FAFAF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Bátaszék Város Önkormányzatának adósságot keletkeztető ügyletből eredő kötelezettsége </w:t>
      </w:r>
      <w:r w:rsidR="00E25B37" w:rsidRPr="002A2B45">
        <w:rPr>
          <w:rFonts w:ascii="Arial" w:hAnsi="Arial" w:cs="Arial"/>
          <w:sz w:val="22"/>
          <w:szCs w:val="22"/>
          <w:lang w:eastAsia="hu-HU"/>
        </w:rPr>
        <w:t xml:space="preserve">a lízing kötelezettségen kívül </w:t>
      </w:r>
      <w:r w:rsidRPr="002A2B45">
        <w:rPr>
          <w:rFonts w:ascii="Arial" w:hAnsi="Arial" w:cs="Arial"/>
          <w:sz w:val="22"/>
          <w:szCs w:val="22"/>
          <w:lang w:eastAsia="hu-HU"/>
        </w:rPr>
        <w:t xml:space="preserve">nem áll fenn. </w:t>
      </w:r>
    </w:p>
    <w:p w14:paraId="3C0C424B"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3D57FD9B"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Az adósság-keletkeztetési szándékról az önkormányzatoknak az elfogadott határozat alapján tájékoztatási kötelezettsége áll fenn a Kormány felé.</w:t>
      </w:r>
    </w:p>
    <w:p w14:paraId="73A8EC49" w14:textId="77777777" w:rsidR="000315B2" w:rsidRPr="00A82F71"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highlight w:val="yellow"/>
          <w:lang w:eastAsia="hu-HU"/>
        </w:rPr>
      </w:pPr>
    </w:p>
    <w:p w14:paraId="327DA993" w14:textId="768A495E"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A Testület a 202</w:t>
      </w:r>
      <w:r w:rsidR="002A2B45" w:rsidRPr="002A2B45">
        <w:rPr>
          <w:rFonts w:ascii="Arial" w:hAnsi="Arial" w:cs="Arial"/>
          <w:sz w:val="22"/>
          <w:szCs w:val="22"/>
          <w:lang w:eastAsia="hu-HU"/>
        </w:rPr>
        <w:t>5</w:t>
      </w:r>
      <w:r w:rsidRPr="002A2B45">
        <w:rPr>
          <w:rFonts w:ascii="Arial" w:hAnsi="Arial" w:cs="Arial"/>
          <w:sz w:val="22"/>
          <w:szCs w:val="22"/>
          <w:lang w:eastAsia="hu-HU"/>
        </w:rPr>
        <w:t>. évre és az azt követő három évre adósságot keletkeztető ügylet lebonyolítását nem tervezi, emiatt a bemutatásra kerülő, 202</w:t>
      </w:r>
      <w:r w:rsidR="002A2B45" w:rsidRPr="002A2B45">
        <w:rPr>
          <w:rFonts w:ascii="Arial" w:hAnsi="Arial" w:cs="Arial"/>
          <w:sz w:val="22"/>
          <w:szCs w:val="22"/>
          <w:lang w:eastAsia="hu-HU"/>
        </w:rPr>
        <w:t>6</w:t>
      </w:r>
      <w:r w:rsidRPr="002A2B45">
        <w:rPr>
          <w:rFonts w:ascii="Arial" w:hAnsi="Arial" w:cs="Arial"/>
          <w:sz w:val="22"/>
          <w:szCs w:val="22"/>
          <w:lang w:eastAsia="hu-HU"/>
        </w:rPr>
        <w:t>-202</w:t>
      </w:r>
      <w:r w:rsidR="002A2B45" w:rsidRPr="002A2B45">
        <w:rPr>
          <w:rFonts w:ascii="Arial" w:hAnsi="Arial" w:cs="Arial"/>
          <w:sz w:val="22"/>
          <w:szCs w:val="22"/>
          <w:lang w:eastAsia="hu-HU"/>
        </w:rPr>
        <w:t>8</w:t>
      </w:r>
      <w:r w:rsidRPr="002A2B45">
        <w:rPr>
          <w:rFonts w:ascii="Arial" w:hAnsi="Arial" w:cs="Arial"/>
          <w:sz w:val="22"/>
          <w:szCs w:val="22"/>
          <w:lang w:eastAsia="hu-HU"/>
        </w:rPr>
        <w:t>. évi tervadatok az adósságot keletkeztető ügyletek tekintetében nulla Ft értékeket tartalmaznak.</w:t>
      </w:r>
    </w:p>
    <w:p w14:paraId="19DF4C63"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26823F98" w14:textId="77777777" w:rsidR="000315B2" w:rsidRPr="002A2B45" w:rsidRDefault="000315B2" w:rsidP="000315B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Kérem a Testületet, hogy a jogszabályi előírásokra figyelemmel a </w:t>
      </w:r>
      <w:r w:rsidRPr="0036003D">
        <w:rPr>
          <w:rFonts w:ascii="Arial" w:hAnsi="Arial" w:cs="Arial"/>
          <w:b/>
          <w:sz w:val="22"/>
          <w:szCs w:val="22"/>
          <w:lang w:eastAsia="hu-HU"/>
        </w:rPr>
        <w:t xml:space="preserve">határozati javaslatot </w:t>
      </w:r>
      <w:r w:rsidRPr="002A2B45">
        <w:rPr>
          <w:rFonts w:ascii="Arial" w:hAnsi="Arial" w:cs="Arial"/>
          <w:sz w:val="22"/>
          <w:szCs w:val="22"/>
          <w:lang w:eastAsia="hu-HU"/>
        </w:rPr>
        <w:t>fogadja el.</w:t>
      </w:r>
    </w:p>
    <w:p w14:paraId="6DCE6496" w14:textId="77777777" w:rsidR="006325C2" w:rsidRPr="002A2B45" w:rsidRDefault="006325C2" w:rsidP="006325C2">
      <w:pPr>
        <w:tabs>
          <w:tab w:val="center" w:pos="4536"/>
          <w:tab w:val="right" w:pos="5160"/>
          <w:tab w:val="right" w:pos="9072"/>
        </w:tabs>
        <w:overflowPunct w:val="0"/>
        <w:autoSpaceDE w:val="0"/>
        <w:autoSpaceDN w:val="0"/>
        <w:adjustRightInd w:val="0"/>
        <w:textAlignment w:val="baseline"/>
        <w:rPr>
          <w:rFonts w:ascii="Arial" w:hAnsi="Arial" w:cs="Arial"/>
          <w:b/>
          <w:sz w:val="22"/>
          <w:szCs w:val="22"/>
          <w:lang w:eastAsia="hu-HU"/>
        </w:rPr>
      </w:pPr>
    </w:p>
    <w:p w14:paraId="5DC8CF67" w14:textId="77777777" w:rsidR="0062625B" w:rsidRPr="002A2B45" w:rsidRDefault="0062625B" w:rsidP="006325C2">
      <w:pPr>
        <w:tabs>
          <w:tab w:val="center" w:pos="4536"/>
          <w:tab w:val="right" w:pos="5160"/>
          <w:tab w:val="right" w:pos="9072"/>
        </w:tabs>
        <w:overflowPunct w:val="0"/>
        <w:autoSpaceDE w:val="0"/>
        <w:autoSpaceDN w:val="0"/>
        <w:adjustRightInd w:val="0"/>
        <w:textAlignment w:val="baseline"/>
        <w:rPr>
          <w:rFonts w:ascii="Arial" w:hAnsi="Arial" w:cs="Arial"/>
          <w:b/>
          <w:sz w:val="22"/>
          <w:szCs w:val="22"/>
          <w:lang w:eastAsia="hu-HU"/>
        </w:rPr>
      </w:pPr>
    </w:p>
    <w:p w14:paraId="21F5BB71" w14:textId="34773F6C" w:rsidR="006325C2" w:rsidRPr="00A82F71" w:rsidRDefault="006325C2" w:rsidP="006325C2">
      <w:pPr>
        <w:tabs>
          <w:tab w:val="center" w:pos="4536"/>
          <w:tab w:val="right" w:pos="5160"/>
          <w:tab w:val="right" w:pos="9072"/>
        </w:tabs>
        <w:overflowPunct w:val="0"/>
        <w:autoSpaceDE w:val="0"/>
        <w:autoSpaceDN w:val="0"/>
        <w:adjustRightInd w:val="0"/>
        <w:textAlignment w:val="baseline"/>
        <w:rPr>
          <w:rFonts w:ascii="Arial" w:hAnsi="Arial" w:cs="Arial"/>
          <w:b/>
          <w:sz w:val="22"/>
          <w:szCs w:val="22"/>
          <w:highlight w:val="yellow"/>
          <w:lang w:eastAsia="hu-HU"/>
        </w:rPr>
      </w:pPr>
      <w:r w:rsidRPr="002A2B45">
        <w:rPr>
          <w:rFonts w:ascii="Arial" w:hAnsi="Arial" w:cs="Arial"/>
          <w:b/>
          <w:sz w:val="22"/>
          <w:szCs w:val="22"/>
          <w:lang w:eastAsia="hu-HU"/>
        </w:rPr>
        <w:t>Tisztelt Képviselő-testület!</w:t>
      </w:r>
    </w:p>
    <w:p w14:paraId="6B2495B8" w14:textId="77777777" w:rsidR="006325C2" w:rsidRPr="00A82F71" w:rsidRDefault="006325C2" w:rsidP="006325C2">
      <w:pPr>
        <w:tabs>
          <w:tab w:val="center" w:pos="4536"/>
          <w:tab w:val="right" w:pos="5160"/>
          <w:tab w:val="right" w:pos="9072"/>
        </w:tabs>
        <w:overflowPunct w:val="0"/>
        <w:autoSpaceDE w:val="0"/>
        <w:autoSpaceDN w:val="0"/>
        <w:adjustRightInd w:val="0"/>
        <w:textAlignment w:val="baseline"/>
        <w:rPr>
          <w:rFonts w:ascii="Arial" w:hAnsi="Arial" w:cs="Arial"/>
          <w:sz w:val="22"/>
          <w:szCs w:val="22"/>
          <w:highlight w:val="yellow"/>
          <w:lang w:eastAsia="hu-HU"/>
        </w:rPr>
      </w:pPr>
    </w:p>
    <w:p w14:paraId="7590B278"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A jogalkotásról szóló 2010. évi CXXX. törvény (</w:t>
      </w:r>
      <w:proofErr w:type="spellStart"/>
      <w:r w:rsidRPr="002A2B45">
        <w:rPr>
          <w:rFonts w:ascii="Arial" w:hAnsi="Arial" w:cs="Arial"/>
          <w:sz w:val="22"/>
          <w:szCs w:val="22"/>
          <w:lang w:eastAsia="hu-HU"/>
        </w:rPr>
        <w:t>Jat</w:t>
      </w:r>
      <w:proofErr w:type="spellEnd"/>
      <w:r w:rsidRPr="002A2B45">
        <w:rPr>
          <w:rFonts w:ascii="Arial" w:hAnsi="Arial" w:cs="Arial"/>
          <w:sz w:val="22"/>
          <w:szCs w:val="22"/>
          <w:lang w:eastAsia="hu-HU"/>
        </w:rPr>
        <w:t>.) 17. §-a alapján a költségvetési rendeletet előkészítő jegyző előzetes hatásvizsgálatot végzett, melyben felmérte a szabályozás várható következményeit.</w:t>
      </w:r>
    </w:p>
    <w:p w14:paraId="4B1BA4E6"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7E91D668"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36003D">
        <w:rPr>
          <w:rFonts w:ascii="Arial" w:hAnsi="Arial" w:cs="Arial"/>
          <w:b/>
          <w:sz w:val="22"/>
          <w:szCs w:val="22"/>
          <w:lang w:eastAsia="hu-HU"/>
        </w:rPr>
        <w:t>A költségvetési rendelettervezet</w:t>
      </w:r>
      <w:r w:rsidRPr="002A2B45">
        <w:rPr>
          <w:rFonts w:ascii="Arial" w:hAnsi="Arial" w:cs="Arial"/>
          <w:sz w:val="22"/>
          <w:szCs w:val="22"/>
          <w:lang w:eastAsia="hu-HU"/>
        </w:rPr>
        <w:t xml:space="preserve"> előzetes hatásvizsgálatának megállapításai a következők: </w:t>
      </w:r>
    </w:p>
    <w:p w14:paraId="3BDB3F3B"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65158031"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u w:val="single"/>
          <w:lang w:eastAsia="hu-HU"/>
        </w:rPr>
      </w:pPr>
      <w:r w:rsidRPr="002A2B45">
        <w:rPr>
          <w:rFonts w:ascii="Arial" w:hAnsi="Arial" w:cs="Arial"/>
          <w:sz w:val="22"/>
          <w:szCs w:val="22"/>
          <w:u w:val="single"/>
          <w:lang w:eastAsia="hu-HU"/>
        </w:rPr>
        <w:t>Társadalmi, gazdasági, hatások</w:t>
      </w:r>
    </w:p>
    <w:p w14:paraId="04E3B5C4"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2EC0CB23" w14:textId="36F1A30E"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A költségvetési rendeletben foglaltak végrehajtása elősegíti az önkormányzat </w:t>
      </w:r>
      <w:r w:rsidR="0036003D">
        <w:rPr>
          <w:rFonts w:ascii="Arial" w:hAnsi="Arial" w:cs="Arial"/>
          <w:sz w:val="22"/>
          <w:szCs w:val="22"/>
          <w:lang w:eastAsia="hu-HU"/>
        </w:rPr>
        <w:t>k</w:t>
      </w:r>
      <w:r w:rsidRPr="002A2B45">
        <w:rPr>
          <w:rFonts w:ascii="Arial" w:hAnsi="Arial" w:cs="Arial"/>
          <w:sz w:val="22"/>
          <w:szCs w:val="22"/>
          <w:lang w:eastAsia="hu-HU"/>
        </w:rPr>
        <w:t xml:space="preserve">öltségvetési </w:t>
      </w:r>
      <w:proofErr w:type="gramStart"/>
      <w:r w:rsidRPr="002A2B45">
        <w:rPr>
          <w:rFonts w:ascii="Arial" w:hAnsi="Arial" w:cs="Arial"/>
          <w:sz w:val="22"/>
          <w:szCs w:val="22"/>
          <w:lang w:eastAsia="hu-HU"/>
        </w:rPr>
        <w:t>koncepciójában</w:t>
      </w:r>
      <w:proofErr w:type="gramEnd"/>
      <w:r w:rsidRPr="002A2B45">
        <w:rPr>
          <w:rFonts w:ascii="Arial" w:hAnsi="Arial" w:cs="Arial"/>
          <w:sz w:val="22"/>
          <w:szCs w:val="22"/>
          <w:lang w:eastAsia="hu-HU"/>
        </w:rPr>
        <w:t xml:space="preserve"> a szociális rendszer fejlesztésére vonatkozó célok megvalósítását, a foglalkoztatás növelését.</w:t>
      </w:r>
    </w:p>
    <w:p w14:paraId="353DDAA0"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A rendeletben foglaltak végrehajtásának gazdasági, költségvetési hatását az előterjesztés részletesen tartalmazza.</w:t>
      </w:r>
    </w:p>
    <w:p w14:paraId="382F8888" w14:textId="77777777" w:rsidR="000E733A" w:rsidRPr="002A2B45" w:rsidRDefault="000E733A"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u w:val="single"/>
          <w:lang w:eastAsia="hu-HU"/>
        </w:rPr>
      </w:pPr>
    </w:p>
    <w:p w14:paraId="0DBF96E3" w14:textId="4103570E"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u w:val="single"/>
          <w:lang w:eastAsia="hu-HU"/>
        </w:rPr>
      </w:pPr>
      <w:r w:rsidRPr="002A2B45">
        <w:rPr>
          <w:rFonts w:ascii="Arial" w:hAnsi="Arial" w:cs="Arial"/>
          <w:sz w:val="22"/>
          <w:szCs w:val="22"/>
          <w:u w:val="single"/>
          <w:lang w:eastAsia="hu-HU"/>
        </w:rPr>
        <w:t>Környezeti és egészségügyi következmények</w:t>
      </w:r>
    </w:p>
    <w:p w14:paraId="0A0C39B1"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3ACD82A1" w14:textId="54C346E4"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A költségvetési rendeletben foglaltak végrehajtása elősegíti a Gazdasági Programban meghatározott Környezet</w:t>
      </w:r>
      <w:r w:rsidR="0036003D">
        <w:rPr>
          <w:rFonts w:ascii="Arial" w:hAnsi="Arial" w:cs="Arial"/>
          <w:sz w:val="22"/>
          <w:szCs w:val="22"/>
          <w:lang w:eastAsia="hu-HU"/>
        </w:rPr>
        <w:t>védelmi Program megvalósulását.</w:t>
      </w:r>
    </w:p>
    <w:p w14:paraId="79193B71"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A költségvetési rendeletben foglaltak végrehajtásának egészségügyi követelményei nincsenek.</w:t>
      </w:r>
    </w:p>
    <w:p w14:paraId="580A5FE6"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210DF284"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u w:val="single"/>
          <w:lang w:eastAsia="hu-HU"/>
        </w:rPr>
      </w:pPr>
      <w:r w:rsidRPr="002A2B45">
        <w:rPr>
          <w:rFonts w:ascii="Arial" w:hAnsi="Arial" w:cs="Arial"/>
          <w:sz w:val="22"/>
          <w:szCs w:val="22"/>
          <w:u w:val="single"/>
          <w:lang w:eastAsia="hu-HU"/>
        </w:rPr>
        <w:t>Adminisztratív terheket befolyásoló hatások</w:t>
      </w:r>
    </w:p>
    <w:p w14:paraId="2F1D8460"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1A6C2939"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A költségvetési rendeletben foglalt pénzügyi,- számviteli és szociális előírások végrehajtása a szakmai, ügyintézési és adminisztratív feladatok végrehajtásában többletfeladatokat jelent a költségvetési szervek számára. </w:t>
      </w:r>
    </w:p>
    <w:p w14:paraId="42763B16"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4CC58A7E"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u w:val="single"/>
          <w:lang w:eastAsia="hu-HU"/>
        </w:rPr>
      </w:pPr>
      <w:r w:rsidRPr="002A2B45">
        <w:rPr>
          <w:rFonts w:ascii="Arial" w:hAnsi="Arial" w:cs="Arial"/>
          <w:sz w:val="22"/>
          <w:szCs w:val="22"/>
          <w:u w:val="single"/>
          <w:lang w:eastAsia="hu-HU"/>
        </w:rPr>
        <w:t>A jogszabályok megalkotásának szükségessége, a jogalkotás elmaradásának várható következményei</w:t>
      </w:r>
    </w:p>
    <w:p w14:paraId="515ED2E6"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3DCD9433" w14:textId="1B30C2D5"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A költségvetési rendelet megalkotását szükségessé teszi az </w:t>
      </w:r>
      <w:proofErr w:type="spellStart"/>
      <w:r w:rsidRPr="002A2B45">
        <w:rPr>
          <w:rFonts w:ascii="Arial" w:hAnsi="Arial" w:cs="Arial"/>
          <w:sz w:val="22"/>
          <w:szCs w:val="22"/>
          <w:lang w:eastAsia="hu-HU"/>
        </w:rPr>
        <w:t>Mötv</w:t>
      </w:r>
      <w:proofErr w:type="spellEnd"/>
      <w:r w:rsidRPr="002A2B45">
        <w:rPr>
          <w:rFonts w:ascii="Arial" w:hAnsi="Arial" w:cs="Arial"/>
          <w:sz w:val="22"/>
          <w:szCs w:val="22"/>
          <w:lang w:eastAsia="hu-HU"/>
        </w:rPr>
        <w:t>. és az Áht. előírásai, melynek elmaradása törvényességi mulasztásnak számít, ami támogatás megvonásával jár.</w:t>
      </w:r>
    </w:p>
    <w:p w14:paraId="38AF2884" w14:textId="77777777" w:rsidR="007C1DF6" w:rsidRPr="002A2B45" w:rsidRDefault="007C1DF6"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12BB4FC8"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u w:val="single"/>
          <w:lang w:eastAsia="hu-HU"/>
        </w:rPr>
      </w:pPr>
      <w:r w:rsidRPr="002A2B45">
        <w:rPr>
          <w:rFonts w:ascii="Arial" w:hAnsi="Arial" w:cs="Arial"/>
          <w:sz w:val="22"/>
          <w:szCs w:val="22"/>
          <w:u w:val="single"/>
          <w:lang w:eastAsia="hu-HU"/>
        </w:rPr>
        <w:t>A jogszabály alkalmazásához szükséges személyi, szervezeti, tárgyi és pénzügyi feltételek</w:t>
      </w:r>
    </w:p>
    <w:p w14:paraId="36F06AAC"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 </w:t>
      </w:r>
    </w:p>
    <w:p w14:paraId="4039191C"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A költségvetési rendelet alkalmazásához szükséges személyi, tárgyi, szervezeti és pénzügyi feltételek rendelkezésre állnak.  </w:t>
      </w:r>
    </w:p>
    <w:p w14:paraId="69850BBB"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p>
    <w:p w14:paraId="301FE67E" w14:textId="77777777" w:rsidR="006325C2" w:rsidRPr="002A2B45" w:rsidRDefault="006325C2" w:rsidP="006325C2">
      <w:pPr>
        <w:tabs>
          <w:tab w:val="center" w:pos="4536"/>
          <w:tab w:val="right" w:pos="5160"/>
          <w:tab w:val="right" w:pos="9072"/>
        </w:tabs>
        <w:overflowPunct w:val="0"/>
        <w:autoSpaceDE w:val="0"/>
        <w:autoSpaceDN w:val="0"/>
        <w:adjustRightInd w:val="0"/>
        <w:jc w:val="both"/>
        <w:textAlignment w:val="baseline"/>
        <w:rPr>
          <w:rFonts w:ascii="Arial" w:hAnsi="Arial" w:cs="Arial"/>
          <w:sz w:val="22"/>
          <w:szCs w:val="22"/>
          <w:lang w:eastAsia="hu-HU"/>
        </w:rPr>
      </w:pPr>
      <w:r w:rsidRPr="002A2B45">
        <w:rPr>
          <w:rFonts w:ascii="Arial" w:hAnsi="Arial" w:cs="Arial"/>
          <w:sz w:val="22"/>
          <w:szCs w:val="22"/>
          <w:lang w:eastAsia="hu-HU"/>
        </w:rPr>
        <w:t xml:space="preserve">A rendelet-tervezet elkészítésénél figyelembe vettük a jogszabályszerkesztésről szóló 61/2009. (XII.14.) IRM rendelet előírásait. </w:t>
      </w:r>
    </w:p>
    <w:p w14:paraId="52DA3648" w14:textId="77777777" w:rsidR="006325C2" w:rsidRPr="002A2B45" w:rsidRDefault="006325C2" w:rsidP="006325C2">
      <w:pPr>
        <w:pStyle w:val="lfej"/>
        <w:tabs>
          <w:tab w:val="right" w:pos="5160"/>
        </w:tabs>
        <w:ind w:left="1134"/>
        <w:rPr>
          <w:rFonts w:ascii="Arial" w:hAnsi="Arial" w:cs="Arial"/>
          <w:b/>
          <w:bCs/>
          <w:sz w:val="22"/>
          <w:szCs w:val="22"/>
          <w:u w:val="single"/>
        </w:rPr>
      </w:pPr>
    </w:p>
    <w:p w14:paraId="18613F13" w14:textId="77777777" w:rsidR="006325C2" w:rsidRPr="002A2B45" w:rsidRDefault="006325C2" w:rsidP="006325C2">
      <w:pPr>
        <w:rPr>
          <w:b/>
          <w:sz w:val="22"/>
          <w:szCs w:val="22"/>
          <w:u w:val="single"/>
        </w:rPr>
      </w:pPr>
      <w:r w:rsidRPr="002A2B45">
        <w:rPr>
          <w:b/>
          <w:sz w:val="22"/>
          <w:szCs w:val="22"/>
          <w:u w:val="single"/>
        </w:rPr>
        <w:br w:type="page"/>
      </w:r>
    </w:p>
    <w:p w14:paraId="65BD8A5A" w14:textId="77777777" w:rsidR="006325C2" w:rsidRPr="002A2B45" w:rsidRDefault="006325C2" w:rsidP="006325C2">
      <w:pPr>
        <w:ind w:left="2268"/>
        <w:jc w:val="both"/>
        <w:rPr>
          <w:rFonts w:ascii="Arial" w:hAnsi="Arial" w:cs="Arial"/>
          <w:b/>
          <w:sz w:val="22"/>
          <w:szCs w:val="22"/>
          <w:u w:val="single"/>
        </w:rPr>
      </w:pPr>
      <w:r w:rsidRPr="002A2B45">
        <w:rPr>
          <w:rFonts w:ascii="Arial" w:hAnsi="Arial" w:cs="Arial"/>
          <w:b/>
          <w:sz w:val="22"/>
          <w:szCs w:val="22"/>
          <w:u w:val="single"/>
        </w:rPr>
        <w:t xml:space="preserve">H a t á r o z a t i   j a v a s l a </w:t>
      </w:r>
      <w:proofErr w:type="gramStart"/>
      <w:r w:rsidRPr="002A2B45">
        <w:rPr>
          <w:rFonts w:ascii="Arial" w:hAnsi="Arial" w:cs="Arial"/>
          <w:b/>
          <w:sz w:val="22"/>
          <w:szCs w:val="22"/>
          <w:u w:val="single"/>
        </w:rPr>
        <w:t>t :</w:t>
      </w:r>
      <w:proofErr w:type="gramEnd"/>
    </w:p>
    <w:p w14:paraId="33717F5B" w14:textId="77777777" w:rsidR="006325C2" w:rsidRPr="002A2B45" w:rsidRDefault="006325C2" w:rsidP="006325C2">
      <w:pPr>
        <w:ind w:left="2268"/>
        <w:jc w:val="both"/>
        <w:rPr>
          <w:rFonts w:ascii="Arial" w:hAnsi="Arial" w:cs="Arial"/>
          <w:b/>
          <w:sz w:val="22"/>
          <w:szCs w:val="22"/>
          <w:u w:val="single"/>
        </w:rPr>
      </w:pPr>
    </w:p>
    <w:p w14:paraId="242F85AD" w14:textId="17F32D42" w:rsidR="006325C2" w:rsidRPr="002A2B45" w:rsidRDefault="006325C2" w:rsidP="006325C2">
      <w:pPr>
        <w:tabs>
          <w:tab w:val="left" w:pos="540"/>
        </w:tabs>
        <w:ind w:left="2268"/>
        <w:jc w:val="both"/>
        <w:rPr>
          <w:rFonts w:ascii="Arial" w:hAnsi="Arial" w:cs="Arial"/>
          <w:b/>
          <w:sz w:val="22"/>
          <w:szCs w:val="22"/>
          <w:u w:val="single"/>
        </w:rPr>
      </w:pPr>
      <w:r w:rsidRPr="002A2B45">
        <w:rPr>
          <w:rFonts w:ascii="Arial" w:hAnsi="Arial" w:cs="Arial"/>
          <w:b/>
          <w:sz w:val="22"/>
          <w:szCs w:val="22"/>
          <w:u w:val="single"/>
        </w:rPr>
        <w:t>Bátaszék Város Önkormányzat saját bevételeiről és fizeté</w:t>
      </w:r>
      <w:r w:rsidR="00111E53" w:rsidRPr="002A2B45">
        <w:rPr>
          <w:rFonts w:ascii="Arial" w:hAnsi="Arial" w:cs="Arial"/>
          <w:b/>
          <w:sz w:val="22"/>
          <w:szCs w:val="22"/>
          <w:u w:val="single"/>
        </w:rPr>
        <w:t>si kötelezettségeiről szóló 202</w:t>
      </w:r>
      <w:r w:rsidR="002A2B45" w:rsidRPr="002A2B45">
        <w:rPr>
          <w:rFonts w:ascii="Arial" w:hAnsi="Arial" w:cs="Arial"/>
          <w:b/>
          <w:sz w:val="22"/>
          <w:szCs w:val="22"/>
          <w:u w:val="single"/>
        </w:rPr>
        <w:t>6</w:t>
      </w:r>
      <w:r w:rsidR="00111E53" w:rsidRPr="002A2B45">
        <w:rPr>
          <w:rFonts w:ascii="Arial" w:hAnsi="Arial" w:cs="Arial"/>
          <w:b/>
          <w:sz w:val="22"/>
          <w:szCs w:val="22"/>
          <w:u w:val="single"/>
        </w:rPr>
        <w:t>-202</w:t>
      </w:r>
      <w:r w:rsidR="002A2B45" w:rsidRPr="002A2B45">
        <w:rPr>
          <w:rFonts w:ascii="Arial" w:hAnsi="Arial" w:cs="Arial"/>
          <w:b/>
          <w:sz w:val="22"/>
          <w:szCs w:val="22"/>
          <w:u w:val="single"/>
        </w:rPr>
        <w:t>8</w:t>
      </w:r>
      <w:r w:rsidRPr="002A2B45">
        <w:rPr>
          <w:rFonts w:ascii="Arial" w:hAnsi="Arial" w:cs="Arial"/>
          <w:b/>
          <w:sz w:val="22"/>
          <w:szCs w:val="22"/>
          <w:u w:val="single"/>
        </w:rPr>
        <w:t>. évi középtávú terv elfogadására</w:t>
      </w:r>
    </w:p>
    <w:p w14:paraId="4E27F97D" w14:textId="77777777" w:rsidR="006325C2" w:rsidRPr="002A2B45" w:rsidRDefault="006325C2" w:rsidP="006325C2">
      <w:pPr>
        <w:tabs>
          <w:tab w:val="left" w:pos="540"/>
        </w:tabs>
        <w:ind w:left="2268"/>
        <w:jc w:val="both"/>
        <w:rPr>
          <w:rFonts w:ascii="Arial" w:hAnsi="Arial" w:cs="Arial"/>
          <w:b/>
          <w:sz w:val="22"/>
          <w:szCs w:val="22"/>
        </w:rPr>
      </w:pPr>
    </w:p>
    <w:p w14:paraId="6E9B20BA" w14:textId="5287BE74" w:rsidR="006325C2" w:rsidRPr="002A2B45" w:rsidRDefault="006325C2" w:rsidP="006325C2">
      <w:pPr>
        <w:tabs>
          <w:tab w:val="left" w:pos="540"/>
        </w:tabs>
        <w:ind w:left="2268"/>
        <w:jc w:val="both"/>
        <w:rPr>
          <w:rFonts w:ascii="Arial" w:hAnsi="Arial" w:cs="Arial"/>
          <w:sz w:val="22"/>
          <w:szCs w:val="22"/>
        </w:rPr>
      </w:pPr>
      <w:r w:rsidRPr="002A2B45">
        <w:rPr>
          <w:rFonts w:ascii="Arial" w:hAnsi="Arial" w:cs="Arial"/>
          <w:sz w:val="22"/>
          <w:szCs w:val="22"/>
        </w:rPr>
        <w:t xml:space="preserve">Bátaszék Város Önkormányzatának Képviselő-testülete </w:t>
      </w:r>
      <w:r w:rsidRPr="002A2B45">
        <w:rPr>
          <w:rFonts w:ascii="Arial" w:hAnsi="Arial" w:cs="Arial"/>
          <w:i/>
          <w:sz w:val="22"/>
          <w:szCs w:val="22"/>
        </w:rPr>
        <w:t>az államháztartásról szóló 2011. évi CXCV. törvény. 29/A. §-</w:t>
      </w:r>
      <w:proofErr w:type="spellStart"/>
      <w:r w:rsidRPr="002A2B45">
        <w:rPr>
          <w:rFonts w:ascii="Arial" w:hAnsi="Arial" w:cs="Arial"/>
          <w:i/>
          <w:sz w:val="22"/>
          <w:szCs w:val="22"/>
        </w:rPr>
        <w:t>ában</w:t>
      </w:r>
      <w:proofErr w:type="spellEnd"/>
      <w:r w:rsidRPr="002A2B45">
        <w:rPr>
          <w:rFonts w:ascii="Arial" w:hAnsi="Arial" w:cs="Arial"/>
          <w:sz w:val="22"/>
          <w:szCs w:val="22"/>
        </w:rPr>
        <w:t xml:space="preserve"> foglaltakra figyelemmel a város saját bevételeinek és adósságot keletkeztető ügyleteiből eredő </w:t>
      </w:r>
      <w:r w:rsidR="00387FF4" w:rsidRPr="002A2B45">
        <w:rPr>
          <w:rFonts w:ascii="Arial" w:hAnsi="Arial" w:cs="Arial"/>
          <w:sz w:val="22"/>
          <w:szCs w:val="22"/>
        </w:rPr>
        <w:t>fizetési kötelezettségeinek 202</w:t>
      </w:r>
      <w:r w:rsidR="002A2B45" w:rsidRPr="002A2B45">
        <w:rPr>
          <w:rFonts w:ascii="Arial" w:hAnsi="Arial" w:cs="Arial"/>
          <w:sz w:val="22"/>
          <w:szCs w:val="22"/>
        </w:rPr>
        <w:t>6</w:t>
      </w:r>
      <w:r w:rsidR="00387FF4" w:rsidRPr="002A2B45">
        <w:rPr>
          <w:rFonts w:ascii="Arial" w:hAnsi="Arial" w:cs="Arial"/>
          <w:sz w:val="22"/>
          <w:szCs w:val="22"/>
        </w:rPr>
        <w:t>-202</w:t>
      </w:r>
      <w:r w:rsidR="002A2B45" w:rsidRPr="002A2B45">
        <w:rPr>
          <w:rFonts w:ascii="Arial" w:hAnsi="Arial" w:cs="Arial"/>
          <w:sz w:val="22"/>
          <w:szCs w:val="22"/>
        </w:rPr>
        <w:t>8</w:t>
      </w:r>
      <w:r w:rsidRPr="002A2B45">
        <w:rPr>
          <w:rFonts w:ascii="Arial" w:hAnsi="Arial" w:cs="Arial"/>
          <w:sz w:val="22"/>
          <w:szCs w:val="22"/>
        </w:rPr>
        <w:t>. évi középtávú tervét a határozat 1. melléklete szerinti tartalommal jóváhagyja.</w:t>
      </w:r>
    </w:p>
    <w:p w14:paraId="50436420" w14:textId="77777777" w:rsidR="006325C2" w:rsidRPr="002A2B45" w:rsidRDefault="006325C2" w:rsidP="006325C2">
      <w:pPr>
        <w:tabs>
          <w:tab w:val="left" w:pos="540"/>
          <w:tab w:val="left" w:pos="2880"/>
        </w:tabs>
        <w:ind w:left="2268"/>
        <w:jc w:val="both"/>
        <w:rPr>
          <w:rFonts w:ascii="Arial" w:hAnsi="Arial" w:cs="Arial"/>
          <w:i/>
          <w:sz w:val="22"/>
          <w:szCs w:val="22"/>
        </w:rPr>
      </w:pPr>
    </w:p>
    <w:p w14:paraId="4464F079" w14:textId="77777777" w:rsidR="006325C2" w:rsidRPr="002A2B45" w:rsidRDefault="006325C2" w:rsidP="006325C2">
      <w:pPr>
        <w:tabs>
          <w:tab w:val="left" w:pos="540"/>
          <w:tab w:val="left" w:pos="2880"/>
        </w:tabs>
        <w:ind w:left="2268"/>
        <w:jc w:val="both"/>
        <w:rPr>
          <w:rFonts w:ascii="Arial" w:hAnsi="Arial" w:cs="Arial"/>
          <w:i/>
          <w:sz w:val="22"/>
          <w:szCs w:val="22"/>
        </w:rPr>
      </w:pPr>
    </w:p>
    <w:p w14:paraId="6F6A2B6B" w14:textId="77777777" w:rsidR="006325C2" w:rsidRPr="002A2B45" w:rsidRDefault="006325C2" w:rsidP="006325C2">
      <w:pPr>
        <w:tabs>
          <w:tab w:val="left" w:pos="540"/>
          <w:tab w:val="left" w:pos="2880"/>
        </w:tabs>
        <w:ind w:left="2268"/>
        <w:jc w:val="both"/>
        <w:rPr>
          <w:rFonts w:ascii="Arial" w:hAnsi="Arial" w:cs="Arial"/>
          <w:sz w:val="22"/>
          <w:szCs w:val="22"/>
        </w:rPr>
      </w:pPr>
      <w:r w:rsidRPr="002A2B45">
        <w:rPr>
          <w:rFonts w:ascii="Arial" w:hAnsi="Arial" w:cs="Arial"/>
          <w:i/>
          <w:sz w:val="22"/>
          <w:szCs w:val="22"/>
        </w:rPr>
        <w:t>Határidő:</w:t>
      </w:r>
      <w:r w:rsidRPr="002A2B45">
        <w:rPr>
          <w:rFonts w:ascii="Arial" w:hAnsi="Arial" w:cs="Arial"/>
          <w:sz w:val="22"/>
          <w:szCs w:val="22"/>
        </w:rPr>
        <w:t xml:space="preserve"> Azonnal</w:t>
      </w:r>
    </w:p>
    <w:p w14:paraId="5710A36D" w14:textId="644AE2E3" w:rsidR="006325C2" w:rsidRPr="002A2B45" w:rsidRDefault="006325C2" w:rsidP="006325C2">
      <w:pPr>
        <w:tabs>
          <w:tab w:val="left" w:pos="540"/>
          <w:tab w:val="left" w:pos="2880"/>
        </w:tabs>
        <w:ind w:left="2268"/>
        <w:jc w:val="both"/>
        <w:rPr>
          <w:rFonts w:ascii="Arial" w:hAnsi="Arial" w:cs="Arial"/>
          <w:sz w:val="22"/>
          <w:szCs w:val="22"/>
        </w:rPr>
      </w:pPr>
      <w:r w:rsidRPr="002A2B45">
        <w:rPr>
          <w:rFonts w:ascii="Arial" w:hAnsi="Arial" w:cs="Arial"/>
          <w:i/>
          <w:sz w:val="22"/>
          <w:szCs w:val="22"/>
        </w:rPr>
        <w:t>Felelős:</w:t>
      </w:r>
      <w:r w:rsidRPr="002A2B45">
        <w:rPr>
          <w:rFonts w:ascii="Arial" w:hAnsi="Arial" w:cs="Arial"/>
          <w:sz w:val="22"/>
          <w:szCs w:val="22"/>
        </w:rPr>
        <w:t xml:space="preserve"> Dr. Bozsolik Róbert polgármester</w:t>
      </w:r>
    </w:p>
    <w:p w14:paraId="345A7AAB" w14:textId="77777777" w:rsidR="006325C2" w:rsidRPr="002A2B45" w:rsidRDefault="006325C2" w:rsidP="006325C2">
      <w:pPr>
        <w:tabs>
          <w:tab w:val="left" w:pos="540"/>
          <w:tab w:val="left" w:pos="2880"/>
        </w:tabs>
        <w:ind w:left="2268"/>
        <w:jc w:val="both"/>
        <w:rPr>
          <w:rFonts w:ascii="Arial" w:hAnsi="Arial" w:cs="Arial"/>
          <w:sz w:val="22"/>
          <w:szCs w:val="22"/>
        </w:rPr>
      </w:pPr>
    </w:p>
    <w:p w14:paraId="0E20C572" w14:textId="77777777" w:rsidR="006325C2" w:rsidRPr="002A2B45" w:rsidRDefault="006325C2" w:rsidP="006325C2">
      <w:pPr>
        <w:tabs>
          <w:tab w:val="left" w:pos="540"/>
          <w:tab w:val="left" w:pos="2880"/>
        </w:tabs>
        <w:ind w:left="2268"/>
        <w:jc w:val="both"/>
      </w:pPr>
      <w:r w:rsidRPr="002A2B45">
        <w:rPr>
          <w:rFonts w:ascii="Arial" w:hAnsi="Arial" w:cs="Arial"/>
          <w:i/>
          <w:iCs/>
          <w:sz w:val="22"/>
          <w:szCs w:val="22"/>
        </w:rPr>
        <w:t>Határozatról értesül:</w:t>
      </w:r>
      <w:r w:rsidRPr="002A2B45">
        <w:rPr>
          <w:rFonts w:ascii="Arial" w:hAnsi="Arial" w:cs="Arial"/>
          <w:sz w:val="22"/>
          <w:szCs w:val="22"/>
        </w:rPr>
        <w:t xml:space="preserve"> Bátaszéki KÖH pénzügyi iroda</w:t>
      </w:r>
    </w:p>
    <w:p w14:paraId="1A43594B" w14:textId="34E44C17" w:rsidR="006325C2" w:rsidRPr="002A2B45" w:rsidRDefault="006325C2" w:rsidP="006325C2">
      <w:pPr>
        <w:tabs>
          <w:tab w:val="left" w:pos="540"/>
          <w:tab w:val="left" w:pos="2880"/>
        </w:tabs>
        <w:ind w:left="2268"/>
        <w:jc w:val="both"/>
        <w:rPr>
          <w:rFonts w:ascii="Arial" w:hAnsi="Arial" w:cs="Arial"/>
          <w:sz w:val="22"/>
          <w:szCs w:val="22"/>
        </w:rPr>
      </w:pPr>
      <w:r w:rsidRPr="002A2B45">
        <w:t xml:space="preserve">                               </w:t>
      </w:r>
      <w:r w:rsidR="007C1DF6" w:rsidRPr="002A2B45">
        <w:t xml:space="preserve">   </w:t>
      </w:r>
      <w:r w:rsidRPr="002A2B45">
        <w:rPr>
          <w:rFonts w:ascii="Arial" w:hAnsi="Arial" w:cs="Arial"/>
          <w:sz w:val="22"/>
          <w:szCs w:val="22"/>
        </w:rPr>
        <w:t>irattár</w:t>
      </w:r>
    </w:p>
    <w:p w14:paraId="24C55289" w14:textId="77777777" w:rsidR="006325C2" w:rsidRPr="002A2B45" w:rsidRDefault="006325C2" w:rsidP="006325C2">
      <w:pPr>
        <w:pStyle w:val="Listaszerbekezds"/>
        <w:jc w:val="center"/>
      </w:pPr>
    </w:p>
    <w:p w14:paraId="40FC25C4" w14:textId="77777777" w:rsidR="006325C2" w:rsidRPr="00A82F71" w:rsidRDefault="006325C2" w:rsidP="006325C2">
      <w:pPr>
        <w:pStyle w:val="Listaszerbekezds"/>
        <w:jc w:val="center"/>
        <w:rPr>
          <w:highlight w:val="yellow"/>
        </w:rPr>
      </w:pPr>
    </w:p>
    <w:p w14:paraId="24419B6F" w14:textId="77777777" w:rsidR="006325C2" w:rsidRPr="00A82F71" w:rsidRDefault="006325C2" w:rsidP="006325C2">
      <w:pPr>
        <w:pStyle w:val="Listaszerbekezds"/>
        <w:jc w:val="center"/>
        <w:rPr>
          <w:highlight w:val="yellow"/>
        </w:rPr>
      </w:pPr>
    </w:p>
    <w:p w14:paraId="03F4B2E4" w14:textId="77777777" w:rsidR="006325C2" w:rsidRPr="00A82F71" w:rsidRDefault="006325C2" w:rsidP="006325C2">
      <w:pPr>
        <w:pStyle w:val="Listaszerbekezds"/>
        <w:jc w:val="center"/>
        <w:rPr>
          <w:highlight w:val="yellow"/>
        </w:rPr>
      </w:pPr>
    </w:p>
    <w:p w14:paraId="5D7F85D4" w14:textId="77777777" w:rsidR="006325C2" w:rsidRPr="00A82F71" w:rsidRDefault="006325C2" w:rsidP="006325C2">
      <w:pPr>
        <w:pStyle w:val="Listaszerbekezds"/>
        <w:jc w:val="center"/>
        <w:rPr>
          <w:highlight w:val="yellow"/>
        </w:rPr>
      </w:pPr>
    </w:p>
    <w:p w14:paraId="003E0E48" w14:textId="77777777" w:rsidR="006325C2" w:rsidRPr="00A82F71" w:rsidRDefault="006325C2" w:rsidP="006325C2">
      <w:pPr>
        <w:pStyle w:val="Listaszerbekezds"/>
        <w:jc w:val="center"/>
        <w:rPr>
          <w:highlight w:val="yellow"/>
        </w:rPr>
      </w:pPr>
    </w:p>
    <w:p w14:paraId="67B681B9" w14:textId="77777777" w:rsidR="006325C2" w:rsidRPr="00A82F71" w:rsidRDefault="006325C2" w:rsidP="006325C2">
      <w:pPr>
        <w:pStyle w:val="Listaszerbekezds"/>
        <w:jc w:val="center"/>
        <w:rPr>
          <w:highlight w:val="yellow"/>
        </w:rPr>
      </w:pPr>
    </w:p>
    <w:p w14:paraId="5F9B7E6F" w14:textId="77777777" w:rsidR="006325C2" w:rsidRPr="00A82F71" w:rsidRDefault="006325C2" w:rsidP="006325C2">
      <w:pPr>
        <w:pStyle w:val="Listaszerbekezds"/>
        <w:jc w:val="center"/>
        <w:rPr>
          <w:highlight w:val="yellow"/>
        </w:rPr>
      </w:pPr>
    </w:p>
    <w:p w14:paraId="6B4E4396" w14:textId="77777777" w:rsidR="006325C2" w:rsidRPr="00A82F71" w:rsidRDefault="006325C2" w:rsidP="006325C2">
      <w:pPr>
        <w:pStyle w:val="Listaszerbekezds"/>
        <w:jc w:val="center"/>
        <w:rPr>
          <w:highlight w:val="yellow"/>
        </w:rPr>
      </w:pPr>
    </w:p>
    <w:p w14:paraId="3483B479" w14:textId="77777777" w:rsidR="006325C2" w:rsidRPr="00A82F71" w:rsidRDefault="006325C2" w:rsidP="006325C2">
      <w:pPr>
        <w:pStyle w:val="Listaszerbekezds"/>
        <w:jc w:val="center"/>
        <w:rPr>
          <w:highlight w:val="yellow"/>
        </w:rPr>
      </w:pPr>
    </w:p>
    <w:p w14:paraId="3BAF5DD9" w14:textId="77777777" w:rsidR="006325C2" w:rsidRPr="00A82F71" w:rsidRDefault="006325C2" w:rsidP="006325C2">
      <w:pPr>
        <w:pStyle w:val="Listaszerbekezds"/>
        <w:jc w:val="center"/>
        <w:rPr>
          <w:highlight w:val="yellow"/>
        </w:rPr>
      </w:pPr>
    </w:p>
    <w:p w14:paraId="51B02A25" w14:textId="77777777" w:rsidR="006325C2" w:rsidRPr="00A82F71" w:rsidRDefault="006325C2" w:rsidP="006325C2">
      <w:pPr>
        <w:pStyle w:val="Listaszerbekezds"/>
        <w:jc w:val="center"/>
        <w:rPr>
          <w:highlight w:val="yellow"/>
        </w:rPr>
      </w:pPr>
    </w:p>
    <w:p w14:paraId="6E4D9EE3" w14:textId="77777777" w:rsidR="006325C2" w:rsidRPr="00A82F71" w:rsidRDefault="006325C2" w:rsidP="006325C2">
      <w:pPr>
        <w:rPr>
          <w:highlight w:val="yellow"/>
        </w:rPr>
      </w:pPr>
      <w:r w:rsidRPr="00A82F71">
        <w:rPr>
          <w:highlight w:val="yellow"/>
        </w:rPr>
        <w:br w:type="page"/>
      </w:r>
    </w:p>
    <w:p w14:paraId="32D55550" w14:textId="77777777" w:rsidR="006325C2" w:rsidRPr="00543402" w:rsidRDefault="006325C2" w:rsidP="006325C2">
      <w:pPr>
        <w:pStyle w:val="Listaszerbekezds"/>
        <w:numPr>
          <w:ilvl w:val="0"/>
          <w:numId w:val="19"/>
        </w:numPr>
        <w:jc w:val="right"/>
        <w:rPr>
          <w:sz w:val="20"/>
          <w:szCs w:val="20"/>
        </w:rPr>
      </w:pPr>
      <w:r w:rsidRPr="00543402">
        <w:rPr>
          <w:sz w:val="20"/>
          <w:szCs w:val="20"/>
        </w:rPr>
        <w:t>melléklet</w:t>
      </w:r>
    </w:p>
    <w:tbl>
      <w:tblPr>
        <w:tblW w:w="8100" w:type="dxa"/>
        <w:tblInd w:w="70" w:type="dxa"/>
        <w:tblCellMar>
          <w:left w:w="70" w:type="dxa"/>
          <w:right w:w="70" w:type="dxa"/>
        </w:tblCellMar>
        <w:tblLook w:val="04A0" w:firstRow="1" w:lastRow="0" w:firstColumn="1" w:lastColumn="0" w:noHBand="0" w:noVBand="1"/>
      </w:tblPr>
      <w:tblGrid>
        <w:gridCol w:w="2820"/>
        <w:gridCol w:w="540"/>
        <w:gridCol w:w="1140"/>
        <w:gridCol w:w="1140"/>
        <w:gridCol w:w="1140"/>
        <w:gridCol w:w="1320"/>
      </w:tblGrid>
      <w:tr w:rsidR="006325C2" w:rsidRPr="00543402" w14:paraId="775C6909" w14:textId="77777777" w:rsidTr="006325C2">
        <w:trPr>
          <w:trHeight w:val="840"/>
        </w:trPr>
        <w:tc>
          <w:tcPr>
            <w:tcW w:w="8100" w:type="dxa"/>
            <w:gridSpan w:val="6"/>
            <w:vAlign w:val="center"/>
            <w:hideMark/>
          </w:tcPr>
          <w:p w14:paraId="3D36B8CD" w14:textId="77777777" w:rsidR="006325C2" w:rsidRPr="00543402" w:rsidRDefault="006325C2">
            <w:pPr>
              <w:jc w:val="center"/>
              <w:rPr>
                <w:b/>
                <w:bCs/>
                <w:sz w:val="22"/>
                <w:szCs w:val="22"/>
              </w:rPr>
            </w:pPr>
            <w:r w:rsidRPr="00543402">
              <w:rPr>
                <w:b/>
                <w:bCs/>
                <w:sz w:val="22"/>
                <w:szCs w:val="22"/>
              </w:rPr>
              <w:t>Bátaszék Város Önkormányzat adósságot keletkeztető ügyleteiből eredő fizetési kötelezettségeinek bemutatása</w:t>
            </w:r>
          </w:p>
        </w:tc>
      </w:tr>
      <w:tr w:rsidR="006325C2" w:rsidRPr="002A2B45" w14:paraId="6DAF5D2F" w14:textId="77777777" w:rsidTr="006325C2">
        <w:trPr>
          <w:trHeight w:val="315"/>
        </w:trPr>
        <w:tc>
          <w:tcPr>
            <w:tcW w:w="2820" w:type="dxa"/>
            <w:noWrap/>
            <w:vAlign w:val="bottom"/>
            <w:hideMark/>
          </w:tcPr>
          <w:p w14:paraId="2F3672EF" w14:textId="77777777" w:rsidR="006325C2" w:rsidRPr="00543402" w:rsidRDefault="006325C2">
            <w:pPr>
              <w:rPr>
                <w:b/>
                <w:bCs/>
                <w:sz w:val="22"/>
                <w:szCs w:val="22"/>
              </w:rPr>
            </w:pPr>
          </w:p>
        </w:tc>
        <w:tc>
          <w:tcPr>
            <w:tcW w:w="540" w:type="dxa"/>
            <w:noWrap/>
            <w:vAlign w:val="bottom"/>
            <w:hideMark/>
          </w:tcPr>
          <w:p w14:paraId="56E40D9E" w14:textId="77777777" w:rsidR="006325C2" w:rsidRPr="00543402" w:rsidRDefault="006325C2">
            <w:pPr>
              <w:rPr>
                <w:sz w:val="20"/>
                <w:szCs w:val="20"/>
                <w:lang w:eastAsia="hu-HU"/>
              </w:rPr>
            </w:pPr>
          </w:p>
        </w:tc>
        <w:tc>
          <w:tcPr>
            <w:tcW w:w="1140" w:type="dxa"/>
            <w:noWrap/>
            <w:vAlign w:val="bottom"/>
            <w:hideMark/>
          </w:tcPr>
          <w:p w14:paraId="05EB5B97" w14:textId="77777777" w:rsidR="006325C2" w:rsidRPr="00543402" w:rsidRDefault="006325C2">
            <w:pPr>
              <w:rPr>
                <w:sz w:val="20"/>
                <w:szCs w:val="20"/>
                <w:lang w:eastAsia="hu-HU"/>
              </w:rPr>
            </w:pPr>
          </w:p>
        </w:tc>
        <w:tc>
          <w:tcPr>
            <w:tcW w:w="1140" w:type="dxa"/>
            <w:noWrap/>
            <w:vAlign w:val="bottom"/>
            <w:hideMark/>
          </w:tcPr>
          <w:p w14:paraId="312566A1" w14:textId="77777777" w:rsidR="006325C2" w:rsidRPr="00543402" w:rsidRDefault="006325C2">
            <w:pPr>
              <w:rPr>
                <w:sz w:val="20"/>
                <w:szCs w:val="20"/>
                <w:lang w:eastAsia="hu-HU"/>
              </w:rPr>
            </w:pPr>
          </w:p>
        </w:tc>
        <w:tc>
          <w:tcPr>
            <w:tcW w:w="1140" w:type="dxa"/>
            <w:noWrap/>
            <w:vAlign w:val="bottom"/>
            <w:hideMark/>
          </w:tcPr>
          <w:p w14:paraId="02DEFFDD" w14:textId="77777777" w:rsidR="006325C2" w:rsidRPr="00543402" w:rsidRDefault="006325C2">
            <w:pPr>
              <w:rPr>
                <w:sz w:val="20"/>
                <w:szCs w:val="20"/>
                <w:lang w:eastAsia="hu-HU"/>
              </w:rPr>
            </w:pPr>
          </w:p>
        </w:tc>
        <w:tc>
          <w:tcPr>
            <w:tcW w:w="1320" w:type="dxa"/>
            <w:noWrap/>
            <w:vAlign w:val="bottom"/>
            <w:hideMark/>
          </w:tcPr>
          <w:p w14:paraId="400A7ECD" w14:textId="77777777" w:rsidR="006325C2" w:rsidRPr="00543402" w:rsidRDefault="006325C2">
            <w:pPr>
              <w:jc w:val="right"/>
              <w:rPr>
                <w:b/>
                <w:bCs/>
                <w:i/>
                <w:iCs/>
                <w:color w:val="000000"/>
                <w:sz w:val="20"/>
                <w:szCs w:val="20"/>
              </w:rPr>
            </w:pPr>
            <w:r w:rsidRPr="00543402">
              <w:rPr>
                <w:b/>
                <w:bCs/>
                <w:i/>
                <w:iCs/>
                <w:color w:val="000000"/>
                <w:sz w:val="20"/>
                <w:szCs w:val="20"/>
              </w:rPr>
              <w:t>Forintban!</w:t>
            </w:r>
          </w:p>
        </w:tc>
      </w:tr>
      <w:tr w:rsidR="00002B0F" w:rsidRPr="00543402" w14:paraId="2FC58EAB" w14:textId="77777777" w:rsidTr="006325C2">
        <w:trPr>
          <w:trHeight w:val="315"/>
        </w:trPr>
        <w:tc>
          <w:tcPr>
            <w:tcW w:w="2820" w:type="dxa"/>
            <w:noWrap/>
            <w:vAlign w:val="bottom"/>
          </w:tcPr>
          <w:p w14:paraId="1FA7680A" w14:textId="77777777" w:rsidR="00002B0F" w:rsidRPr="00543402" w:rsidRDefault="00002B0F">
            <w:pPr>
              <w:rPr>
                <w:b/>
                <w:bCs/>
                <w:sz w:val="22"/>
                <w:szCs w:val="22"/>
              </w:rPr>
            </w:pPr>
          </w:p>
        </w:tc>
        <w:tc>
          <w:tcPr>
            <w:tcW w:w="540" w:type="dxa"/>
            <w:noWrap/>
            <w:vAlign w:val="bottom"/>
          </w:tcPr>
          <w:p w14:paraId="744F0F56" w14:textId="77777777" w:rsidR="00002B0F" w:rsidRPr="00543402" w:rsidRDefault="00002B0F">
            <w:pPr>
              <w:rPr>
                <w:sz w:val="20"/>
                <w:szCs w:val="20"/>
                <w:lang w:eastAsia="hu-HU"/>
              </w:rPr>
            </w:pPr>
          </w:p>
        </w:tc>
        <w:tc>
          <w:tcPr>
            <w:tcW w:w="1140" w:type="dxa"/>
            <w:noWrap/>
            <w:vAlign w:val="bottom"/>
          </w:tcPr>
          <w:p w14:paraId="180C4FEE" w14:textId="77777777" w:rsidR="00002B0F" w:rsidRPr="00543402" w:rsidRDefault="00002B0F">
            <w:pPr>
              <w:rPr>
                <w:sz w:val="20"/>
                <w:szCs w:val="20"/>
                <w:lang w:eastAsia="hu-HU"/>
              </w:rPr>
            </w:pPr>
          </w:p>
        </w:tc>
        <w:tc>
          <w:tcPr>
            <w:tcW w:w="1140" w:type="dxa"/>
            <w:noWrap/>
            <w:vAlign w:val="bottom"/>
          </w:tcPr>
          <w:p w14:paraId="2B631057" w14:textId="77777777" w:rsidR="00002B0F" w:rsidRPr="00543402" w:rsidRDefault="00002B0F">
            <w:pPr>
              <w:rPr>
                <w:sz w:val="20"/>
                <w:szCs w:val="20"/>
                <w:lang w:eastAsia="hu-HU"/>
              </w:rPr>
            </w:pPr>
          </w:p>
        </w:tc>
        <w:tc>
          <w:tcPr>
            <w:tcW w:w="1140" w:type="dxa"/>
            <w:noWrap/>
            <w:vAlign w:val="bottom"/>
          </w:tcPr>
          <w:p w14:paraId="127699E6" w14:textId="77777777" w:rsidR="00002B0F" w:rsidRPr="00543402" w:rsidRDefault="00002B0F">
            <w:pPr>
              <w:rPr>
                <w:sz w:val="20"/>
                <w:szCs w:val="20"/>
                <w:lang w:eastAsia="hu-HU"/>
              </w:rPr>
            </w:pPr>
          </w:p>
        </w:tc>
        <w:tc>
          <w:tcPr>
            <w:tcW w:w="1320" w:type="dxa"/>
            <w:noWrap/>
            <w:vAlign w:val="bottom"/>
          </w:tcPr>
          <w:p w14:paraId="6AFABA2F" w14:textId="77777777" w:rsidR="00002B0F" w:rsidRPr="00543402" w:rsidRDefault="00002B0F">
            <w:pPr>
              <w:jc w:val="right"/>
              <w:rPr>
                <w:b/>
                <w:bCs/>
                <w:i/>
                <w:iCs/>
                <w:color w:val="000000"/>
                <w:sz w:val="20"/>
                <w:szCs w:val="20"/>
              </w:rPr>
            </w:pPr>
          </w:p>
        </w:tc>
      </w:tr>
      <w:tr w:rsidR="006325C2" w:rsidRPr="00543402" w14:paraId="4DA3C490" w14:textId="77777777" w:rsidTr="006325C2">
        <w:trPr>
          <w:trHeight w:val="450"/>
        </w:trPr>
        <w:tc>
          <w:tcPr>
            <w:tcW w:w="2820" w:type="dxa"/>
            <w:vMerge w:val="restart"/>
            <w:tcBorders>
              <w:top w:val="single" w:sz="8" w:space="0" w:color="auto"/>
              <w:left w:val="single" w:sz="8" w:space="0" w:color="auto"/>
              <w:bottom w:val="single" w:sz="8" w:space="0" w:color="000000"/>
              <w:right w:val="single" w:sz="4" w:space="0" w:color="auto"/>
            </w:tcBorders>
            <w:vAlign w:val="center"/>
            <w:hideMark/>
          </w:tcPr>
          <w:p w14:paraId="7B96B554" w14:textId="77777777" w:rsidR="006325C2" w:rsidRPr="00543402" w:rsidRDefault="006325C2">
            <w:pPr>
              <w:jc w:val="center"/>
              <w:rPr>
                <w:b/>
                <w:bCs/>
                <w:color w:val="000000"/>
                <w:sz w:val="18"/>
                <w:szCs w:val="18"/>
              </w:rPr>
            </w:pPr>
            <w:r w:rsidRPr="00543402">
              <w:rPr>
                <w:b/>
                <w:bCs/>
                <w:color w:val="000000"/>
                <w:sz w:val="18"/>
                <w:szCs w:val="18"/>
              </w:rPr>
              <w:t>MEGNEVEZÉS</w:t>
            </w:r>
          </w:p>
        </w:tc>
        <w:tc>
          <w:tcPr>
            <w:tcW w:w="540" w:type="dxa"/>
            <w:vMerge w:val="restart"/>
            <w:tcBorders>
              <w:top w:val="single" w:sz="8" w:space="0" w:color="auto"/>
              <w:left w:val="single" w:sz="4" w:space="0" w:color="auto"/>
              <w:bottom w:val="single" w:sz="8" w:space="0" w:color="000000"/>
              <w:right w:val="single" w:sz="4" w:space="0" w:color="auto"/>
            </w:tcBorders>
            <w:vAlign w:val="center"/>
            <w:hideMark/>
          </w:tcPr>
          <w:p w14:paraId="5FB74F06" w14:textId="77777777" w:rsidR="006325C2" w:rsidRPr="00543402" w:rsidRDefault="006325C2">
            <w:pPr>
              <w:jc w:val="center"/>
              <w:rPr>
                <w:b/>
                <w:bCs/>
                <w:color w:val="000000"/>
                <w:sz w:val="18"/>
                <w:szCs w:val="18"/>
              </w:rPr>
            </w:pPr>
            <w:r w:rsidRPr="00543402">
              <w:rPr>
                <w:b/>
                <w:bCs/>
                <w:color w:val="000000"/>
                <w:sz w:val="18"/>
                <w:szCs w:val="18"/>
              </w:rPr>
              <w:t>Sor-szám</w:t>
            </w:r>
          </w:p>
        </w:tc>
        <w:tc>
          <w:tcPr>
            <w:tcW w:w="3420" w:type="dxa"/>
            <w:gridSpan w:val="3"/>
            <w:vMerge w:val="restart"/>
            <w:tcBorders>
              <w:top w:val="single" w:sz="8" w:space="0" w:color="auto"/>
              <w:left w:val="single" w:sz="4" w:space="0" w:color="auto"/>
              <w:bottom w:val="single" w:sz="4" w:space="0" w:color="000000"/>
              <w:right w:val="single" w:sz="8" w:space="0" w:color="000000"/>
            </w:tcBorders>
            <w:vAlign w:val="center"/>
            <w:hideMark/>
          </w:tcPr>
          <w:p w14:paraId="165F8E98" w14:textId="77777777" w:rsidR="006325C2" w:rsidRPr="00543402" w:rsidRDefault="006325C2">
            <w:pPr>
              <w:jc w:val="center"/>
              <w:rPr>
                <w:b/>
                <w:bCs/>
                <w:color w:val="000000"/>
                <w:sz w:val="18"/>
                <w:szCs w:val="18"/>
              </w:rPr>
            </w:pPr>
            <w:r w:rsidRPr="00543402">
              <w:rPr>
                <w:b/>
                <w:bCs/>
                <w:color w:val="000000"/>
                <w:sz w:val="18"/>
                <w:szCs w:val="18"/>
              </w:rPr>
              <w:t>Saját bevétel és adósságot keletkeztető ügyletből eredő fizetési kötelezettség összegei</w:t>
            </w:r>
          </w:p>
        </w:tc>
        <w:tc>
          <w:tcPr>
            <w:tcW w:w="1320" w:type="dxa"/>
            <w:vMerge w:val="restart"/>
            <w:tcBorders>
              <w:top w:val="single" w:sz="8" w:space="0" w:color="auto"/>
              <w:left w:val="single" w:sz="8" w:space="0" w:color="auto"/>
              <w:bottom w:val="single" w:sz="8" w:space="0" w:color="000000"/>
              <w:right w:val="single" w:sz="8" w:space="0" w:color="auto"/>
            </w:tcBorders>
            <w:vAlign w:val="center"/>
            <w:hideMark/>
          </w:tcPr>
          <w:p w14:paraId="6AEE28E5" w14:textId="77777777" w:rsidR="006325C2" w:rsidRPr="00543402" w:rsidRDefault="006325C2">
            <w:pPr>
              <w:jc w:val="center"/>
              <w:rPr>
                <w:b/>
                <w:bCs/>
                <w:color w:val="000000"/>
                <w:sz w:val="18"/>
                <w:szCs w:val="18"/>
              </w:rPr>
            </w:pPr>
            <w:r w:rsidRPr="00543402">
              <w:rPr>
                <w:b/>
                <w:bCs/>
                <w:color w:val="000000"/>
                <w:sz w:val="18"/>
                <w:szCs w:val="18"/>
              </w:rPr>
              <w:t>ÖSSZESEN</w:t>
            </w:r>
            <w:r w:rsidRPr="00543402">
              <w:rPr>
                <w:b/>
                <w:bCs/>
                <w:color w:val="000000"/>
                <w:sz w:val="18"/>
                <w:szCs w:val="18"/>
              </w:rPr>
              <w:br/>
              <w:t>F=(C+D+E)</w:t>
            </w:r>
          </w:p>
        </w:tc>
      </w:tr>
      <w:tr w:rsidR="006325C2" w:rsidRPr="00543402" w14:paraId="60EC92E3" w14:textId="77777777" w:rsidTr="006325C2">
        <w:trPr>
          <w:trHeight w:val="36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EB8AD65" w14:textId="77777777" w:rsidR="006325C2" w:rsidRPr="00543402" w:rsidRDefault="006325C2">
            <w:pPr>
              <w:rPr>
                <w:b/>
                <w:bCs/>
                <w:color w:val="000000"/>
                <w:sz w:val="18"/>
                <w:szCs w:val="18"/>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DE0B071" w14:textId="77777777" w:rsidR="006325C2" w:rsidRPr="00543402" w:rsidRDefault="006325C2">
            <w:pPr>
              <w:rPr>
                <w:b/>
                <w:bCs/>
                <w:color w:val="000000"/>
                <w:sz w:val="18"/>
                <w:szCs w:val="18"/>
              </w:rPr>
            </w:pPr>
          </w:p>
        </w:tc>
        <w:tc>
          <w:tcPr>
            <w:tcW w:w="0" w:type="auto"/>
            <w:gridSpan w:val="3"/>
            <w:vMerge/>
            <w:tcBorders>
              <w:top w:val="single" w:sz="8" w:space="0" w:color="auto"/>
              <w:left w:val="single" w:sz="4" w:space="0" w:color="auto"/>
              <w:bottom w:val="single" w:sz="4" w:space="0" w:color="000000"/>
              <w:right w:val="single" w:sz="8" w:space="0" w:color="000000"/>
            </w:tcBorders>
            <w:vAlign w:val="center"/>
            <w:hideMark/>
          </w:tcPr>
          <w:p w14:paraId="1FDDB419" w14:textId="77777777" w:rsidR="006325C2" w:rsidRPr="00543402" w:rsidRDefault="006325C2">
            <w:pPr>
              <w:rPr>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752DCC8" w14:textId="77777777" w:rsidR="006325C2" w:rsidRPr="00543402" w:rsidRDefault="006325C2">
            <w:pPr>
              <w:rPr>
                <w:b/>
                <w:bCs/>
                <w:color w:val="000000"/>
                <w:sz w:val="18"/>
                <w:szCs w:val="18"/>
              </w:rPr>
            </w:pPr>
          </w:p>
        </w:tc>
      </w:tr>
      <w:tr w:rsidR="006325C2" w:rsidRPr="00543402" w14:paraId="53A2B4F2" w14:textId="77777777" w:rsidTr="006325C2">
        <w:trPr>
          <w:trHeight w:val="31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ECBEB13" w14:textId="77777777" w:rsidR="006325C2" w:rsidRPr="00543402" w:rsidRDefault="006325C2">
            <w:pPr>
              <w:rPr>
                <w:b/>
                <w:bCs/>
                <w:color w:val="000000"/>
                <w:sz w:val="18"/>
                <w:szCs w:val="18"/>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006253A" w14:textId="77777777" w:rsidR="006325C2" w:rsidRPr="00543402" w:rsidRDefault="006325C2">
            <w:pPr>
              <w:rPr>
                <w:b/>
                <w:bCs/>
                <w:color w:val="000000"/>
                <w:sz w:val="18"/>
                <w:szCs w:val="18"/>
              </w:rPr>
            </w:pPr>
          </w:p>
        </w:tc>
        <w:tc>
          <w:tcPr>
            <w:tcW w:w="1140" w:type="dxa"/>
            <w:tcBorders>
              <w:top w:val="nil"/>
              <w:left w:val="nil"/>
              <w:bottom w:val="single" w:sz="8" w:space="0" w:color="auto"/>
              <w:right w:val="single" w:sz="4" w:space="0" w:color="auto"/>
            </w:tcBorders>
            <w:vAlign w:val="center"/>
            <w:hideMark/>
          </w:tcPr>
          <w:p w14:paraId="26CED626" w14:textId="1EFBD038" w:rsidR="006325C2" w:rsidRPr="00543402" w:rsidRDefault="00953F67">
            <w:pPr>
              <w:jc w:val="center"/>
              <w:rPr>
                <w:b/>
                <w:bCs/>
                <w:color w:val="000000"/>
                <w:sz w:val="16"/>
                <w:szCs w:val="16"/>
              </w:rPr>
            </w:pPr>
            <w:r w:rsidRPr="00543402">
              <w:rPr>
                <w:b/>
                <w:bCs/>
                <w:color w:val="000000"/>
                <w:sz w:val="16"/>
                <w:szCs w:val="16"/>
              </w:rPr>
              <w:t>202</w:t>
            </w:r>
            <w:r w:rsidR="00FD4A53" w:rsidRPr="00543402">
              <w:rPr>
                <w:b/>
                <w:bCs/>
                <w:color w:val="000000"/>
                <w:sz w:val="16"/>
                <w:szCs w:val="16"/>
              </w:rPr>
              <w:t>6</w:t>
            </w:r>
            <w:r w:rsidR="006325C2" w:rsidRPr="00543402">
              <w:rPr>
                <w:b/>
                <w:bCs/>
                <w:color w:val="000000"/>
                <w:sz w:val="16"/>
                <w:szCs w:val="16"/>
              </w:rPr>
              <w:t>.</w:t>
            </w:r>
          </w:p>
        </w:tc>
        <w:tc>
          <w:tcPr>
            <w:tcW w:w="1140" w:type="dxa"/>
            <w:tcBorders>
              <w:top w:val="nil"/>
              <w:left w:val="nil"/>
              <w:bottom w:val="single" w:sz="8" w:space="0" w:color="auto"/>
              <w:right w:val="single" w:sz="4" w:space="0" w:color="auto"/>
            </w:tcBorders>
            <w:vAlign w:val="center"/>
            <w:hideMark/>
          </w:tcPr>
          <w:p w14:paraId="67FA2C7F" w14:textId="00E7850F" w:rsidR="006325C2" w:rsidRPr="00543402" w:rsidRDefault="00953F67">
            <w:pPr>
              <w:jc w:val="center"/>
              <w:rPr>
                <w:b/>
                <w:bCs/>
                <w:color w:val="000000"/>
                <w:sz w:val="16"/>
                <w:szCs w:val="16"/>
              </w:rPr>
            </w:pPr>
            <w:r w:rsidRPr="00543402">
              <w:rPr>
                <w:b/>
                <w:bCs/>
                <w:color w:val="000000"/>
                <w:sz w:val="16"/>
                <w:szCs w:val="16"/>
              </w:rPr>
              <w:t>202</w:t>
            </w:r>
            <w:r w:rsidR="00FD4A53" w:rsidRPr="00543402">
              <w:rPr>
                <w:b/>
                <w:bCs/>
                <w:color w:val="000000"/>
                <w:sz w:val="16"/>
                <w:szCs w:val="16"/>
              </w:rPr>
              <w:t>7</w:t>
            </w:r>
            <w:r w:rsidR="006325C2" w:rsidRPr="00543402">
              <w:rPr>
                <w:b/>
                <w:bCs/>
                <w:color w:val="000000"/>
                <w:sz w:val="16"/>
                <w:szCs w:val="16"/>
              </w:rPr>
              <w:t>.</w:t>
            </w:r>
          </w:p>
        </w:tc>
        <w:tc>
          <w:tcPr>
            <w:tcW w:w="1140" w:type="dxa"/>
            <w:tcBorders>
              <w:top w:val="nil"/>
              <w:left w:val="nil"/>
              <w:bottom w:val="single" w:sz="8" w:space="0" w:color="auto"/>
              <w:right w:val="single" w:sz="4" w:space="0" w:color="auto"/>
            </w:tcBorders>
            <w:vAlign w:val="center"/>
            <w:hideMark/>
          </w:tcPr>
          <w:p w14:paraId="0389E2ED" w14:textId="04381BA6" w:rsidR="006325C2" w:rsidRPr="00543402" w:rsidRDefault="00953F67" w:rsidP="00FD4A53">
            <w:pPr>
              <w:jc w:val="center"/>
              <w:rPr>
                <w:b/>
                <w:bCs/>
                <w:color w:val="000000"/>
                <w:sz w:val="16"/>
                <w:szCs w:val="16"/>
              </w:rPr>
            </w:pPr>
            <w:r w:rsidRPr="00543402">
              <w:rPr>
                <w:b/>
                <w:bCs/>
                <w:color w:val="000000"/>
                <w:sz w:val="16"/>
                <w:szCs w:val="16"/>
              </w:rPr>
              <w:t>202</w:t>
            </w:r>
            <w:r w:rsidR="00FD4A53" w:rsidRPr="00543402">
              <w:rPr>
                <w:b/>
                <w:bCs/>
                <w:color w:val="000000"/>
                <w:sz w:val="16"/>
                <w:szCs w:val="16"/>
              </w:rPr>
              <w:t>8</w:t>
            </w:r>
            <w:r w:rsidR="006325C2" w:rsidRPr="00543402">
              <w:rPr>
                <w:b/>
                <w:bCs/>
                <w:color w:val="000000"/>
                <w:sz w:val="16"/>
                <w:szCs w:val="16"/>
              </w:rPr>
              <w:t>.</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BD348F5" w14:textId="77777777" w:rsidR="006325C2" w:rsidRPr="00543402" w:rsidRDefault="006325C2">
            <w:pPr>
              <w:rPr>
                <w:b/>
                <w:bCs/>
                <w:color w:val="000000"/>
                <w:sz w:val="18"/>
                <w:szCs w:val="18"/>
              </w:rPr>
            </w:pPr>
          </w:p>
        </w:tc>
      </w:tr>
      <w:tr w:rsidR="006325C2" w:rsidRPr="00543402" w14:paraId="3224DF20" w14:textId="77777777" w:rsidTr="006325C2">
        <w:trPr>
          <w:trHeight w:val="315"/>
        </w:trPr>
        <w:tc>
          <w:tcPr>
            <w:tcW w:w="2820" w:type="dxa"/>
            <w:tcBorders>
              <w:top w:val="nil"/>
              <w:left w:val="single" w:sz="8" w:space="0" w:color="auto"/>
              <w:bottom w:val="single" w:sz="8" w:space="0" w:color="auto"/>
              <w:right w:val="single" w:sz="4" w:space="0" w:color="auto"/>
            </w:tcBorders>
            <w:vAlign w:val="center"/>
            <w:hideMark/>
          </w:tcPr>
          <w:p w14:paraId="24048EDE" w14:textId="77777777" w:rsidR="006325C2" w:rsidRPr="00543402" w:rsidRDefault="006325C2">
            <w:pPr>
              <w:jc w:val="center"/>
              <w:rPr>
                <w:b/>
                <w:bCs/>
                <w:color w:val="000000"/>
                <w:sz w:val="16"/>
                <w:szCs w:val="16"/>
              </w:rPr>
            </w:pPr>
            <w:r w:rsidRPr="00543402">
              <w:rPr>
                <w:b/>
                <w:bCs/>
                <w:color w:val="000000"/>
                <w:sz w:val="16"/>
                <w:szCs w:val="16"/>
              </w:rPr>
              <w:t>A</w:t>
            </w:r>
          </w:p>
        </w:tc>
        <w:tc>
          <w:tcPr>
            <w:tcW w:w="540" w:type="dxa"/>
            <w:tcBorders>
              <w:top w:val="nil"/>
              <w:left w:val="nil"/>
              <w:bottom w:val="single" w:sz="8" w:space="0" w:color="auto"/>
              <w:right w:val="single" w:sz="4" w:space="0" w:color="auto"/>
            </w:tcBorders>
            <w:vAlign w:val="center"/>
            <w:hideMark/>
          </w:tcPr>
          <w:p w14:paraId="5DE9A427" w14:textId="77777777" w:rsidR="006325C2" w:rsidRPr="00543402" w:rsidRDefault="006325C2">
            <w:pPr>
              <w:jc w:val="center"/>
              <w:rPr>
                <w:b/>
                <w:bCs/>
                <w:color w:val="000000"/>
                <w:sz w:val="16"/>
                <w:szCs w:val="16"/>
              </w:rPr>
            </w:pPr>
            <w:r w:rsidRPr="00543402">
              <w:rPr>
                <w:b/>
                <w:bCs/>
                <w:color w:val="000000"/>
                <w:sz w:val="16"/>
                <w:szCs w:val="16"/>
              </w:rPr>
              <w:t>B</w:t>
            </w:r>
          </w:p>
        </w:tc>
        <w:tc>
          <w:tcPr>
            <w:tcW w:w="1140" w:type="dxa"/>
            <w:tcBorders>
              <w:top w:val="nil"/>
              <w:left w:val="nil"/>
              <w:bottom w:val="single" w:sz="8" w:space="0" w:color="auto"/>
              <w:right w:val="single" w:sz="4" w:space="0" w:color="auto"/>
            </w:tcBorders>
            <w:vAlign w:val="center"/>
            <w:hideMark/>
          </w:tcPr>
          <w:p w14:paraId="674B4D46" w14:textId="77777777" w:rsidR="006325C2" w:rsidRPr="00543402" w:rsidRDefault="006325C2">
            <w:pPr>
              <w:jc w:val="center"/>
              <w:rPr>
                <w:b/>
                <w:bCs/>
                <w:color w:val="000000"/>
                <w:sz w:val="16"/>
                <w:szCs w:val="16"/>
              </w:rPr>
            </w:pPr>
            <w:r w:rsidRPr="00543402">
              <w:rPr>
                <w:b/>
                <w:bCs/>
                <w:color w:val="000000"/>
                <w:sz w:val="16"/>
                <w:szCs w:val="16"/>
              </w:rPr>
              <w:t>C</w:t>
            </w:r>
          </w:p>
        </w:tc>
        <w:tc>
          <w:tcPr>
            <w:tcW w:w="1140" w:type="dxa"/>
            <w:tcBorders>
              <w:top w:val="nil"/>
              <w:left w:val="nil"/>
              <w:bottom w:val="nil"/>
              <w:right w:val="single" w:sz="4" w:space="0" w:color="auto"/>
            </w:tcBorders>
            <w:vAlign w:val="center"/>
            <w:hideMark/>
          </w:tcPr>
          <w:p w14:paraId="4EE05FDA" w14:textId="77777777" w:rsidR="006325C2" w:rsidRPr="00543402" w:rsidRDefault="006325C2">
            <w:pPr>
              <w:jc w:val="center"/>
              <w:rPr>
                <w:b/>
                <w:bCs/>
                <w:color w:val="000000"/>
                <w:sz w:val="16"/>
                <w:szCs w:val="16"/>
              </w:rPr>
            </w:pPr>
            <w:r w:rsidRPr="00543402">
              <w:rPr>
                <w:b/>
                <w:bCs/>
                <w:color w:val="000000"/>
                <w:sz w:val="16"/>
                <w:szCs w:val="16"/>
              </w:rPr>
              <w:t>D</w:t>
            </w:r>
          </w:p>
        </w:tc>
        <w:tc>
          <w:tcPr>
            <w:tcW w:w="1140" w:type="dxa"/>
            <w:tcBorders>
              <w:top w:val="nil"/>
              <w:left w:val="nil"/>
              <w:bottom w:val="nil"/>
              <w:right w:val="single" w:sz="4" w:space="0" w:color="auto"/>
            </w:tcBorders>
            <w:vAlign w:val="center"/>
            <w:hideMark/>
          </w:tcPr>
          <w:p w14:paraId="10CA1DD7" w14:textId="77777777" w:rsidR="006325C2" w:rsidRPr="00543402" w:rsidRDefault="006325C2">
            <w:pPr>
              <w:jc w:val="center"/>
              <w:rPr>
                <w:b/>
                <w:bCs/>
                <w:color w:val="000000"/>
                <w:sz w:val="16"/>
                <w:szCs w:val="16"/>
              </w:rPr>
            </w:pPr>
            <w:r w:rsidRPr="00543402">
              <w:rPr>
                <w:b/>
                <w:bCs/>
                <w:color w:val="000000"/>
                <w:sz w:val="16"/>
                <w:szCs w:val="16"/>
              </w:rPr>
              <w:t>E</w:t>
            </w:r>
          </w:p>
        </w:tc>
        <w:tc>
          <w:tcPr>
            <w:tcW w:w="1320" w:type="dxa"/>
            <w:tcBorders>
              <w:top w:val="nil"/>
              <w:left w:val="single" w:sz="8" w:space="0" w:color="auto"/>
              <w:bottom w:val="nil"/>
              <w:right w:val="single" w:sz="8" w:space="0" w:color="auto"/>
            </w:tcBorders>
            <w:vAlign w:val="center"/>
            <w:hideMark/>
          </w:tcPr>
          <w:p w14:paraId="34E78D4F" w14:textId="77777777" w:rsidR="006325C2" w:rsidRPr="00543402" w:rsidRDefault="006325C2">
            <w:pPr>
              <w:jc w:val="center"/>
              <w:rPr>
                <w:b/>
                <w:bCs/>
                <w:color w:val="000000"/>
                <w:sz w:val="16"/>
                <w:szCs w:val="16"/>
              </w:rPr>
            </w:pPr>
            <w:r w:rsidRPr="00543402">
              <w:rPr>
                <w:b/>
                <w:bCs/>
                <w:color w:val="000000"/>
                <w:sz w:val="16"/>
                <w:szCs w:val="16"/>
              </w:rPr>
              <w:t>F</w:t>
            </w:r>
          </w:p>
        </w:tc>
      </w:tr>
      <w:tr w:rsidR="00E41367" w:rsidRPr="00543402" w14:paraId="78860769" w14:textId="77777777" w:rsidTr="00752073">
        <w:trPr>
          <w:trHeight w:val="446"/>
        </w:trPr>
        <w:tc>
          <w:tcPr>
            <w:tcW w:w="2820" w:type="dxa"/>
            <w:tcBorders>
              <w:top w:val="nil"/>
              <w:left w:val="single" w:sz="8" w:space="0" w:color="auto"/>
              <w:bottom w:val="single" w:sz="4" w:space="0" w:color="auto"/>
              <w:right w:val="single" w:sz="4" w:space="0" w:color="auto"/>
            </w:tcBorders>
            <w:shd w:val="clear" w:color="auto" w:fill="auto"/>
            <w:vAlign w:val="center"/>
            <w:hideMark/>
          </w:tcPr>
          <w:p w14:paraId="4B9096C8" w14:textId="77777777" w:rsidR="00E41367" w:rsidRPr="00543402" w:rsidRDefault="00E41367" w:rsidP="00E41367">
            <w:pPr>
              <w:rPr>
                <w:rFonts w:ascii="Times New Roman CE" w:hAnsi="Times New Roman CE" w:cs="Calibri"/>
                <w:sz w:val="14"/>
                <w:szCs w:val="14"/>
              </w:rPr>
            </w:pPr>
            <w:r w:rsidRPr="00543402">
              <w:rPr>
                <w:rFonts w:ascii="Times New Roman CE" w:hAnsi="Times New Roman CE" w:cs="Calibri"/>
                <w:sz w:val="14"/>
                <w:szCs w:val="14"/>
              </w:rPr>
              <w:t>Helyi adóból és a települési adóból származó bevétel</w:t>
            </w:r>
          </w:p>
        </w:tc>
        <w:tc>
          <w:tcPr>
            <w:tcW w:w="540" w:type="dxa"/>
            <w:tcBorders>
              <w:top w:val="nil"/>
              <w:left w:val="nil"/>
              <w:bottom w:val="single" w:sz="4" w:space="0" w:color="auto"/>
              <w:right w:val="single" w:sz="4" w:space="0" w:color="auto"/>
            </w:tcBorders>
            <w:vAlign w:val="center"/>
            <w:hideMark/>
          </w:tcPr>
          <w:p w14:paraId="04F54D6D" w14:textId="77777777" w:rsidR="00E41367" w:rsidRPr="00543402" w:rsidRDefault="00E41367" w:rsidP="00E41367">
            <w:pPr>
              <w:jc w:val="center"/>
              <w:rPr>
                <w:color w:val="000000"/>
                <w:sz w:val="16"/>
                <w:szCs w:val="16"/>
              </w:rPr>
            </w:pPr>
            <w:r w:rsidRPr="00543402">
              <w:rPr>
                <w:color w:val="000000"/>
                <w:sz w:val="16"/>
                <w:szCs w:val="16"/>
              </w:rPr>
              <w:t>01</w:t>
            </w:r>
          </w:p>
        </w:tc>
        <w:tc>
          <w:tcPr>
            <w:tcW w:w="1140" w:type="dxa"/>
            <w:tcBorders>
              <w:top w:val="nil"/>
              <w:left w:val="nil"/>
              <w:bottom w:val="single" w:sz="4" w:space="0" w:color="auto"/>
              <w:right w:val="single" w:sz="4" w:space="0" w:color="auto"/>
            </w:tcBorders>
            <w:vAlign w:val="center"/>
            <w:hideMark/>
          </w:tcPr>
          <w:p w14:paraId="51A80F1C" w14:textId="32FDB527" w:rsidR="00E41367" w:rsidRPr="00543402" w:rsidRDefault="00543402" w:rsidP="00E41367">
            <w:pPr>
              <w:ind w:firstLineChars="100" w:firstLine="160"/>
              <w:jc w:val="right"/>
              <w:rPr>
                <w:color w:val="000000"/>
                <w:sz w:val="16"/>
                <w:szCs w:val="16"/>
              </w:rPr>
            </w:pPr>
            <w:r w:rsidRPr="00543402">
              <w:rPr>
                <w:color w:val="000000"/>
                <w:sz w:val="16"/>
                <w:szCs w:val="16"/>
              </w:rPr>
              <w:t>425 000 000</w:t>
            </w:r>
          </w:p>
        </w:tc>
        <w:tc>
          <w:tcPr>
            <w:tcW w:w="1140" w:type="dxa"/>
            <w:tcBorders>
              <w:top w:val="single" w:sz="8" w:space="0" w:color="auto"/>
              <w:left w:val="nil"/>
              <w:bottom w:val="single" w:sz="4" w:space="0" w:color="auto"/>
              <w:right w:val="single" w:sz="4" w:space="0" w:color="auto"/>
            </w:tcBorders>
            <w:vAlign w:val="center"/>
            <w:hideMark/>
          </w:tcPr>
          <w:p w14:paraId="37588E13" w14:textId="0AAC993E" w:rsidR="00E41367" w:rsidRPr="00543402" w:rsidRDefault="00002B0F" w:rsidP="00E41367">
            <w:pPr>
              <w:ind w:firstLineChars="100" w:firstLine="160"/>
              <w:jc w:val="right"/>
              <w:rPr>
                <w:color w:val="000000"/>
                <w:sz w:val="16"/>
                <w:szCs w:val="16"/>
              </w:rPr>
            </w:pPr>
            <w:r w:rsidRPr="00543402">
              <w:rPr>
                <w:color w:val="000000"/>
                <w:sz w:val="16"/>
                <w:szCs w:val="16"/>
              </w:rPr>
              <w:t>4</w:t>
            </w:r>
            <w:r w:rsidR="00543402" w:rsidRPr="00543402">
              <w:rPr>
                <w:color w:val="000000"/>
                <w:sz w:val="16"/>
                <w:szCs w:val="16"/>
              </w:rPr>
              <w:t>30</w:t>
            </w:r>
            <w:r w:rsidR="00E41367" w:rsidRPr="00543402">
              <w:rPr>
                <w:color w:val="000000"/>
                <w:sz w:val="16"/>
                <w:szCs w:val="16"/>
              </w:rPr>
              <w:t xml:space="preserve"> 000 000</w:t>
            </w:r>
          </w:p>
        </w:tc>
        <w:tc>
          <w:tcPr>
            <w:tcW w:w="1140" w:type="dxa"/>
            <w:tcBorders>
              <w:top w:val="single" w:sz="8" w:space="0" w:color="auto"/>
              <w:left w:val="nil"/>
              <w:bottom w:val="single" w:sz="4" w:space="0" w:color="auto"/>
              <w:right w:val="single" w:sz="4" w:space="0" w:color="auto"/>
            </w:tcBorders>
            <w:vAlign w:val="center"/>
            <w:hideMark/>
          </w:tcPr>
          <w:p w14:paraId="5B4F2DC4" w14:textId="2B59B71F" w:rsidR="00E41367" w:rsidRPr="00543402" w:rsidRDefault="00002B0F" w:rsidP="00E41367">
            <w:pPr>
              <w:ind w:firstLineChars="100" w:firstLine="160"/>
              <w:jc w:val="right"/>
              <w:rPr>
                <w:color w:val="000000"/>
                <w:sz w:val="16"/>
                <w:szCs w:val="16"/>
              </w:rPr>
            </w:pPr>
            <w:r w:rsidRPr="00543402">
              <w:rPr>
                <w:color w:val="000000"/>
                <w:sz w:val="16"/>
                <w:szCs w:val="16"/>
              </w:rPr>
              <w:t>4</w:t>
            </w:r>
            <w:r w:rsidR="00543402" w:rsidRPr="00543402">
              <w:rPr>
                <w:color w:val="000000"/>
                <w:sz w:val="16"/>
                <w:szCs w:val="16"/>
              </w:rPr>
              <w:t>35</w:t>
            </w:r>
            <w:r w:rsidR="00E41367" w:rsidRPr="00543402">
              <w:rPr>
                <w:color w:val="000000"/>
                <w:sz w:val="16"/>
                <w:szCs w:val="16"/>
              </w:rPr>
              <w:t> 000 000</w:t>
            </w:r>
          </w:p>
        </w:tc>
        <w:tc>
          <w:tcPr>
            <w:tcW w:w="1320" w:type="dxa"/>
            <w:tcBorders>
              <w:top w:val="single" w:sz="8" w:space="0" w:color="auto"/>
              <w:left w:val="nil"/>
              <w:bottom w:val="single" w:sz="4" w:space="0" w:color="auto"/>
              <w:right w:val="single" w:sz="8" w:space="0" w:color="auto"/>
            </w:tcBorders>
            <w:vAlign w:val="center"/>
            <w:hideMark/>
          </w:tcPr>
          <w:p w14:paraId="079BA142" w14:textId="64362EE1" w:rsidR="00E41367" w:rsidRPr="00543402" w:rsidRDefault="00E41367"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1 </w:t>
            </w:r>
            <w:r w:rsidR="00543402" w:rsidRPr="00543402">
              <w:rPr>
                <w:rFonts w:ascii="Times New Roman CE" w:hAnsi="Times New Roman CE" w:cs="Calibri"/>
                <w:b/>
                <w:bCs/>
                <w:sz w:val="16"/>
                <w:szCs w:val="16"/>
              </w:rPr>
              <w:t>290</w:t>
            </w:r>
            <w:r w:rsidRPr="00543402">
              <w:rPr>
                <w:rFonts w:ascii="Times New Roman CE" w:hAnsi="Times New Roman CE" w:cs="Calibri"/>
                <w:b/>
                <w:bCs/>
                <w:sz w:val="16"/>
                <w:szCs w:val="16"/>
              </w:rPr>
              <w:t> 000 000</w:t>
            </w:r>
          </w:p>
        </w:tc>
      </w:tr>
      <w:tr w:rsidR="00E41367" w:rsidRPr="00543402" w14:paraId="54DE8831" w14:textId="77777777" w:rsidTr="006325C2">
        <w:trPr>
          <w:trHeight w:val="705"/>
        </w:trPr>
        <w:tc>
          <w:tcPr>
            <w:tcW w:w="2820" w:type="dxa"/>
            <w:tcBorders>
              <w:top w:val="nil"/>
              <w:left w:val="single" w:sz="8" w:space="0" w:color="auto"/>
              <w:bottom w:val="single" w:sz="4" w:space="0" w:color="auto"/>
              <w:right w:val="single" w:sz="4" w:space="0" w:color="auto"/>
            </w:tcBorders>
            <w:vAlign w:val="center"/>
            <w:hideMark/>
          </w:tcPr>
          <w:p w14:paraId="48D74E51" w14:textId="77777777" w:rsidR="00E41367" w:rsidRPr="00543402" w:rsidRDefault="00E41367" w:rsidP="00E41367">
            <w:pPr>
              <w:jc w:val="both"/>
              <w:rPr>
                <w:sz w:val="14"/>
                <w:szCs w:val="14"/>
              </w:rPr>
            </w:pPr>
            <w:r w:rsidRPr="00543402">
              <w:rPr>
                <w:sz w:val="14"/>
                <w:szCs w:val="14"/>
              </w:rPr>
              <w:t>Az önkormányzati vagyon és az önkormányzatot megillető vagyoni értékű jog értékesítéséből és hasznosításából származó bevétel</w:t>
            </w:r>
          </w:p>
        </w:tc>
        <w:tc>
          <w:tcPr>
            <w:tcW w:w="540" w:type="dxa"/>
            <w:tcBorders>
              <w:top w:val="nil"/>
              <w:left w:val="nil"/>
              <w:bottom w:val="single" w:sz="4" w:space="0" w:color="auto"/>
              <w:right w:val="single" w:sz="4" w:space="0" w:color="auto"/>
            </w:tcBorders>
            <w:vAlign w:val="center"/>
            <w:hideMark/>
          </w:tcPr>
          <w:p w14:paraId="06E446FB" w14:textId="77777777" w:rsidR="00E41367" w:rsidRPr="00543402" w:rsidRDefault="00E41367" w:rsidP="00E41367">
            <w:pPr>
              <w:jc w:val="center"/>
              <w:rPr>
                <w:color w:val="000000"/>
                <w:sz w:val="16"/>
                <w:szCs w:val="16"/>
              </w:rPr>
            </w:pPr>
            <w:r w:rsidRPr="00543402">
              <w:rPr>
                <w:color w:val="000000"/>
                <w:sz w:val="16"/>
                <w:szCs w:val="16"/>
              </w:rPr>
              <w:t>02</w:t>
            </w:r>
          </w:p>
        </w:tc>
        <w:tc>
          <w:tcPr>
            <w:tcW w:w="1140" w:type="dxa"/>
            <w:tcBorders>
              <w:top w:val="nil"/>
              <w:left w:val="nil"/>
              <w:bottom w:val="single" w:sz="4" w:space="0" w:color="auto"/>
              <w:right w:val="single" w:sz="4" w:space="0" w:color="auto"/>
            </w:tcBorders>
            <w:vAlign w:val="center"/>
            <w:hideMark/>
          </w:tcPr>
          <w:p w14:paraId="7E83BE95" w14:textId="5A5B0D98" w:rsidR="00E41367" w:rsidRPr="00543402" w:rsidRDefault="00E41367" w:rsidP="00E41367">
            <w:pPr>
              <w:ind w:firstLineChars="100" w:firstLine="160"/>
              <w:jc w:val="right"/>
              <w:rPr>
                <w:color w:val="000000"/>
                <w:sz w:val="16"/>
                <w:szCs w:val="16"/>
              </w:rPr>
            </w:pPr>
            <w:r w:rsidRPr="00543402">
              <w:rPr>
                <w:color w:val="000000"/>
                <w:sz w:val="16"/>
                <w:szCs w:val="16"/>
              </w:rPr>
              <w:t>20 000 000</w:t>
            </w:r>
          </w:p>
        </w:tc>
        <w:tc>
          <w:tcPr>
            <w:tcW w:w="1140" w:type="dxa"/>
            <w:tcBorders>
              <w:top w:val="nil"/>
              <w:left w:val="nil"/>
              <w:bottom w:val="single" w:sz="4" w:space="0" w:color="auto"/>
              <w:right w:val="single" w:sz="4" w:space="0" w:color="auto"/>
            </w:tcBorders>
            <w:vAlign w:val="center"/>
            <w:hideMark/>
          </w:tcPr>
          <w:p w14:paraId="1F334B33" w14:textId="21020056" w:rsidR="00E41367" w:rsidRPr="00543402" w:rsidRDefault="00E41367" w:rsidP="00E41367">
            <w:pPr>
              <w:ind w:firstLineChars="100" w:firstLine="160"/>
              <w:jc w:val="right"/>
              <w:rPr>
                <w:color w:val="000000"/>
                <w:sz w:val="16"/>
                <w:szCs w:val="16"/>
              </w:rPr>
            </w:pPr>
            <w:r w:rsidRPr="00543402">
              <w:rPr>
                <w:color w:val="000000"/>
                <w:sz w:val="16"/>
                <w:szCs w:val="16"/>
              </w:rPr>
              <w:t>25 000 000</w:t>
            </w:r>
          </w:p>
        </w:tc>
        <w:tc>
          <w:tcPr>
            <w:tcW w:w="1140" w:type="dxa"/>
            <w:tcBorders>
              <w:top w:val="nil"/>
              <w:left w:val="nil"/>
              <w:bottom w:val="single" w:sz="4" w:space="0" w:color="auto"/>
              <w:right w:val="single" w:sz="4" w:space="0" w:color="auto"/>
            </w:tcBorders>
            <w:vAlign w:val="center"/>
            <w:hideMark/>
          </w:tcPr>
          <w:p w14:paraId="0DD89AC1" w14:textId="24D3DC4F" w:rsidR="00E41367" w:rsidRPr="00543402" w:rsidRDefault="00E41367" w:rsidP="00E41367">
            <w:pPr>
              <w:ind w:firstLineChars="100" w:firstLine="160"/>
              <w:jc w:val="right"/>
              <w:rPr>
                <w:color w:val="000000"/>
                <w:sz w:val="16"/>
                <w:szCs w:val="16"/>
              </w:rPr>
            </w:pPr>
            <w:r w:rsidRPr="00543402">
              <w:rPr>
                <w:color w:val="000000"/>
                <w:sz w:val="16"/>
                <w:szCs w:val="16"/>
              </w:rPr>
              <w:t>30 000 000</w:t>
            </w:r>
          </w:p>
        </w:tc>
        <w:tc>
          <w:tcPr>
            <w:tcW w:w="1320" w:type="dxa"/>
            <w:tcBorders>
              <w:top w:val="nil"/>
              <w:left w:val="nil"/>
              <w:bottom w:val="single" w:sz="4" w:space="0" w:color="auto"/>
              <w:right w:val="single" w:sz="8" w:space="0" w:color="auto"/>
            </w:tcBorders>
            <w:vAlign w:val="center"/>
            <w:hideMark/>
          </w:tcPr>
          <w:p w14:paraId="49B58C92" w14:textId="1405F6EE" w:rsidR="00E41367" w:rsidRPr="00543402" w:rsidRDefault="00E41367"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75 000 000</w:t>
            </w:r>
          </w:p>
        </w:tc>
      </w:tr>
      <w:tr w:rsidR="00E41367" w:rsidRPr="00543402" w14:paraId="08E26F4F" w14:textId="77777777" w:rsidTr="006325C2">
        <w:trPr>
          <w:trHeight w:val="260"/>
        </w:trPr>
        <w:tc>
          <w:tcPr>
            <w:tcW w:w="2820" w:type="dxa"/>
            <w:tcBorders>
              <w:top w:val="nil"/>
              <w:left w:val="single" w:sz="8" w:space="0" w:color="auto"/>
              <w:bottom w:val="single" w:sz="4" w:space="0" w:color="auto"/>
              <w:right w:val="single" w:sz="4" w:space="0" w:color="auto"/>
            </w:tcBorders>
            <w:vAlign w:val="center"/>
            <w:hideMark/>
          </w:tcPr>
          <w:p w14:paraId="781BA0C1" w14:textId="77777777" w:rsidR="00E41367" w:rsidRPr="00543402" w:rsidRDefault="00E41367" w:rsidP="00E41367">
            <w:pPr>
              <w:rPr>
                <w:sz w:val="14"/>
                <w:szCs w:val="14"/>
              </w:rPr>
            </w:pPr>
            <w:r w:rsidRPr="00543402">
              <w:rPr>
                <w:sz w:val="14"/>
                <w:szCs w:val="14"/>
              </w:rPr>
              <w:t>Osztalék, koncessziós díj és hozambevétel</w:t>
            </w:r>
          </w:p>
        </w:tc>
        <w:tc>
          <w:tcPr>
            <w:tcW w:w="540" w:type="dxa"/>
            <w:tcBorders>
              <w:top w:val="nil"/>
              <w:left w:val="nil"/>
              <w:bottom w:val="single" w:sz="4" w:space="0" w:color="auto"/>
              <w:right w:val="single" w:sz="4" w:space="0" w:color="auto"/>
            </w:tcBorders>
            <w:vAlign w:val="center"/>
            <w:hideMark/>
          </w:tcPr>
          <w:p w14:paraId="56F30DF7" w14:textId="77777777" w:rsidR="00E41367" w:rsidRPr="00543402" w:rsidRDefault="00E41367" w:rsidP="00E41367">
            <w:pPr>
              <w:jc w:val="center"/>
              <w:rPr>
                <w:color w:val="000000"/>
                <w:sz w:val="16"/>
                <w:szCs w:val="16"/>
              </w:rPr>
            </w:pPr>
            <w:r w:rsidRPr="00543402">
              <w:rPr>
                <w:color w:val="000000"/>
                <w:sz w:val="16"/>
                <w:szCs w:val="16"/>
              </w:rPr>
              <w:t>03</w:t>
            </w:r>
          </w:p>
        </w:tc>
        <w:tc>
          <w:tcPr>
            <w:tcW w:w="1140" w:type="dxa"/>
            <w:tcBorders>
              <w:top w:val="nil"/>
              <w:left w:val="nil"/>
              <w:bottom w:val="single" w:sz="4" w:space="0" w:color="auto"/>
              <w:right w:val="single" w:sz="4" w:space="0" w:color="auto"/>
            </w:tcBorders>
            <w:vAlign w:val="center"/>
            <w:hideMark/>
          </w:tcPr>
          <w:p w14:paraId="456B8E54" w14:textId="542A28DB" w:rsidR="00E41367" w:rsidRPr="00543402" w:rsidRDefault="00E41367" w:rsidP="00E41367">
            <w:pPr>
              <w:ind w:firstLineChars="100" w:firstLine="160"/>
              <w:jc w:val="right"/>
              <w:rPr>
                <w:color w:val="000000"/>
                <w:sz w:val="16"/>
                <w:szCs w:val="16"/>
              </w:rPr>
            </w:pPr>
            <w:r w:rsidRPr="00543402">
              <w:rPr>
                <w:color w:val="000000"/>
                <w:sz w:val="16"/>
                <w:szCs w:val="16"/>
              </w:rPr>
              <w:t> </w:t>
            </w:r>
          </w:p>
        </w:tc>
        <w:tc>
          <w:tcPr>
            <w:tcW w:w="1140" w:type="dxa"/>
            <w:tcBorders>
              <w:top w:val="nil"/>
              <w:left w:val="nil"/>
              <w:bottom w:val="single" w:sz="4" w:space="0" w:color="auto"/>
              <w:right w:val="single" w:sz="4" w:space="0" w:color="auto"/>
            </w:tcBorders>
            <w:vAlign w:val="center"/>
            <w:hideMark/>
          </w:tcPr>
          <w:p w14:paraId="4A3FFEF0" w14:textId="51BEBECF" w:rsidR="00E41367" w:rsidRPr="00543402" w:rsidRDefault="00E41367" w:rsidP="00E41367">
            <w:pPr>
              <w:ind w:firstLineChars="100" w:firstLine="160"/>
              <w:jc w:val="right"/>
              <w:rPr>
                <w:color w:val="000000"/>
                <w:sz w:val="16"/>
                <w:szCs w:val="16"/>
              </w:rPr>
            </w:pPr>
            <w:r w:rsidRPr="00543402">
              <w:rPr>
                <w:color w:val="000000"/>
                <w:sz w:val="16"/>
                <w:szCs w:val="16"/>
              </w:rPr>
              <w:t> </w:t>
            </w:r>
          </w:p>
        </w:tc>
        <w:tc>
          <w:tcPr>
            <w:tcW w:w="1140" w:type="dxa"/>
            <w:tcBorders>
              <w:top w:val="nil"/>
              <w:left w:val="nil"/>
              <w:bottom w:val="single" w:sz="4" w:space="0" w:color="auto"/>
              <w:right w:val="single" w:sz="4" w:space="0" w:color="auto"/>
            </w:tcBorders>
            <w:vAlign w:val="center"/>
            <w:hideMark/>
          </w:tcPr>
          <w:p w14:paraId="14240F89" w14:textId="400A8357" w:rsidR="00E41367" w:rsidRPr="00543402" w:rsidRDefault="00E41367" w:rsidP="00E41367">
            <w:pPr>
              <w:ind w:firstLineChars="100" w:firstLine="160"/>
              <w:jc w:val="right"/>
              <w:rPr>
                <w:color w:val="000000"/>
                <w:sz w:val="16"/>
                <w:szCs w:val="16"/>
              </w:rPr>
            </w:pPr>
            <w:r w:rsidRPr="00543402">
              <w:rPr>
                <w:color w:val="000000"/>
                <w:sz w:val="16"/>
                <w:szCs w:val="16"/>
              </w:rPr>
              <w:t> </w:t>
            </w:r>
          </w:p>
        </w:tc>
        <w:tc>
          <w:tcPr>
            <w:tcW w:w="1320" w:type="dxa"/>
            <w:tcBorders>
              <w:top w:val="nil"/>
              <w:left w:val="nil"/>
              <w:bottom w:val="single" w:sz="4" w:space="0" w:color="auto"/>
              <w:right w:val="single" w:sz="8" w:space="0" w:color="auto"/>
            </w:tcBorders>
            <w:vAlign w:val="center"/>
            <w:hideMark/>
          </w:tcPr>
          <w:p w14:paraId="4674C626" w14:textId="124F032D" w:rsidR="00E41367" w:rsidRPr="00543402" w:rsidRDefault="00E41367"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 </w:t>
            </w:r>
          </w:p>
        </w:tc>
      </w:tr>
      <w:tr w:rsidR="00E41367" w:rsidRPr="00543402" w14:paraId="47BE92CB" w14:textId="77777777" w:rsidTr="006325C2">
        <w:trPr>
          <w:trHeight w:val="561"/>
        </w:trPr>
        <w:tc>
          <w:tcPr>
            <w:tcW w:w="2820" w:type="dxa"/>
            <w:tcBorders>
              <w:top w:val="nil"/>
              <w:left w:val="single" w:sz="8" w:space="0" w:color="auto"/>
              <w:bottom w:val="single" w:sz="4" w:space="0" w:color="auto"/>
              <w:right w:val="single" w:sz="4" w:space="0" w:color="auto"/>
            </w:tcBorders>
            <w:vAlign w:val="center"/>
            <w:hideMark/>
          </w:tcPr>
          <w:p w14:paraId="71D4D275" w14:textId="77777777" w:rsidR="00E41367" w:rsidRPr="00543402" w:rsidRDefault="00E41367" w:rsidP="00E41367">
            <w:pPr>
              <w:rPr>
                <w:sz w:val="14"/>
                <w:szCs w:val="14"/>
              </w:rPr>
            </w:pPr>
            <w:r w:rsidRPr="00543402">
              <w:rPr>
                <w:sz w:val="14"/>
                <w:szCs w:val="14"/>
              </w:rPr>
              <w:t>Tárgyi eszköz és az immateriális jószág, részvény, részesedés, vállalat értékesítéséből vagy privatizációból származó bevétel</w:t>
            </w:r>
          </w:p>
        </w:tc>
        <w:tc>
          <w:tcPr>
            <w:tcW w:w="540" w:type="dxa"/>
            <w:tcBorders>
              <w:top w:val="nil"/>
              <w:left w:val="nil"/>
              <w:bottom w:val="single" w:sz="4" w:space="0" w:color="auto"/>
              <w:right w:val="single" w:sz="4" w:space="0" w:color="auto"/>
            </w:tcBorders>
            <w:vAlign w:val="center"/>
            <w:hideMark/>
          </w:tcPr>
          <w:p w14:paraId="0C9ACB84" w14:textId="77777777" w:rsidR="00E41367" w:rsidRPr="00543402" w:rsidRDefault="00E41367" w:rsidP="00E41367">
            <w:pPr>
              <w:jc w:val="center"/>
              <w:rPr>
                <w:color w:val="000000"/>
                <w:sz w:val="16"/>
                <w:szCs w:val="16"/>
              </w:rPr>
            </w:pPr>
            <w:r w:rsidRPr="00543402">
              <w:rPr>
                <w:color w:val="000000"/>
                <w:sz w:val="16"/>
                <w:szCs w:val="16"/>
              </w:rPr>
              <w:t>04</w:t>
            </w:r>
          </w:p>
        </w:tc>
        <w:tc>
          <w:tcPr>
            <w:tcW w:w="1140" w:type="dxa"/>
            <w:tcBorders>
              <w:top w:val="nil"/>
              <w:left w:val="nil"/>
              <w:bottom w:val="single" w:sz="4" w:space="0" w:color="auto"/>
              <w:right w:val="single" w:sz="4" w:space="0" w:color="auto"/>
            </w:tcBorders>
            <w:vAlign w:val="center"/>
            <w:hideMark/>
          </w:tcPr>
          <w:p w14:paraId="297E47EB" w14:textId="485F4003" w:rsidR="00E41367" w:rsidRPr="00543402" w:rsidRDefault="00E41367" w:rsidP="00E41367">
            <w:pPr>
              <w:ind w:firstLineChars="100" w:firstLine="160"/>
              <w:jc w:val="right"/>
              <w:rPr>
                <w:color w:val="000000"/>
                <w:sz w:val="16"/>
                <w:szCs w:val="16"/>
              </w:rPr>
            </w:pPr>
            <w:r w:rsidRPr="00543402">
              <w:rPr>
                <w:color w:val="000000"/>
                <w:sz w:val="16"/>
                <w:szCs w:val="16"/>
              </w:rPr>
              <w:t>2 000 000</w:t>
            </w:r>
          </w:p>
        </w:tc>
        <w:tc>
          <w:tcPr>
            <w:tcW w:w="1140" w:type="dxa"/>
            <w:tcBorders>
              <w:top w:val="nil"/>
              <w:left w:val="nil"/>
              <w:bottom w:val="single" w:sz="4" w:space="0" w:color="auto"/>
              <w:right w:val="single" w:sz="4" w:space="0" w:color="auto"/>
            </w:tcBorders>
            <w:vAlign w:val="center"/>
            <w:hideMark/>
          </w:tcPr>
          <w:p w14:paraId="6C99C85A" w14:textId="4C2B6595" w:rsidR="00E41367" w:rsidRPr="00543402" w:rsidRDefault="00E41367" w:rsidP="00E41367">
            <w:pPr>
              <w:ind w:firstLineChars="100" w:firstLine="160"/>
              <w:jc w:val="right"/>
              <w:rPr>
                <w:color w:val="000000"/>
                <w:sz w:val="16"/>
                <w:szCs w:val="16"/>
              </w:rPr>
            </w:pPr>
            <w:r w:rsidRPr="00543402">
              <w:rPr>
                <w:color w:val="000000"/>
                <w:sz w:val="16"/>
                <w:szCs w:val="16"/>
              </w:rPr>
              <w:t xml:space="preserve">3 000 000 </w:t>
            </w:r>
          </w:p>
        </w:tc>
        <w:tc>
          <w:tcPr>
            <w:tcW w:w="1140" w:type="dxa"/>
            <w:tcBorders>
              <w:top w:val="nil"/>
              <w:left w:val="nil"/>
              <w:bottom w:val="single" w:sz="4" w:space="0" w:color="auto"/>
              <w:right w:val="single" w:sz="4" w:space="0" w:color="auto"/>
            </w:tcBorders>
            <w:vAlign w:val="center"/>
            <w:hideMark/>
          </w:tcPr>
          <w:p w14:paraId="62A8178F" w14:textId="63365729" w:rsidR="00E41367" w:rsidRPr="00543402" w:rsidRDefault="00E41367" w:rsidP="00E41367">
            <w:pPr>
              <w:ind w:firstLineChars="100" w:firstLine="160"/>
              <w:jc w:val="right"/>
              <w:rPr>
                <w:color w:val="000000"/>
                <w:sz w:val="16"/>
                <w:szCs w:val="16"/>
              </w:rPr>
            </w:pPr>
            <w:r w:rsidRPr="00543402">
              <w:rPr>
                <w:color w:val="000000"/>
                <w:sz w:val="16"/>
                <w:szCs w:val="16"/>
              </w:rPr>
              <w:t>4 000 000</w:t>
            </w:r>
          </w:p>
        </w:tc>
        <w:tc>
          <w:tcPr>
            <w:tcW w:w="1320" w:type="dxa"/>
            <w:tcBorders>
              <w:top w:val="nil"/>
              <w:left w:val="nil"/>
              <w:bottom w:val="single" w:sz="4" w:space="0" w:color="auto"/>
              <w:right w:val="single" w:sz="8" w:space="0" w:color="auto"/>
            </w:tcBorders>
            <w:vAlign w:val="center"/>
            <w:hideMark/>
          </w:tcPr>
          <w:p w14:paraId="659CB452" w14:textId="30B10712" w:rsidR="00E41367" w:rsidRPr="00543402" w:rsidRDefault="00E41367"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9 000 000</w:t>
            </w:r>
          </w:p>
        </w:tc>
      </w:tr>
      <w:tr w:rsidR="00E41367" w:rsidRPr="00543402" w14:paraId="5F4D50E4" w14:textId="77777777" w:rsidTr="006325C2">
        <w:trPr>
          <w:trHeight w:val="300"/>
        </w:trPr>
        <w:tc>
          <w:tcPr>
            <w:tcW w:w="2820" w:type="dxa"/>
            <w:tcBorders>
              <w:top w:val="nil"/>
              <w:left w:val="single" w:sz="8" w:space="0" w:color="auto"/>
              <w:bottom w:val="single" w:sz="4" w:space="0" w:color="auto"/>
              <w:right w:val="single" w:sz="4" w:space="0" w:color="auto"/>
            </w:tcBorders>
            <w:vAlign w:val="center"/>
            <w:hideMark/>
          </w:tcPr>
          <w:p w14:paraId="751249E3" w14:textId="77777777" w:rsidR="00E41367" w:rsidRPr="00543402" w:rsidRDefault="00E41367" w:rsidP="00E41367">
            <w:pPr>
              <w:rPr>
                <w:sz w:val="14"/>
                <w:szCs w:val="14"/>
              </w:rPr>
            </w:pPr>
            <w:r w:rsidRPr="00543402">
              <w:rPr>
                <w:sz w:val="14"/>
                <w:szCs w:val="14"/>
              </w:rPr>
              <w:t>Bírság-, pótlék- és díjbevétel</w:t>
            </w:r>
          </w:p>
        </w:tc>
        <w:tc>
          <w:tcPr>
            <w:tcW w:w="540" w:type="dxa"/>
            <w:tcBorders>
              <w:top w:val="nil"/>
              <w:left w:val="nil"/>
              <w:bottom w:val="single" w:sz="4" w:space="0" w:color="auto"/>
              <w:right w:val="single" w:sz="4" w:space="0" w:color="auto"/>
            </w:tcBorders>
            <w:vAlign w:val="center"/>
            <w:hideMark/>
          </w:tcPr>
          <w:p w14:paraId="59A988FE" w14:textId="77777777" w:rsidR="00E41367" w:rsidRPr="00543402" w:rsidRDefault="00E41367" w:rsidP="00E41367">
            <w:pPr>
              <w:jc w:val="center"/>
              <w:rPr>
                <w:color w:val="000000"/>
                <w:sz w:val="16"/>
                <w:szCs w:val="16"/>
              </w:rPr>
            </w:pPr>
            <w:r w:rsidRPr="00543402">
              <w:rPr>
                <w:color w:val="000000"/>
                <w:sz w:val="16"/>
                <w:szCs w:val="16"/>
              </w:rPr>
              <w:t>05</w:t>
            </w:r>
          </w:p>
        </w:tc>
        <w:tc>
          <w:tcPr>
            <w:tcW w:w="1140" w:type="dxa"/>
            <w:tcBorders>
              <w:top w:val="nil"/>
              <w:left w:val="nil"/>
              <w:bottom w:val="single" w:sz="4" w:space="0" w:color="auto"/>
              <w:right w:val="single" w:sz="4" w:space="0" w:color="auto"/>
            </w:tcBorders>
            <w:vAlign w:val="center"/>
            <w:hideMark/>
          </w:tcPr>
          <w:p w14:paraId="57F9581B" w14:textId="696C7CAB" w:rsidR="00E41367" w:rsidRPr="00543402" w:rsidRDefault="00E41367" w:rsidP="00E41367">
            <w:pPr>
              <w:ind w:firstLineChars="100" w:firstLine="160"/>
              <w:jc w:val="right"/>
              <w:rPr>
                <w:color w:val="000000"/>
                <w:sz w:val="16"/>
                <w:szCs w:val="16"/>
              </w:rPr>
            </w:pPr>
            <w:r w:rsidRPr="00543402">
              <w:rPr>
                <w:color w:val="000000"/>
                <w:sz w:val="16"/>
                <w:szCs w:val="16"/>
              </w:rPr>
              <w:t xml:space="preserve">1 </w:t>
            </w:r>
            <w:r w:rsidR="00002B0F" w:rsidRPr="00543402">
              <w:rPr>
                <w:color w:val="000000"/>
                <w:sz w:val="16"/>
                <w:szCs w:val="16"/>
              </w:rPr>
              <w:t>5</w:t>
            </w:r>
            <w:r w:rsidRPr="00543402">
              <w:rPr>
                <w:color w:val="000000"/>
                <w:sz w:val="16"/>
                <w:szCs w:val="16"/>
              </w:rPr>
              <w:t>00 000</w:t>
            </w:r>
          </w:p>
        </w:tc>
        <w:tc>
          <w:tcPr>
            <w:tcW w:w="1140" w:type="dxa"/>
            <w:tcBorders>
              <w:top w:val="nil"/>
              <w:left w:val="nil"/>
              <w:bottom w:val="single" w:sz="4" w:space="0" w:color="auto"/>
              <w:right w:val="single" w:sz="4" w:space="0" w:color="auto"/>
            </w:tcBorders>
            <w:vAlign w:val="center"/>
            <w:hideMark/>
          </w:tcPr>
          <w:p w14:paraId="13B5E9DD" w14:textId="12B7FF10" w:rsidR="00E41367" w:rsidRPr="00543402" w:rsidRDefault="00E41367" w:rsidP="00E41367">
            <w:pPr>
              <w:ind w:firstLineChars="100" w:firstLine="160"/>
              <w:jc w:val="right"/>
              <w:rPr>
                <w:color w:val="000000"/>
                <w:sz w:val="16"/>
                <w:szCs w:val="16"/>
              </w:rPr>
            </w:pPr>
            <w:r w:rsidRPr="00543402">
              <w:rPr>
                <w:color w:val="000000"/>
                <w:sz w:val="16"/>
                <w:szCs w:val="16"/>
              </w:rPr>
              <w:t xml:space="preserve">1 </w:t>
            </w:r>
            <w:r w:rsidR="00002B0F" w:rsidRPr="00543402">
              <w:rPr>
                <w:color w:val="000000"/>
                <w:sz w:val="16"/>
                <w:szCs w:val="16"/>
              </w:rPr>
              <w:t>6</w:t>
            </w:r>
            <w:r w:rsidRPr="00543402">
              <w:rPr>
                <w:color w:val="000000"/>
                <w:sz w:val="16"/>
                <w:szCs w:val="16"/>
              </w:rPr>
              <w:t>00 000</w:t>
            </w:r>
          </w:p>
        </w:tc>
        <w:tc>
          <w:tcPr>
            <w:tcW w:w="1140" w:type="dxa"/>
            <w:tcBorders>
              <w:top w:val="nil"/>
              <w:left w:val="nil"/>
              <w:bottom w:val="single" w:sz="4" w:space="0" w:color="auto"/>
              <w:right w:val="single" w:sz="4" w:space="0" w:color="auto"/>
            </w:tcBorders>
            <w:vAlign w:val="center"/>
            <w:hideMark/>
          </w:tcPr>
          <w:p w14:paraId="44D985E5" w14:textId="7B71041C" w:rsidR="00E41367" w:rsidRPr="00543402" w:rsidRDefault="00E41367" w:rsidP="00E41367">
            <w:pPr>
              <w:ind w:firstLineChars="100" w:firstLine="160"/>
              <w:jc w:val="right"/>
              <w:rPr>
                <w:color w:val="000000"/>
                <w:sz w:val="16"/>
                <w:szCs w:val="16"/>
              </w:rPr>
            </w:pPr>
            <w:r w:rsidRPr="00543402">
              <w:rPr>
                <w:color w:val="000000"/>
                <w:sz w:val="16"/>
                <w:szCs w:val="16"/>
              </w:rPr>
              <w:t xml:space="preserve">1 </w:t>
            </w:r>
            <w:r w:rsidR="00002B0F" w:rsidRPr="00543402">
              <w:rPr>
                <w:color w:val="000000"/>
                <w:sz w:val="16"/>
                <w:szCs w:val="16"/>
              </w:rPr>
              <w:t>7</w:t>
            </w:r>
            <w:r w:rsidRPr="00543402">
              <w:rPr>
                <w:color w:val="000000"/>
                <w:sz w:val="16"/>
                <w:szCs w:val="16"/>
              </w:rPr>
              <w:t>00 000</w:t>
            </w:r>
          </w:p>
        </w:tc>
        <w:tc>
          <w:tcPr>
            <w:tcW w:w="1320" w:type="dxa"/>
            <w:tcBorders>
              <w:top w:val="nil"/>
              <w:left w:val="nil"/>
              <w:bottom w:val="single" w:sz="4" w:space="0" w:color="auto"/>
              <w:right w:val="single" w:sz="8" w:space="0" w:color="auto"/>
            </w:tcBorders>
            <w:vAlign w:val="center"/>
            <w:hideMark/>
          </w:tcPr>
          <w:p w14:paraId="67F28E63" w14:textId="50E7F213" w:rsidR="00E41367" w:rsidRPr="00543402" w:rsidRDefault="00002B0F"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4 800 00</w:t>
            </w:r>
            <w:r w:rsidR="00E41367" w:rsidRPr="00543402">
              <w:rPr>
                <w:rFonts w:ascii="Times New Roman CE" w:hAnsi="Times New Roman CE" w:cs="Calibri"/>
                <w:b/>
                <w:bCs/>
                <w:sz w:val="16"/>
                <w:szCs w:val="16"/>
              </w:rPr>
              <w:t>0</w:t>
            </w:r>
          </w:p>
        </w:tc>
      </w:tr>
      <w:tr w:rsidR="00E41367" w:rsidRPr="00543402" w14:paraId="4DE171FF" w14:textId="77777777" w:rsidTr="006325C2">
        <w:trPr>
          <w:trHeight w:val="390"/>
        </w:trPr>
        <w:tc>
          <w:tcPr>
            <w:tcW w:w="2820" w:type="dxa"/>
            <w:tcBorders>
              <w:top w:val="nil"/>
              <w:left w:val="single" w:sz="8" w:space="0" w:color="auto"/>
              <w:bottom w:val="single" w:sz="8" w:space="0" w:color="auto"/>
              <w:right w:val="single" w:sz="4" w:space="0" w:color="auto"/>
            </w:tcBorders>
            <w:vAlign w:val="center"/>
            <w:hideMark/>
          </w:tcPr>
          <w:p w14:paraId="34252E5E" w14:textId="77777777" w:rsidR="00E41367" w:rsidRPr="00543402" w:rsidRDefault="00E41367" w:rsidP="00E41367">
            <w:pPr>
              <w:rPr>
                <w:sz w:val="14"/>
                <w:szCs w:val="14"/>
              </w:rPr>
            </w:pPr>
            <w:r w:rsidRPr="00543402">
              <w:rPr>
                <w:sz w:val="14"/>
                <w:szCs w:val="14"/>
              </w:rPr>
              <w:t>Kezesség-, illetve garanciavállalással kapcsolatos megtérülés</w:t>
            </w:r>
          </w:p>
        </w:tc>
        <w:tc>
          <w:tcPr>
            <w:tcW w:w="540" w:type="dxa"/>
            <w:tcBorders>
              <w:top w:val="nil"/>
              <w:left w:val="nil"/>
              <w:bottom w:val="single" w:sz="4" w:space="0" w:color="auto"/>
              <w:right w:val="single" w:sz="4" w:space="0" w:color="auto"/>
            </w:tcBorders>
            <w:vAlign w:val="center"/>
            <w:hideMark/>
          </w:tcPr>
          <w:p w14:paraId="1170A970" w14:textId="77777777" w:rsidR="00E41367" w:rsidRPr="00543402" w:rsidRDefault="00E41367" w:rsidP="00E41367">
            <w:pPr>
              <w:jc w:val="center"/>
              <w:rPr>
                <w:color w:val="000000"/>
                <w:sz w:val="16"/>
                <w:szCs w:val="16"/>
              </w:rPr>
            </w:pPr>
            <w:r w:rsidRPr="00543402">
              <w:rPr>
                <w:color w:val="000000"/>
                <w:sz w:val="16"/>
                <w:szCs w:val="16"/>
              </w:rPr>
              <w:t>06</w:t>
            </w:r>
          </w:p>
        </w:tc>
        <w:tc>
          <w:tcPr>
            <w:tcW w:w="1140" w:type="dxa"/>
            <w:tcBorders>
              <w:top w:val="nil"/>
              <w:left w:val="nil"/>
              <w:bottom w:val="single" w:sz="8" w:space="0" w:color="auto"/>
              <w:right w:val="single" w:sz="4" w:space="0" w:color="auto"/>
            </w:tcBorders>
            <w:vAlign w:val="center"/>
            <w:hideMark/>
          </w:tcPr>
          <w:p w14:paraId="2A20E6A2" w14:textId="5564FE86" w:rsidR="00E41367" w:rsidRPr="00543402" w:rsidRDefault="00E41367" w:rsidP="00E41367">
            <w:pPr>
              <w:ind w:firstLineChars="100" w:firstLine="160"/>
              <w:jc w:val="right"/>
              <w:rPr>
                <w:color w:val="000000"/>
                <w:sz w:val="16"/>
                <w:szCs w:val="16"/>
              </w:rPr>
            </w:pPr>
            <w:r w:rsidRPr="00543402">
              <w:rPr>
                <w:color w:val="000000"/>
                <w:sz w:val="16"/>
                <w:szCs w:val="16"/>
              </w:rPr>
              <w:t> </w:t>
            </w:r>
          </w:p>
        </w:tc>
        <w:tc>
          <w:tcPr>
            <w:tcW w:w="1140" w:type="dxa"/>
            <w:tcBorders>
              <w:top w:val="nil"/>
              <w:left w:val="nil"/>
              <w:bottom w:val="single" w:sz="8" w:space="0" w:color="auto"/>
              <w:right w:val="single" w:sz="4" w:space="0" w:color="auto"/>
            </w:tcBorders>
            <w:vAlign w:val="center"/>
            <w:hideMark/>
          </w:tcPr>
          <w:p w14:paraId="4B3CB07D" w14:textId="783F5859" w:rsidR="00E41367" w:rsidRPr="00543402" w:rsidRDefault="00E41367" w:rsidP="00E41367">
            <w:pPr>
              <w:ind w:firstLineChars="100" w:firstLine="160"/>
              <w:jc w:val="right"/>
              <w:rPr>
                <w:color w:val="000000"/>
                <w:sz w:val="16"/>
                <w:szCs w:val="16"/>
              </w:rPr>
            </w:pPr>
            <w:r w:rsidRPr="00543402">
              <w:rPr>
                <w:color w:val="000000"/>
                <w:sz w:val="16"/>
                <w:szCs w:val="16"/>
              </w:rPr>
              <w:t> </w:t>
            </w:r>
          </w:p>
        </w:tc>
        <w:tc>
          <w:tcPr>
            <w:tcW w:w="1140" w:type="dxa"/>
            <w:tcBorders>
              <w:top w:val="nil"/>
              <w:left w:val="nil"/>
              <w:bottom w:val="single" w:sz="8" w:space="0" w:color="auto"/>
              <w:right w:val="single" w:sz="4" w:space="0" w:color="auto"/>
            </w:tcBorders>
            <w:vAlign w:val="center"/>
            <w:hideMark/>
          </w:tcPr>
          <w:p w14:paraId="724B8ADE" w14:textId="2E425C86" w:rsidR="00E41367" w:rsidRPr="00543402" w:rsidRDefault="00E41367" w:rsidP="00E41367">
            <w:pPr>
              <w:ind w:firstLineChars="100" w:firstLine="160"/>
              <w:jc w:val="right"/>
              <w:rPr>
                <w:color w:val="000000"/>
                <w:sz w:val="16"/>
                <w:szCs w:val="16"/>
              </w:rPr>
            </w:pPr>
            <w:r w:rsidRPr="00543402">
              <w:rPr>
                <w:color w:val="000000"/>
                <w:sz w:val="16"/>
                <w:szCs w:val="16"/>
              </w:rPr>
              <w:t> </w:t>
            </w:r>
          </w:p>
        </w:tc>
        <w:tc>
          <w:tcPr>
            <w:tcW w:w="1320" w:type="dxa"/>
            <w:tcBorders>
              <w:top w:val="nil"/>
              <w:left w:val="nil"/>
              <w:bottom w:val="single" w:sz="8" w:space="0" w:color="auto"/>
              <w:right w:val="single" w:sz="8" w:space="0" w:color="auto"/>
            </w:tcBorders>
            <w:vAlign w:val="center"/>
            <w:hideMark/>
          </w:tcPr>
          <w:p w14:paraId="571B5039" w14:textId="4ADF2F9B" w:rsidR="00E41367" w:rsidRPr="00543402" w:rsidRDefault="00E41367"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 </w:t>
            </w:r>
          </w:p>
        </w:tc>
      </w:tr>
      <w:tr w:rsidR="00E41367" w:rsidRPr="00543402" w14:paraId="10E9A56A" w14:textId="77777777" w:rsidTr="006325C2">
        <w:trPr>
          <w:trHeight w:val="360"/>
        </w:trPr>
        <w:tc>
          <w:tcPr>
            <w:tcW w:w="2820" w:type="dxa"/>
            <w:tcBorders>
              <w:top w:val="nil"/>
              <w:left w:val="single" w:sz="8" w:space="0" w:color="auto"/>
              <w:bottom w:val="single" w:sz="8" w:space="0" w:color="auto"/>
              <w:right w:val="single" w:sz="4" w:space="0" w:color="auto"/>
            </w:tcBorders>
            <w:vAlign w:val="center"/>
            <w:hideMark/>
          </w:tcPr>
          <w:p w14:paraId="5CDF34ED" w14:textId="77777777" w:rsidR="00E41367" w:rsidRPr="00543402" w:rsidRDefault="00E41367" w:rsidP="00E41367">
            <w:pPr>
              <w:rPr>
                <w:b/>
                <w:bCs/>
                <w:color w:val="000000"/>
                <w:sz w:val="16"/>
                <w:szCs w:val="16"/>
              </w:rPr>
            </w:pPr>
            <w:r w:rsidRPr="00543402">
              <w:rPr>
                <w:b/>
                <w:bCs/>
                <w:color w:val="000000"/>
                <w:sz w:val="16"/>
                <w:szCs w:val="16"/>
              </w:rPr>
              <w:t>Saját bevételek (01+</w:t>
            </w:r>
            <w:proofErr w:type="gramStart"/>
            <w:r w:rsidRPr="00543402">
              <w:rPr>
                <w:b/>
                <w:bCs/>
                <w:color w:val="000000"/>
                <w:sz w:val="16"/>
                <w:szCs w:val="16"/>
              </w:rPr>
              <w:t>… .</w:t>
            </w:r>
            <w:proofErr w:type="gramEnd"/>
            <w:r w:rsidRPr="00543402">
              <w:rPr>
                <w:b/>
                <w:bCs/>
                <w:color w:val="000000"/>
                <w:sz w:val="16"/>
                <w:szCs w:val="16"/>
              </w:rPr>
              <w:t>+06)</w:t>
            </w:r>
          </w:p>
        </w:tc>
        <w:tc>
          <w:tcPr>
            <w:tcW w:w="540" w:type="dxa"/>
            <w:tcBorders>
              <w:top w:val="single" w:sz="8" w:space="0" w:color="auto"/>
              <w:left w:val="nil"/>
              <w:bottom w:val="single" w:sz="8" w:space="0" w:color="auto"/>
              <w:right w:val="single" w:sz="4" w:space="0" w:color="auto"/>
            </w:tcBorders>
            <w:vAlign w:val="center"/>
            <w:hideMark/>
          </w:tcPr>
          <w:p w14:paraId="79FE5A83" w14:textId="77777777" w:rsidR="00E41367" w:rsidRPr="00543402" w:rsidRDefault="00E41367" w:rsidP="00E41367">
            <w:pPr>
              <w:jc w:val="center"/>
              <w:rPr>
                <w:b/>
                <w:bCs/>
                <w:color w:val="000000"/>
                <w:sz w:val="16"/>
                <w:szCs w:val="16"/>
              </w:rPr>
            </w:pPr>
            <w:r w:rsidRPr="00543402">
              <w:rPr>
                <w:b/>
                <w:bCs/>
                <w:color w:val="000000"/>
                <w:sz w:val="16"/>
                <w:szCs w:val="16"/>
              </w:rPr>
              <w:t>07</w:t>
            </w:r>
          </w:p>
        </w:tc>
        <w:tc>
          <w:tcPr>
            <w:tcW w:w="1140" w:type="dxa"/>
            <w:tcBorders>
              <w:top w:val="nil"/>
              <w:left w:val="nil"/>
              <w:bottom w:val="single" w:sz="8" w:space="0" w:color="auto"/>
              <w:right w:val="nil"/>
            </w:tcBorders>
            <w:vAlign w:val="center"/>
            <w:hideMark/>
          </w:tcPr>
          <w:p w14:paraId="2DE33B71" w14:textId="1E3DC137" w:rsidR="00E41367" w:rsidRPr="00543402" w:rsidRDefault="00543402"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448</w:t>
            </w:r>
            <w:r w:rsidR="00002B0F" w:rsidRPr="00543402">
              <w:rPr>
                <w:rFonts w:ascii="Times New Roman CE" w:hAnsi="Times New Roman CE" w:cs="Calibri"/>
                <w:b/>
                <w:bCs/>
                <w:sz w:val="16"/>
                <w:szCs w:val="16"/>
              </w:rPr>
              <w:t xml:space="preserve"> 5</w:t>
            </w:r>
            <w:r w:rsidR="00E41367" w:rsidRPr="00543402">
              <w:rPr>
                <w:rFonts w:ascii="Times New Roman CE" w:hAnsi="Times New Roman CE" w:cs="Calibri"/>
                <w:b/>
                <w:bCs/>
                <w:sz w:val="16"/>
                <w:szCs w:val="16"/>
              </w:rPr>
              <w:t>00 000</w:t>
            </w:r>
          </w:p>
        </w:tc>
        <w:tc>
          <w:tcPr>
            <w:tcW w:w="1140" w:type="dxa"/>
            <w:tcBorders>
              <w:top w:val="nil"/>
              <w:left w:val="single" w:sz="4" w:space="0" w:color="auto"/>
              <w:bottom w:val="single" w:sz="8" w:space="0" w:color="auto"/>
              <w:right w:val="single" w:sz="4" w:space="0" w:color="auto"/>
            </w:tcBorders>
            <w:vAlign w:val="center"/>
            <w:hideMark/>
          </w:tcPr>
          <w:p w14:paraId="016C2E9A" w14:textId="0AC7FF88" w:rsidR="00E41367" w:rsidRPr="00543402" w:rsidRDefault="00002B0F"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4</w:t>
            </w:r>
            <w:r w:rsidR="00543402" w:rsidRPr="00543402">
              <w:rPr>
                <w:rFonts w:ascii="Times New Roman CE" w:hAnsi="Times New Roman CE" w:cs="Calibri"/>
                <w:b/>
                <w:bCs/>
                <w:sz w:val="16"/>
                <w:szCs w:val="16"/>
              </w:rPr>
              <w:t>59</w:t>
            </w:r>
            <w:r w:rsidRPr="00543402">
              <w:rPr>
                <w:rFonts w:ascii="Times New Roman CE" w:hAnsi="Times New Roman CE" w:cs="Calibri"/>
                <w:b/>
                <w:bCs/>
                <w:sz w:val="16"/>
                <w:szCs w:val="16"/>
              </w:rPr>
              <w:t xml:space="preserve"> 600</w:t>
            </w:r>
            <w:r w:rsidR="00E41367" w:rsidRPr="00543402">
              <w:rPr>
                <w:rFonts w:ascii="Times New Roman CE" w:hAnsi="Times New Roman CE" w:cs="Calibri"/>
                <w:b/>
                <w:bCs/>
                <w:sz w:val="16"/>
                <w:szCs w:val="16"/>
              </w:rPr>
              <w:t xml:space="preserve"> 000</w:t>
            </w:r>
          </w:p>
        </w:tc>
        <w:tc>
          <w:tcPr>
            <w:tcW w:w="1140" w:type="dxa"/>
            <w:tcBorders>
              <w:top w:val="nil"/>
              <w:left w:val="nil"/>
              <w:bottom w:val="single" w:sz="8" w:space="0" w:color="auto"/>
              <w:right w:val="single" w:sz="4" w:space="0" w:color="auto"/>
            </w:tcBorders>
            <w:vAlign w:val="center"/>
            <w:hideMark/>
          </w:tcPr>
          <w:p w14:paraId="2E44878A" w14:textId="007EB130" w:rsidR="00E41367" w:rsidRPr="00543402" w:rsidRDefault="00002B0F"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4</w:t>
            </w:r>
            <w:r w:rsidR="00543402" w:rsidRPr="00543402">
              <w:rPr>
                <w:rFonts w:ascii="Times New Roman CE" w:hAnsi="Times New Roman CE" w:cs="Calibri"/>
                <w:b/>
                <w:bCs/>
                <w:sz w:val="16"/>
                <w:szCs w:val="16"/>
              </w:rPr>
              <w:t>70</w:t>
            </w:r>
            <w:r w:rsidRPr="00543402">
              <w:rPr>
                <w:rFonts w:ascii="Times New Roman CE" w:hAnsi="Times New Roman CE" w:cs="Calibri"/>
                <w:b/>
                <w:bCs/>
                <w:sz w:val="16"/>
                <w:szCs w:val="16"/>
              </w:rPr>
              <w:t xml:space="preserve"> 700</w:t>
            </w:r>
            <w:r w:rsidR="00E41367" w:rsidRPr="00543402">
              <w:rPr>
                <w:rFonts w:ascii="Times New Roman CE" w:hAnsi="Times New Roman CE" w:cs="Calibri"/>
                <w:b/>
                <w:bCs/>
                <w:sz w:val="16"/>
                <w:szCs w:val="16"/>
              </w:rPr>
              <w:t xml:space="preserve"> 000</w:t>
            </w:r>
          </w:p>
        </w:tc>
        <w:tc>
          <w:tcPr>
            <w:tcW w:w="1320" w:type="dxa"/>
            <w:tcBorders>
              <w:top w:val="nil"/>
              <w:left w:val="nil"/>
              <w:bottom w:val="single" w:sz="8" w:space="0" w:color="auto"/>
              <w:right w:val="single" w:sz="8" w:space="0" w:color="auto"/>
            </w:tcBorders>
            <w:vAlign w:val="center"/>
            <w:hideMark/>
          </w:tcPr>
          <w:p w14:paraId="16107874" w14:textId="630CA1E6" w:rsidR="00E41367" w:rsidRPr="00543402" w:rsidRDefault="00543402"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1 378</w:t>
            </w:r>
            <w:r w:rsidR="00E41367" w:rsidRPr="00543402">
              <w:rPr>
                <w:rFonts w:ascii="Times New Roman CE" w:hAnsi="Times New Roman CE" w:cs="Calibri"/>
                <w:b/>
                <w:bCs/>
                <w:sz w:val="16"/>
                <w:szCs w:val="16"/>
              </w:rPr>
              <w:t> </w:t>
            </w:r>
            <w:r w:rsidR="00002B0F" w:rsidRPr="00543402">
              <w:rPr>
                <w:rFonts w:ascii="Times New Roman CE" w:hAnsi="Times New Roman CE" w:cs="Calibri"/>
                <w:b/>
                <w:bCs/>
                <w:sz w:val="16"/>
                <w:szCs w:val="16"/>
              </w:rPr>
              <w:t>8</w:t>
            </w:r>
            <w:r w:rsidR="00E41367" w:rsidRPr="00543402">
              <w:rPr>
                <w:rFonts w:ascii="Times New Roman CE" w:hAnsi="Times New Roman CE" w:cs="Calibri"/>
                <w:b/>
                <w:bCs/>
                <w:sz w:val="16"/>
                <w:szCs w:val="16"/>
              </w:rPr>
              <w:t>00 000</w:t>
            </w:r>
          </w:p>
        </w:tc>
      </w:tr>
      <w:tr w:rsidR="00E41367" w:rsidRPr="00543402" w14:paraId="1ECE01EB" w14:textId="77777777" w:rsidTr="006325C2">
        <w:trPr>
          <w:trHeight w:val="360"/>
        </w:trPr>
        <w:tc>
          <w:tcPr>
            <w:tcW w:w="2820" w:type="dxa"/>
            <w:tcBorders>
              <w:top w:val="nil"/>
              <w:left w:val="single" w:sz="8" w:space="0" w:color="auto"/>
              <w:bottom w:val="single" w:sz="8" w:space="0" w:color="auto"/>
              <w:right w:val="single" w:sz="4" w:space="0" w:color="auto"/>
            </w:tcBorders>
            <w:vAlign w:val="center"/>
            <w:hideMark/>
          </w:tcPr>
          <w:p w14:paraId="6E7B963B" w14:textId="77777777" w:rsidR="00E41367" w:rsidRPr="00543402" w:rsidRDefault="00E41367" w:rsidP="00E41367">
            <w:pPr>
              <w:rPr>
                <w:b/>
                <w:bCs/>
                <w:color w:val="000000"/>
                <w:sz w:val="16"/>
                <w:szCs w:val="16"/>
              </w:rPr>
            </w:pPr>
            <w:r w:rsidRPr="00543402">
              <w:rPr>
                <w:b/>
                <w:bCs/>
                <w:color w:val="000000"/>
                <w:sz w:val="16"/>
                <w:szCs w:val="16"/>
              </w:rPr>
              <w:t>Saját bevételek  (07 sor)  50%-</w:t>
            </w:r>
            <w:proofErr w:type="gramStart"/>
            <w:r w:rsidRPr="00543402">
              <w:rPr>
                <w:b/>
                <w:bCs/>
                <w:color w:val="000000"/>
                <w:sz w:val="16"/>
                <w:szCs w:val="16"/>
              </w:rPr>
              <w:t>a</w:t>
            </w:r>
            <w:proofErr w:type="gramEnd"/>
            <w:r w:rsidRPr="00543402">
              <w:rPr>
                <w:b/>
                <w:bCs/>
                <w:color w:val="000000"/>
                <w:sz w:val="16"/>
                <w:szCs w:val="16"/>
              </w:rPr>
              <w:t xml:space="preserve"> </w:t>
            </w:r>
          </w:p>
        </w:tc>
        <w:tc>
          <w:tcPr>
            <w:tcW w:w="540" w:type="dxa"/>
            <w:tcBorders>
              <w:top w:val="nil"/>
              <w:left w:val="nil"/>
              <w:bottom w:val="single" w:sz="8" w:space="0" w:color="auto"/>
              <w:right w:val="single" w:sz="4" w:space="0" w:color="auto"/>
            </w:tcBorders>
            <w:vAlign w:val="center"/>
            <w:hideMark/>
          </w:tcPr>
          <w:p w14:paraId="163F38E7" w14:textId="77777777" w:rsidR="00E41367" w:rsidRPr="00543402" w:rsidRDefault="00E41367" w:rsidP="00E41367">
            <w:pPr>
              <w:jc w:val="center"/>
              <w:rPr>
                <w:b/>
                <w:bCs/>
                <w:color w:val="000000"/>
                <w:sz w:val="16"/>
                <w:szCs w:val="16"/>
              </w:rPr>
            </w:pPr>
            <w:r w:rsidRPr="00543402">
              <w:rPr>
                <w:b/>
                <w:bCs/>
                <w:color w:val="000000"/>
                <w:sz w:val="16"/>
                <w:szCs w:val="16"/>
              </w:rPr>
              <w:t>08</w:t>
            </w:r>
          </w:p>
        </w:tc>
        <w:tc>
          <w:tcPr>
            <w:tcW w:w="1140" w:type="dxa"/>
            <w:tcBorders>
              <w:top w:val="nil"/>
              <w:left w:val="nil"/>
              <w:bottom w:val="single" w:sz="8" w:space="0" w:color="auto"/>
              <w:right w:val="nil"/>
            </w:tcBorders>
            <w:vAlign w:val="center"/>
            <w:hideMark/>
          </w:tcPr>
          <w:p w14:paraId="1276C186" w14:textId="79015E09" w:rsidR="00E41367" w:rsidRPr="00543402" w:rsidRDefault="00543402"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224 25</w:t>
            </w:r>
            <w:r w:rsidR="00002B0F" w:rsidRPr="00543402">
              <w:rPr>
                <w:rFonts w:ascii="Times New Roman CE" w:hAnsi="Times New Roman CE" w:cs="Calibri"/>
                <w:b/>
                <w:bCs/>
                <w:sz w:val="16"/>
                <w:szCs w:val="16"/>
              </w:rPr>
              <w:t>0</w:t>
            </w:r>
            <w:r w:rsidR="00E41367" w:rsidRPr="00543402">
              <w:rPr>
                <w:rFonts w:ascii="Times New Roman CE" w:hAnsi="Times New Roman CE" w:cs="Calibri"/>
                <w:b/>
                <w:bCs/>
                <w:sz w:val="16"/>
                <w:szCs w:val="16"/>
              </w:rPr>
              <w:t xml:space="preserve"> 000</w:t>
            </w:r>
          </w:p>
        </w:tc>
        <w:tc>
          <w:tcPr>
            <w:tcW w:w="1140" w:type="dxa"/>
            <w:tcBorders>
              <w:top w:val="nil"/>
              <w:left w:val="single" w:sz="4" w:space="0" w:color="auto"/>
              <w:bottom w:val="single" w:sz="8" w:space="0" w:color="auto"/>
              <w:right w:val="single" w:sz="4" w:space="0" w:color="auto"/>
            </w:tcBorders>
            <w:vAlign w:val="center"/>
            <w:hideMark/>
          </w:tcPr>
          <w:p w14:paraId="70EAEFB8" w14:textId="2BB22C36" w:rsidR="00E41367" w:rsidRPr="00543402" w:rsidRDefault="00543402"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229 8</w:t>
            </w:r>
            <w:r w:rsidR="00002B0F" w:rsidRPr="00543402">
              <w:rPr>
                <w:rFonts w:ascii="Times New Roman CE" w:hAnsi="Times New Roman CE" w:cs="Calibri"/>
                <w:b/>
                <w:bCs/>
                <w:sz w:val="16"/>
                <w:szCs w:val="16"/>
              </w:rPr>
              <w:t>00</w:t>
            </w:r>
            <w:r w:rsidR="00E41367" w:rsidRPr="00543402">
              <w:rPr>
                <w:rFonts w:ascii="Times New Roman CE" w:hAnsi="Times New Roman CE" w:cs="Calibri"/>
                <w:b/>
                <w:bCs/>
                <w:sz w:val="16"/>
                <w:szCs w:val="16"/>
              </w:rPr>
              <w:t xml:space="preserve"> 000</w:t>
            </w:r>
          </w:p>
        </w:tc>
        <w:tc>
          <w:tcPr>
            <w:tcW w:w="1140" w:type="dxa"/>
            <w:tcBorders>
              <w:top w:val="nil"/>
              <w:left w:val="nil"/>
              <w:bottom w:val="single" w:sz="8" w:space="0" w:color="auto"/>
              <w:right w:val="single" w:sz="4" w:space="0" w:color="auto"/>
            </w:tcBorders>
            <w:vAlign w:val="center"/>
            <w:hideMark/>
          </w:tcPr>
          <w:p w14:paraId="7FFB4EF7" w14:textId="64398A20" w:rsidR="00E41367" w:rsidRPr="00543402" w:rsidRDefault="00543402"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235 35</w:t>
            </w:r>
            <w:r w:rsidR="00002B0F" w:rsidRPr="00543402">
              <w:rPr>
                <w:rFonts w:ascii="Times New Roman CE" w:hAnsi="Times New Roman CE" w:cs="Calibri"/>
                <w:b/>
                <w:bCs/>
                <w:sz w:val="16"/>
                <w:szCs w:val="16"/>
              </w:rPr>
              <w:t>0</w:t>
            </w:r>
            <w:r w:rsidR="00E41367" w:rsidRPr="00543402">
              <w:rPr>
                <w:rFonts w:ascii="Times New Roman CE" w:hAnsi="Times New Roman CE" w:cs="Calibri"/>
                <w:b/>
                <w:bCs/>
                <w:sz w:val="16"/>
                <w:szCs w:val="16"/>
              </w:rPr>
              <w:t xml:space="preserve"> 000</w:t>
            </w:r>
          </w:p>
        </w:tc>
        <w:tc>
          <w:tcPr>
            <w:tcW w:w="1320" w:type="dxa"/>
            <w:tcBorders>
              <w:top w:val="nil"/>
              <w:left w:val="nil"/>
              <w:bottom w:val="single" w:sz="8" w:space="0" w:color="auto"/>
              <w:right w:val="single" w:sz="8" w:space="0" w:color="auto"/>
            </w:tcBorders>
            <w:vAlign w:val="center"/>
            <w:hideMark/>
          </w:tcPr>
          <w:p w14:paraId="671153F0" w14:textId="0EDBBB7D" w:rsidR="00E41367" w:rsidRPr="00543402" w:rsidRDefault="00543402"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689</w:t>
            </w:r>
            <w:r w:rsidR="00002B0F" w:rsidRPr="00543402">
              <w:rPr>
                <w:rFonts w:ascii="Times New Roman CE" w:hAnsi="Times New Roman CE" w:cs="Calibri"/>
                <w:b/>
                <w:bCs/>
                <w:sz w:val="16"/>
                <w:szCs w:val="16"/>
              </w:rPr>
              <w:t xml:space="preserve"> </w:t>
            </w:r>
            <w:r w:rsidRPr="00543402">
              <w:rPr>
                <w:rFonts w:ascii="Times New Roman CE" w:hAnsi="Times New Roman CE" w:cs="Calibri"/>
                <w:b/>
                <w:bCs/>
                <w:sz w:val="16"/>
                <w:szCs w:val="16"/>
              </w:rPr>
              <w:t>4</w:t>
            </w:r>
            <w:r w:rsidR="00002B0F" w:rsidRPr="00543402">
              <w:rPr>
                <w:rFonts w:ascii="Times New Roman CE" w:hAnsi="Times New Roman CE" w:cs="Calibri"/>
                <w:b/>
                <w:bCs/>
                <w:sz w:val="16"/>
                <w:szCs w:val="16"/>
              </w:rPr>
              <w:t>00</w:t>
            </w:r>
            <w:r w:rsidR="00E41367" w:rsidRPr="00543402">
              <w:rPr>
                <w:rFonts w:ascii="Times New Roman CE" w:hAnsi="Times New Roman CE" w:cs="Calibri"/>
                <w:b/>
                <w:bCs/>
                <w:sz w:val="16"/>
                <w:szCs w:val="16"/>
              </w:rPr>
              <w:t xml:space="preserve"> 000</w:t>
            </w:r>
          </w:p>
        </w:tc>
      </w:tr>
      <w:tr w:rsidR="00E41367" w:rsidRPr="00543402" w14:paraId="46F4D8D4" w14:textId="77777777" w:rsidTr="006325C2">
        <w:trPr>
          <w:trHeight w:val="617"/>
        </w:trPr>
        <w:tc>
          <w:tcPr>
            <w:tcW w:w="2820" w:type="dxa"/>
            <w:tcBorders>
              <w:top w:val="nil"/>
              <w:left w:val="single" w:sz="8" w:space="0" w:color="auto"/>
              <w:bottom w:val="single" w:sz="4" w:space="0" w:color="auto"/>
              <w:right w:val="single" w:sz="4" w:space="0" w:color="auto"/>
            </w:tcBorders>
            <w:vAlign w:val="center"/>
            <w:hideMark/>
          </w:tcPr>
          <w:p w14:paraId="602C6524" w14:textId="77777777" w:rsidR="00E41367" w:rsidRPr="00543402" w:rsidRDefault="00E41367" w:rsidP="00E41367">
            <w:pPr>
              <w:rPr>
                <w:color w:val="000000"/>
                <w:sz w:val="14"/>
                <w:szCs w:val="14"/>
              </w:rPr>
            </w:pPr>
            <w:r w:rsidRPr="00543402">
              <w:rPr>
                <w:color w:val="000000"/>
                <w:sz w:val="14"/>
                <w:szCs w:val="14"/>
              </w:rPr>
              <w:t>Hitel, kölcsön felvétele, átvállalása a folyósítás,</w:t>
            </w:r>
            <w:r w:rsidRPr="00543402">
              <w:rPr>
                <w:color w:val="000000"/>
                <w:sz w:val="14"/>
                <w:szCs w:val="14"/>
              </w:rPr>
              <w:br/>
              <w:t>átvállalás napjától a végtörlesztés napjáig, és annak aktuális tőketartozása</w:t>
            </w:r>
          </w:p>
        </w:tc>
        <w:tc>
          <w:tcPr>
            <w:tcW w:w="540" w:type="dxa"/>
            <w:tcBorders>
              <w:top w:val="nil"/>
              <w:left w:val="nil"/>
              <w:bottom w:val="single" w:sz="4" w:space="0" w:color="auto"/>
              <w:right w:val="single" w:sz="4" w:space="0" w:color="auto"/>
            </w:tcBorders>
            <w:vAlign w:val="center"/>
            <w:hideMark/>
          </w:tcPr>
          <w:p w14:paraId="22310EF1" w14:textId="77777777" w:rsidR="00E41367" w:rsidRPr="00543402" w:rsidRDefault="00E41367" w:rsidP="00E41367">
            <w:pPr>
              <w:jc w:val="center"/>
              <w:rPr>
                <w:color w:val="000000"/>
                <w:sz w:val="16"/>
                <w:szCs w:val="16"/>
              </w:rPr>
            </w:pPr>
            <w:r w:rsidRPr="00543402">
              <w:rPr>
                <w:color w:val="000000"/>
                <w:sz w:val="16"/>
                <w:szCs w:val="16"/>
              </w:rPr>
              <w:t>09</w:t>
            </w:r>
          </w:p>
        </w:tc>
        <w:tc>
          <w:tcPr>
            <w:tcW w:w="1140" w:type="dxa"/>
            <w:tcBorders>
              <w:top w:val="nil"/>
              <w:left w:val="nil"/>
              <w:bottom w:val="nil"/>
              <w:right w:val="single" w:sz="4" w:space="0" w:color="auto"/>
            </w:tcBorders>
            <w:vAlign w:val="center"/>
            <w:hideMark/>
          </w:tcPr>
          <w:p w14:paraId="4F16E680" w14:textId="33A5087E"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nil"/>
              <w:left w:val="nil"/>
              <w:bottom w:val="nil"/>
              <w:right w:val="single" w:sz="4" w:space="0" w:color="auto"/>
            </w:tcBorders>
            <w:vAlign w:val="center"/>
            <w:hideMark/>
          </w:tcPr>
          <w:p w14:paraId="3C95AA1F" w14:textId="03173BAF"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nil"/>
              <w:left w:val="nil"/>
              <w:bottom w:val="nil"/>
              <w:right w:val="single" w:sz="4" w:space="0" w:color="auto"/>
            </w:tcBorders>
            <w:vAlign w:val="center"/>
            <w:hideMark/>
          </w:tcPr>
          <w:p w14:paraId="54AC3722" w14:textId="555E90BA"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320" w:type="dxa"/>
            <w:tcBorders>
              <w:top w:val="nil"/>
              <w:left w:val="nil"/>
              <w:bottom w:val="nil"/>
              <w:right w:val="single" w:sz="8" w:space="0" w:color="auto"/>
            </w:tcBorders>
            <w:vAlign w:val="center"/>
            <w:hideMark/>
          </w:tcPr>
          <w:p w14:paraId="6DCC0551" w14:textId="4E795575" w:rsidR="00E41367" w:rsidRPr="00543402" w:rsidRDefault="00E41367"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 </w:t>
            </w:r>
          </w:p>
        </w:tc>
      </w:tr>
      <w:tr w:rsidR="00E41367" w:rsidRPr="00543402" w14:paraId="15513304" w14:textId="77777777" w:rsidTr="006325C2">
        <w:trPr>
          <w:trHeight w:val="1273"/>
        </w:trPr>
        <w:tc>
          <w:tcPr>
            <w:tcW w:w="2820" w:type="dxa"/>
            <w:tcBorders>
              <w:top w:val="nil"/>
              <w:left w:val="single" w:sz="8" w:space="0" w:color="auto"/>
              <w:bottom w:val="single" w:sz="4" w:space="0" w:color="auto"/>
              <w:right w:val="nil"/>
            </w:tcBorders>
            <w:vAlign w:val="center"/>
            <w:hideMark/>
          </w:tcPr>
          <w:p w14:paraId="3A2F2624" w14:textId="77777777" w:rsidR="00E41367" w:rsidRPr="00543402" w:rsidRDefault="00E41367" w:rsidP="00E41367">
            <w:pPr>
              <w:rPr>
                <w:color w:val="222222"/>
                <w:sz w:val="14"/>
                <w:szCs w:val="14"/>
              </w:rPr>
            </w:pPr>
            <w:r w:rsidRPr="00543402">
              <w:rPr>
                <w:color w:val="222222"/>
                <w:sz w:val="14"/>
                <w:szCs w:val="14"/>
              </w:rPr>
              <w:t>A számvitelről szóló törvény (a továbbiakban: Szt.)</w:t>
            </w:r>
            <w:r w:rsidRPr="00543402">
              <w:rPr>
                <w:color w:val="222222"/>
                <w:sz w:val="14"/>
                <w:szCs w:val="14"/>
              </w:rPr>
              <w:br/>
              <w:t>szerinti hitelviszonyt megtestesítő értékpapír forgalomba hozatala a forgalomba hozatal napjától a beváltás napjáig, kamatozó értékpapír esetén annak névértéke, egyéb értékpapír esetén annak vételára</w:t>
            </w:r>
          </w:p>
        </w:tc>
        <w:tc>
          <w:tcPr>
            <w:tcW w:w="540" w:type="dxa"/>
            <w:tcBorders>
              <w:top w:val="nil"/>
              <w:left w:val="single" w:sz="4" w:space="0" w:color="auto"/>
              <w:bottom w:val="single" w:sz="4" w:space="0" w:color="auto"/>
              <w:right w:val="single" w:sz="4" w:space="0" w:color="auto"/>
            </w:tcBorders>
            <w:vAlign w:val="center"/>
            <w:hideMark/>
          </w:tcPr>
          <w:p w14:paraId="3DD706D9" w14:textId="77777777" w:rsidR="00E41367" w:rsidRPr="00543402" w:rsidRDefault="00E41367" w:rsidP="00E41367">
            <w:pPr>
              <w:jc w:val="center"/>
              <w:rPr>
                <w:color w:val="000000"/>
                <w:sz w:val="16"/>
                <w:szCs w:val="16"/>
              </w:rPr>
            </w:pPr>
            <w:r w:rsidRPr="00543402">
              <w:rPr>
                <w:color w:val="000000"/>
                <w:sz w:val="16"/>
                <w:szCs w:val="16"/>
              </w:rPr>
              <w:t>10</w:t>
            </w:r>
          </w:p>
        </w:tc>
        <w:tc>
          <w:tcPr>
            <w:tcW w:w="1140" w:type="dxa"/>
            <w:tcBorders>
              <w:top w:val="single" w:sz="4" w:space="0" w:color="auto"/>
              <w:left w:val="nil"/>
              <w:bottom w:val="nil"/>
              <w:right w:val="single" w:sz="4" w:space="0" w:color="auto"/>
            </w:tcBorders>
            <w:vAlign w:val="center"/>
            <w:hideMark/>
          </w:tcPr>
          <w:p w14:paraId="7D2E8F84" w14:textId="172C90AF"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single" w:sz="4" w:space="0" w:color="auto"/>
              <w:left w:val="nil"/>
              <w:bottom w:val="nil"/>
              <w:right w:val="single" w:sz="4" w:space="0" w:color="auto"/>
            </w:tcBorders>
            <w:vAlign w:val="center"/>
            <w:hideMark/>
          </w:tcPr>
          <w:p w14:paraId="7E44AF3D" w14:textId="46801AF9"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single" w:sz="4" w:space="0" w:color="auto"/>
              <w:left w:val="nil"/>
              <w:bottom w:val="nil"/>
              <w:right w:val="single" w:sz="4" w:space="0" w:color="auto"/>
            </w:tcBorders>
            <w:vAlign w:val="center"/>
            <w:hideMark/>
          </w:tcPr>
          <w:p w14:paraId="2C03B3C4" w14:textId="43DDAF90"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320" w:type="dxa"/>
            <w:tcBorders>
              <w:top w:val="single" w:sz="4" w:space="0" w:color="auto"/>
              <w:left w:val="nil"/>
              <w:bottom w:val="nil"/>
              <w:right w:val="single" w:sz="8" w:space="0" w:color="auto"/>
            </w:tcBorders>
            <w:vAlign w:val="center"/>
            <w:hideMark/>
          </w:tcPr>
          <w:p w14:paraId="251442BE" w14:textId="18B994DE" w:rsidR="00E41367" w:rsidRPr="00543402" w:rsidRDefault="00E41367"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 </w:t>
            </w:r>
          </w:p>
        </w:tc>
      </w:tr>
      <w:tr w:rsidR="00E41367" w:rsidRPr="00543402" w14:paraId="5BB3A410" w14:textId="77777777" w:rsidTr="006325C2">
        <w:trPr>
          <w:trHeight w:val="823"/>
        </w:trPr>
        <w:tc>
          <w:tcPr>
            <w:tcW w:w="2820" w:type="dxa"/>
            <w:tcBorders>
              <w:top w:val="nil"/>
              <w:left w:val="single" w:sz="8" w:space="0" w:color="auto"/>
              <w:bottom w:val="single" w:sz="4" w:space="0" w:color="auto"/>
              <w:right w:val="nil"/>
            </w:tcBorders>
            <w:vAlign w:val="center"/>
            <w:hideMark/>
          </w:tcPr>
          <w:p w14:paraId="671ED893" w14:textId="77777777" w:rsidR="00E41367" w:rsidRPr="00543402" w:rsidRDefault="00E41367" w:rsidP="00E41367">
            <w:pPr>
              <w:rPr>
                <w:color w:val="222222"/>
                <w:sz w:val="14"/>
                <w:szCs w:val="14"/>
              </w:rPr>
            </w:pPr>
            <w:r w:rsidRPr="00543402">
              <w:rPr>
                <w:color w:val="222222"/>
                <w:sz w:val="14"/>
                <w:szCs w:val="14"/>
              </w:rPr>
              <w:t>Váltó kibocsátása a kibocsátás napjától a beváltás</w:t>
            </w:r>
            <w:r w:rsidRPr="00543402">
              <w:rPr>
                <w:color w:val="222222"/>
                <w:sz w:val="14"/>
                <w:szCs w:val="14"/>
              </w:rPr>
              <w:br/>
              <w:t>napjáig, és annak a váltóval kiváltott kötelezettséggel megegyező, kamatot nem tartalmazó értéke</w:t>
            </w:r>
          </w:p>
        </w:tc>
        <w:tc>
          <w:tcPr>
            <w:tcW w:w="540" w:type="dxa"/>
            <w:tcBorders>
              <w:top w:val="nil"/>
              <w:left w:val="single" w:sz="4" w:space="0" w:color="auto"/>
              <w:bottom w:val="single" w:sz="4" w:space="0" w:color="auto"/>
              <w:right w:val="single" w:sz="4" w:space="0" w:color="auto"/>
            </w:tcBorders>
            <w:vAlign w:val="center"/>
            <w:hideMark/>
          </w:tcPr>
          <w:p w14:paraId="25675B1E" w14:textId="77777777" w:rsidR="00E41367" w:rsidRPr="00543402" w:rsidRDefault="00E41367" w:rsidP="00E41367">
            <w:pPr>
              <w:jc w:val="center"/>
              <w:rPr>
                <w:color w:val="000000"/>
                <w:sz w:val="16"/>
                <w:szCs w:val="16"/>
              </w:rPr>
            </w:pPr>
            <w:r w:rsidRPr="00543402">
              <w:rPr>
                <w:color w:val="000000"/>
                <w:sz w:val="16"/>
                <w:szCs w:val="16"/>
              </w:rPr>
              <w:t>11</w:t>
            </w:r>
          </w:p>
        </w:tc>
        <w:tc>
          <w:tcPr>
            <w:tcW w:w="1140" w:type="dxa"/>
            <w:tcBorders>
              <w:top w:val="single" w:sz="4" w:space="0" w:color="auto"/>
              <w:left w:val="nil"/>
              <w:bottom w:val="single" w:sz="4" w:space="0" w:color="auto"/>
              <w:right w:val="single" w:sz="4" w:space="0" w:color="auto"/>
            </w:tcBorders>
            <w:vAlign w:val="center"/>
            <w:hideMark/>
          </w:tcPr>
          <w:p w14:paraId="091F4DF7" w14:textId="25E1458C"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single" w:sz="4" w:space="0" w:color="auto"/>
              <w:left w:val="nil"/>
              <w:bottom w:val="single" w:sz="4" w:space="0" w:color="auto"/>
              <w:right w:val="single" w:sz="4" w:space="0" w:color="auto"/>
            </w:tcBorders>
            <w:vAlign w:val="center"/>
            <w:hideMark/>
          </w:tcPr>
          <w:p w14:paraId="10FEBBD3" w14:textId="03FEFE1C"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single" w:sz="4" w:space="0" w:color="auto"/>
              <w:left w:val="nil"/>
              <w:bottom w:val="single" w:sz="4" w:space="0" w:color="auto"/>
              <w:right w:val="single" w:sz="4" w:space="0" w:color="auto"/>
            </w:tcBorders>
            <w:vAlign w:val="center"/>
            <w:hideMark/>
          </w:tcPr>
          <w:p w14:paraId="17783EE2" w14:textId="58D732EA"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320" w:type="dxa"/>
            <w:tcBorders>
              <w:top w:val="single" w:sz="4" w:space="0" w:color="auto"/>
              <w:left w:val="nil"/>
              <w:bottom w:val="single" w:sz="4" w:space="0" w:color="auto"/>
              <w:right w:val="single" w:sz="8" w:space="0" w:color="auto"/>
            </w:tcBorders>
            <w:vAlign w:val="center"/>
            <w:hideMark/>
          </w:tcPr>
          <w:p w14:paraId="7B112489" w14:textId="0AA412CE" w:rsidR="00E41367" w:rsidRPr="00543402" w:rsidRDefault="00E41367"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 </w:t>
            </w:r>
          </w:p>
        </w:tc>
      </w:tr>
      <w:tr w:rsidR="00E41367" w:rsidRPr="00543402" w14:paraId="4FFF83D5" w14:textId="77777777" w:rsidTr="006325C2">
        <w:trPr>
          <w:trHeight w:val="848"/>
        </w:trPr>
        <w:tc>
          <w:tcPr>
            <w:tcW w:w="2820" w:type="dxa"/>
            <w:tcBorders>
              <w:top w:val="nil"/>
              <w:left w:val="single" w:sz="8" w:space="0" w:color="auto"/>
              <w:bottom w:val="single" w:sz="4" w:space="0" w:color="auto"/>
              <w:right w:val="nil"/>
            </w:tcBorders>
            <w:vAlign w:val="center"/>
            <w:hideMark/>
          </w:tcPr>
          <w:p w14:paraId="15A9E33D" w14:textId="77777777" w:rsidR="00E41367" w:rsidRPr="00543402" w:rsidRDefault="00E41367" w:rsidP="00E41367">
            <w:pPr>
              <w:rPr>
                <w:color w:val="222222"/>
                <w:sz w:val="14"/>
                <w:szCs w:val="14"/>
              </w:rPr>
            </w:pPr>
            <w:r w:rsidRPr="00543402">
              <w:rPr>
                <w:color w:val="222222"/>
                <w:sz w:val="14"/>
                <w:szCs w:val="14"/>
              </w:rPr>
              <w:t xml:space="preserve">Az Szt. szerint pénzügyi lízing </w:t>
            </w:r>
            <w:proofErr w:type="spellStart"/>
            <w:r w:rsidRPr="00543402">
              <w:rPr>
                <w:color w:val="222222"/>
                <w:sz w:val="14"/>
                <w:szCs w:val="14"/>
              </w:rPr>
              <w:t>lízingbevevői</w:t>
            </w:r>
            <w:proofErr w:type="spellEnd"/>
            <w:r w:rsidRPr="00543402">
              <w:rPr>
                <w:color w:val="222222"/>
                <w:sz w:val="14"/>
                <w:szCs w:val="14"/>
              </w:rPr>
              <w:t xml:space="preserve"> félként</w:t>
            </w:r>
            <w:r w:rsidRPr="00543402">
              <w:rPr>
                <w:color w:val="222222"/>
                <w:sz w:val="14"/>
                <w:szCs w:val="14"/>
              </w:rPr>
              <w:br/>
              <w:t>történő megkötése a lízing futamideje alatt, és a lízingszerződésben kikötött tőkerész hátralévő összege</w:t>
            </w:r>
          </w:p>
        </w:tc>
        <w:tc>
          <w:tcPr>
            <w:tcW w:w="540" w:type="dxa"/>
            <w:tcBorders>
              <w:top w:val="nil"/>
              <w:left w:val="single" w:sz="4" w:space="0" w:color="auto"/>
              <w:bottom w:val="single" w:sz="4" w:space="0" w:color="auto"/>
              <w:right w:val="single" w:sz="4" w:space="0" w:color="auto"/>
            </w:tcBorders>
            <w:vAlign w:val="center"/>
            <w:hideMark/>
          </w:tcPr>
          <w:p w14:paraId="317F6471" w14:textId="77777777" w:rsidR="00E41367" w:rsidRPr="00543402" w:rsidRDefault="00E41367" w:rsidP="00E41367">
            <w:pPr>
              <w:jc w:val="center"/>
              <w:rPr>
                <w:color w:val="000000"/>
                <w:sz w:val="16"/>
                <w:szCs w:val="16"/>
              </w:rPr>
            </w:pPr>
            <w:r w:rsidRPr="00543402">
              <w:rPr>
                <w:color w:val="000000"/>
                <w:sz w:val="16"/>
                <w:szCs w:val="16"/>
              </w:rPr>
              <w:t>12</w:t>
            </w:r>
          </w:p>
        </w:tc>
        <w:tc>
          <w:tcPr>
            <w:tcW w:w="1140" w:type="dxa"/>
            <w:tcBorders>
              <w:top w:val="nil"/>
              <w:left w:val="nil"/>
              <w:bottom w:val="single" w:sz="4" w:space="0" w:color="auto"/>
              <w:right w:val="single" w:sz="4" w:space="0" w:color="auto"/>
            </w:tcBorders>
            <w:vAlign w:val="center"/>
            <w:hideMark/>
          </w:tcPr>
          <w:p w14:paraId="7F3D0F40" w14:textId="60894BE4" w:rsidR="00E41367" w:rsidRPr="00543402" w:rsidRDefault="00E41367" w:rsidP="00E41367">
            <w:pPr>
              <w:ind w:firstLineChars="100" w:firstLine="160"/>
              <w:jc w:val="right"/>
              <w:rPr>
                <w:color w:val="000000"/>
                <w:sz w:val="16"/>
                <w:szCs w:val="16"/>
              </w:rPr>
            </w:pPr>
          </w:p>
        </w:tc>
        <w:tc>
          <w:tcPr>
            <w:tcW w:w="1140" w:type="dxa"/>
            <w:tcBorders>
              <w:top w:val="nil"/>
              <w:left w:val="nil"/>
              <w:bottom w:val="single" w:sz="4" w:space="0" w:color="auto"/>
              <w:right w:val="single" w:sz="4" w:space="0" w:color="auto"/>
            </w:tcBorders>
            <w:vAlign w:val="center"/>
            <w:hideMark/>
          </w:tcPr>
          <w:p w14:paraId="647F0009" w14:textId="0070ABC8" w:rsidR="00E41367" w:rsidRPr="00543402" w:rsidRDefault="00E41367" w:rsidP="00E41367">
            <w:pPr>
              <w:ind w:firstLineChars="100" w:firstLine="160"/>
              <w:jc w:val="right"/>
              <w:rPr>
                <w:color w:val="000000"/>
                <w:sz w:val="16"/>
                <w:szCs w:val="16"/>
              </w:rPr>
            </w:pPr>
          </w:p>
        </w:tc>
        <w:tc>
          <w:tcPr>
            <w:tcW w:w="1140" w:type="dxa"/>
            <w:tcBorders>
              <w:top w:val="nil"/>
              <w:left w:val="nil"/>
              <w:bottom w:val="single" w:sz="4" w:space="0" w:color="auto"/>
              <w:right w:val="single" w:sz="4" w:space="0" w:color="auto"/>
            </w:tcBorders>
            <w:vAlign w:val="center"/>
            <w:hideMark/>
          </w:tcPr>
          <w:p w14:paraId="773147C9" w14:textId="43F3DA2D" w:rsidR="00E41367" w:rsidRPr="00543402" w:rsidRDefault="00E41367" w:rsidP="00E41367">
            <w:pPr>
              <w:ind w:firstLineChars="100" w:firstLine="160"/>
              <w:jc w:val="right"/>
              <w:rPr>
                <w:color w:val="000000"/>
                <w:sz w:val="16"/>
                <w:szCs w:val="16"/>
              </w:rPr>
            </w:pPr>
            <w:r w:rsidRPr="00543402">
              <w:rPr>
                <w:color w:val="000000"/>
                <w:sz w:val="16"/>
                <w:szCs w:val="16"/>
              </w:rPr>
              <w:t xml:space="preserve"> </w:t>
            </w:r>
          </w:p>
        </w:tc>
        <w:tc>
          <w:tcPr>
            <w:tcW w:w="1320" w:type="dxa"/>
            <w:tcBorders>
              <w:top w:val="nil"/>
              <w:left w:val="nil"/>
              <w:bottom w:val="single" w:sz="4" w:space="0" w:color="auto"/>
              <w:right w:val="single" w:sz="8" w:space="0" w:color="auto"/>
            </w:tcBorders>
            <w:vAlign w:val="center"/>
            <w:hideMark/>
          </w:tcPr>
          <w:p w14:paraId="389BE727" w14:textId="171CB955" w:rsidR="00E41367" w:rsidRPr="00543402" w:rsidRDefault="00E41367" w:rsidP="00E41367">
            <w:pPr>
              <w:ind w:firstLineChars="100" w:firstLine="160"/>
              <w:jc w:val="right"/>
              <w:rPr>
                <w:rFonts w:ascii="Times New Roman CE" w:hAnsi="Times New Roman CE" w:cs="Calibri"/>
                <w:b/>
                <w:bCs/>
                <w:sz w:val="16"/>
                <w:szCs w:val="16"/>
              </w:rPr>
            </w:pPr>
          </w:p>
        </w:tc>
      </w:tr>
      <w:tr w:rsidR="00E41367" w:rsidRPr="00543402" w14:paraId="19C8B669" w14:textId="77777777" w:rsidTr="006325C2">
        <w:trPr>
          <w:trHeight w:val="989"/>
        </w:trPr>
        <w:tc>
          <w:tcPr>
            <w:tcW w:w="2820" w:type="dxa"/>
            <w:tcBorders>
              <w:top w:val="nil"/>
              <w:left w:val="single" w:sz="8" w:space="0" w:color="auto"/>
              <w:bottom w:val="single" w:sz="4" w:space="0" w:color="auto"/>
              <w:right w:val="nil"/>
            </w:tcBorders>
            <w:vAlign w:val="center"/>
            <w:hideMark/>
          </w:tcPr>
          <w:p w14:paraId="187152DB" w14:textId="77777777" w:rsidR="00E41367" w:rsidRPr="00543402" w:rsidRDefault="00E41367" w:rsidP="00E41367">
            <w:pPr>
              <w:rPr>
                <w:color w:val="222222"/>
                <w:sz w:val="14"/>
                <w:szCs w:val="14"/>
              </w:rPr>
            </w:pPr>
            <w:r w:rsidRPr="00543402">
              <w:rPr>
                <w:color w:val="222222"/>
                <w:sz w:val="14"/>
                <w:szCs w:val="14"/>
              </w:rPr>
              <w:t>A visszavásárlási kötelezettség kikötésével megkötött</w:t>
            </w:r>
            <w:r w:rsidRPr="00543402">
              <w:rPr>
                <w:color w:val="222222"/>
                <w:sz w:val="14"/>
                <w:szCs w:val="14"/>
              </w:rPr>
              <w:br/>
              <w:t xml:space="preserve">adásvételi szerződés eladói félként történő megkötése - ideértve az Szt. szerinti valódi penziós és óvadéki </w:t>
            </w:r>
            <w:proofErr w:type="spellStart"/>
            <w:r w:rsidRPr="00543402">
              <w:rPr>
                <w:color w:val="222222"/>
                <w:sz w:val="14"/>
                <w:szCs w:val="14"/>
              </w:rPr>
              <w:t>repóügyleteket</w:t>
            </w:r>
            <w:proofErr w:type="spellEnd"/>
            <w:r w:rsidRPr="00543402">
              <w:rPr>
                <w:color w:val="222222"/>
                <w:sz w:val="14"/>
                <w:szCs w:val="14"/>
              </w:rPr>
              <w:t xml:space="preserve"> is - a visszavásárlásig, és a kikötött visszavásárlási ár</w:t>
            </w:r>
          </w:p>
        </w:tc>
        <w:tc>
          <w:tcPr>
            <w:tcW w:w="540" w:type="dxa"/>
            <w:tcBorders>
              <w:top w:val="nil"/>
              <w:left w:val="single" w:sz="4" w:space="0" w:color="auto"/>
              <w:bottom w:val="single" w:sz="4" w:space="0" w:color="auto"/>
              <w:right w:val="single" w:sz="4" w:space="0" w:color="auto"/>
            </w:tcBorders>
            <w:vAlign w:val="center"/>
            <w:hideMark/>
          </w:tcPr>
          <w:p w14:paraId="4E84522E" w14:textId="77777777" w:rsidR="00E41367" w:rsidRPr="00543402" w:rsidRDefault="00E41367" w:rsidP="00E41367">
            <w:pPr>
              <w:jc w:val="center"/>
              <w:rPr>
                <w:color w:val="000000"/>
                <w:sz w:val="16"/>
                <w:szCs w:val="16"/>
              </w:rPr>
            </w:pPr>
            <w:r w:rsidRPr="00543402">
              <w:rPr>
                <w:color w:val="000000"/>
                <w:sz w:val="16"/>
                <w:szCs w:val="16"/>
              </w:rPr>
              <w:t>13</w:t>
            </w:r>
          </w:p>
        </w:tc>
        <w:tc>
          <w:tcPr>
            <w:tcW w:w="1140" w:type="dxa"/>
            <w:tcBorders>
              <w:top w:val="nil"/>
              <w:left w:val="nil"/>
              <w:bottom w:val="single" w:sz="4" w:space="0" w:color="auto"/>
              <w:right w:val="single" w:sz="4" w:space="0" w:color="auto"/>
            </w:tcBorders>
            <w:vAlign w:val="center"/>
            <w:hideMark/>
          </w:tcPr>
          <w:p w14:paraId="45519882" w14:textId="5BA3E0C9"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nil"/>
              <w:left w:val="nil"/>
              <w:bottom w:val="single" w:sz="4" w:space="0" w:color="auto"/>
              <w:right w:val="single" w:sz="4" w:space="0" w:color="auto"/>
            </w:tcBorders>
            <w:vAlign w:val="center"/>
            <w:hideMark/>
          </w:tcPr>
          <w:p w14:paraId="66549F59" w14:textId="6CC6E905"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nil"/>
              <w:left w:val="nil"/>
              <w:bottom w:val="single" w:sz="4" w:space="0" w:color="auto"/>
              <w:right w:val="single" w:sz="4" w:space="0" w:color="auto"/>
            </w:tcBorders>
            <w:vAlign w:val="center"/>
            <w:hideMark/>
          </w:tcPr>
          <w:p w14:paraId="5771F74A" w14:textId="10515E80"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320" w:type="dxa"/>
            <w:tcBorders>
              <w:top w:val="nil"/>
              <w:left w:val="nil"/>
              <w:bottom w:val="single" w:sz="4" w:space="0" w:color="auto"/>
              <w:right w:val="single" w:sz="8" w:space="0" w:color="auto"/>
            </w:tcBorders>
            <w:vAlign w:val="center"/>
            <w:hideMark/>
          </w:tcPr>
          <w:p w14:paraId="4A28C98B" w14:textId="379ADACB" w:rsidR="00E41367" w:rsidRPr="00543402" w:rsidRDefault="00E41367"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 </w:t>
            </w:r>
          </w:p>
        </w:tc>
      </w:tr>
      <w:tr w:rsidR="00E41367" w:rsidRPr="00543402" w14:paraId="60B397AE" w14:textId="77777777" w:rsidTr="006325C2">
        <w:trPr>
          <w:trHeight w:val="692"/>
        </w:trPr>
        <w:tc>
          <w:tcPr>
            <w:tcW w:w="2820" w:type="dxa"/>
            <w:tcBorders>
              <w:top w:val="nil"/>
              <w:left w:val="single" w:sz="8" w:space="0" w:color="auto"/>
              <w:bottom w:val="single" w:sz="4" w:space="0" w:color="auto"/>
              <w:right w:val="nil"/>
            </w:tcBorders>
            <w:vAlign w:val="center"/>
            <w:hideMark/>
          </w:tcPr>
          <w:p w14:paraId="440A969D" w14:textId="77777777" w:rsidR="00E41367" w:rsidRPr="00543402" w:rsidRDefault="00E41367" w:rsidP="00E41367">
            <w:pPr>
              <w:rPr>
                <w:color w:val="222222"/>
                <w:sz w:val="14"/>
                <w:szCs w:val="14"/>
              </w:rPr>
            </w:pPr>
            <w:r w:rsidRPr="00543402">
              <w:rPr>
                <w:color w:val="222222"/>
                <w:sz w:val="14"/>
                <w:szCs w:val="14"/>
              </w:rPr>
              <w:t>A szerződésben kapott, legalább háromszázhatvanöt</w:t>
            </w:r>
            <w:r w:rsidRPr="00543402">
              <w:rPr>
                <w:color w:val="222222"/>
                <w:sz w:val="14"/>
                <w:szCs w:val="14"/>
              </w:rPr>
              <w:br/>
              <w:t>nap időtartamú halasztott fizetés, részletfizetés, és a még ki nem fizetett ellenérték</w:t>
            </w:r>
          </w:p>
        </w:tc>
        <w:tc>
          <w:tcPr>
            <w:tcW w:w="540" w:type="dxa"/>
            <w:tcBorders>
              <w:top w:val="nil"/>
              <w:left w:val="single" w:sz="4" w:space="0" w:color="auto"/>
              <w:bottom w:val="single" w:sz="4" w:space="0" w:color="auto"/>
              <w:right w:val="single" w:sz="4" w:space="0" w:color="auto"/>
            </w:tcBorders>
            <w:vAlign w:val="center"/>
            <w:hideMark/>
          </w:tcPr>
          <w:p w14:paraId="6540CEEA" w14:textId="77777777" w:rsidR="00E41367" w:rsidRPr="00543402" w:rsidRDefault="00E41367" w:rsidP="00E41367">
            <w:pPr>
              <w:jc w:val="center"/>
              <w:rPr>
                <w:color w:val="000000"/>
                <w:sz w:val="16"/>
                <w:szCs w:val="16"/>
              </w:rPr>
            </w:pPr>
            <w:r w:rsidRPr="00543402">
              <w:rPr>
                <w:color w:val="000000"/>
                <w:sz w:val="16"/>
                <w:szCs w:val="16"/>
              </w:rPr>
              <w:t>14</w:t>
            </w:r>
          </w:p>
        </w:tc>
        <w:tc>
          <w:tcPr>
            <w:tcW w:w="1140" w:type="dxa"/>
            <w:tcBorders>
              <w:top w:val="nil"/>
              <w:left w:val="nil"/>
              <w:bottom w:val="single" w:sz="4" w:space="0" w:color="auto"/>
              <w:right w:val="single" w:sz="4" w:space="0" w:color="auto"/>
            </w:tcBorders>
            <w:vAlign w:val="center"/>
            <w:hideMark/>
          </w:tcPr>
          <w:p w14:paraId="024EC499" w14:textId="04958A37"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nil"/>
              <w:left w:val="nil"/>
              <w:bottom w:val="single" w:sz="4" w:space="0" w:color="auto"/>
              <w:right w:val="single" w:sz="4" w:space="0" w:color="auto"/>
            </w:tcBorders>
            <w:vAlign w:val="center"/>
            <w:hideMark/>
          </w:tcPr>
          <w:p w14:paraId="22D8D00A" w14:textId="045DDA96"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nil"/>
              <w:left w:val="nil"/>
              <w:bottom w:val="single" w:sz="4" w:space="0" w:color="auto"/>
              <w:right w:val="single" w:sz="4" w:space="0" w:color="auto"/>
            </w:tcBorders>
            <w:vAlign w:val="center"/>
            <w:hideMark/>
          </w:tcPr>
          <w:p w14:paraId="72B1DAC9" w14:textId="0A7ADF1A"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320" w:type="dxa"/>
            <w:tcBorders>
              <w:top w:val="nil"/>
              <w:left w:val="nil"/>
              <w:bottom w:val="single" w:sz="4" w:space="0" w:color="auto"/>
              <w:right w:val="single" w:sz="8" w:space="0" w:color="auto"/>
            </w:tcBorders>
            <w:vAlign w:val="center"/>
            <w:hideMark/>
          </w:tcPr>
          <w:p w14:paraId="2C2348FB" w14:textId="37FD88C1" w:rsidR="00E41367" w:rsidRPr="00543402" w:rsidRDefault="00E41367"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 </w:t>
            </w:r>
          </w:p>
        </w:tc>
      </w:tr>
      <w:tr w:rsidR="00E41367" w:rsidRPr="00543402" w14:paraId="7A5780D6" w14:textId="77777777" w:rsidTr="006325C2">
        <w:trPr>
          <w:trHeight w:val="701"/>
        </w:trPr>
        <w:tc>
          <w:tcPr>
            <w:tcW w:w="2820" w:type="dxa"/>
            <w:tcBorders>
              <w:top w:val="nil"/>
              <w:left w:val="single" w:sz="8" w:space="0" w:color="auto"/>
              <w:bottom w:val="single" w:sz="8" w:space="0" w:color="auto"/>
              <w:right w:val="nil"/>
            </w:tcBorders>
            <w:vAlign w:val="center"/>
            <w:hideMark/>
          </w:tcPr>
          <w:p w14:paraId="64CEC786" w14:textId="77777777" w:rsidR="00E41367" w:rsidRPr="00543402" w:rsidRDefault="00E41367" w:rsidP="00E41367">
            <w:pPr>
              <w:rPr>
                <w:color w:val="222222"/>
                <w:sz w:val="14"/>
                <w:szCs w:val="14"/>
              </w:rPr>
            </w:pPr>
            <w:r w:rsidRPr="00543402">
              <w:rPr>
                <w:color w:val="222222"/>
                <w:sz w:val="14"/>
                <w:szCs w:val="14"/>
              </w:rPr>
              <w:t xml:space="preserve">hitelintézetek által, származékos műveletek </w:t>
            </w:r>
            <w:r w:rsidRPr="00543402">
              <w:rPr>
                <w:color w:val="222222"/>
                <w:sz w:val="14"/>
                <w:szCs w:val="14"/>
              </w:rPr>
              <w:br/>
              <w:t>különbözeteként az Államadósság Kezelő Központ Zrt.-nél (a továbbiakban: ÁKK Zrt.) elhelyezett fedezeti betétek, és azok összege</w:t>
            </w:r>
          </w:p>
        </w:tc>
        <w:tc>
          <w:tcPr>
            <w:tcW w:w="540" w:type="dxa"/>
            <w:tcBorders>
              <w:top w:val="nil"/>
              <w:left w:val="single" w:sz="4" w:space="0" w:color="auto"/>
              <w:bottom w:val="single" w:sz="8" w:space="0" w:color="auto"/>
              <w:right w:val="single" w:sz="4" w:space="0" w:color="auto"/>
            </w:tcBorders>
            <w:vAlign w:val="center"/>
            <w:hideMark/>
          </w:tcPr>
          <w:p w14:paraId="6BC94D4C" w14:textId="77777777" w:rsidR="00E41367" w:rsidRPr="00543402" w:rsidRDefault="00E41367" w:rsidP="00E41367">
            <w:pPr>
              <w:jc w:val="center"/>
              <w:rPr>
                <w:color w:val="000000"/>
                <w:sz w:val="16"/>
                <w:szCs w:val="16"/>
              </w:rPr>
            </w:pPr>
            <w:r w:rsidRPr="00543402">
              <w:rPr>
                <w:color w:val="000000"/>
                <w:sz w:val="16"/>
                <w:szCs w:val="16"/>
              </w:rPr>
              <w:t>15</w:t>
            </w:r>
          </w:p>
        </w:tc>
        <w:tc>
          <w:tcPr>
            <w:tcW w:w="1140" w:type="dxa"/>
            <w:tcBorders>
              <w:top w:val="nil"/>
              <w:left w:val="nil"/>
              <w:bottom w:val="single" w:sz="8" w:space="0" w:color="auto"/>
              <w:right w:val="single" w:sz="4" w:space="0" w:color="auto"/>
            </w:tcBorders>
            <w:vAlign w:val="center"/>
            <w:hideMark/>
          </w:tcPr>
          <w:p w14:paraId="24A752D9" w14:textId="45AC96FD"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nil"/>
              <w:left w:val="nil"/>
              <w:bottom w:val="single" w:sz="8" w:space="0" w:color="auto"/>
              <w:right w:val="single" w:sz="4" w:space="0" w:color="auto"/>
            </w:tcBorders>
            <w:vAlign w:val="center"/>
            <w:hideMark/>
          </w:tcPr>
          <w:p w14:paraId="42221A96" w14:textId="0EA9B5FA"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140" w:type="dxa"/>
            <w:tcBorders>
              <w:top w:val="nil"/>
              <w:left w:val="nil"/>
              <w:bottom w:val="single" w:sz="8" w:space="0" w:color="auto"/>
              <w:right w:val="single" w:sz="4" w:space="0" w:color="auto"/>
            </w:tcBorders>
            <w:vAlign w:val="center"/>
            <w:hideMark/>
          </w:tcPr>
          <w:p w14:paraId="3162B878" w14:textId="4905C1EB" w:rsidR="00E41367" w:rsidRPr="00543402" w:rsidRDefault="00E41367" w:rsidP="00E41367">
            <w:pPr>
              <w:ind w:firstLineChars="100" w:firstLine="120"/>
              <w:jc w:val="right"/>
              <w:rPr>
                <w:color w:val="000000"/>
                <w:sz w:val="12"/>
                <w:szCs w:val="12"/>
              </w:rPr>
            </w:pPr>
            <w:r w:rsidRPr="00543402">
              <w:rPr>
                <w:color w:val="000000"/>
                <w:sz w:val="12"/>
                <w:szCs w:val="12"/>
              </w:rPr>
              <w:t> </w:t>
            </w:r>
          </w:p>
        </w:tc>
        <w:tc>
          <w:tcPr>
            <w:tcW w:w="1320" w:type="dxa"/>
            <w:tcBorders>
              <w:top w:val="nil"/>
              <w:left w:val="nil"/>
              <w:bottom w:val="single" w:sz="8" w:space="0" w:color="auto"/>
              <w:right w:val="single" w:sz="8" w:space="0" w:color="auto"/>
            </w:tcBorders>
            <w:vAlign w:val="center"/>
            <w:hideMark/>
          </w:tcPr>
          <w:p w14:paraId="334BB47A" w14:textId="308BB0E1" w:rsidR="00E41367" w:rsidRPr="00543402" w:rsidRDefault="00E41367"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 </w:t>
            </w:r>
          </w:p>
        </w:tc>
      </w:tr>
      <w:tr w:rsidR="00E41367" w:rsidRPr="00543402" w14:paraId="02123A24" w14:textId="77777777" w:rsidTr="00103E60">
        <w:trPr>
          <w:trHeight w:val="360"/>
        </w:trPr>
        <w:tc>
          <w:tcPr>
            <w:tcW w:w="2820" w:type="dxa"/>
            <w:tcBorders>
              <w:top w:val="nil"/>
              <w:left w:val="single" w:sz="8" w:space="0" w:color="auto"/>
              <w:bottom w:val="single" w:sz="8" w:space="0" w:color="auto"/>
              <w:right w:val="single" w:sz="4" w:space="0" w:color="auto"/>
            </w:tcBorders>
            <w:vAlign w:val="center"/>
            <w:hideMark/>
          </w:tcPr>
          <w:p w14:paraId="09F68DC1" w14:textId="77777777" w:rsidR="00E41367" w:rsidRPr="00543402" w:rsidRDefault="00E41367" w:rsidP="00E41367">
            <w:pPr>
              <w:rPr>
                <w:b/>
                <w:bCs/>
                <w:color w:val="000000"/>
                <w:sz w:val="16"/>
                <w:szCs w:val="16"/>
              </w:rPr>
            </w:pPr>
            <w:r w:rsidRPr="00543402">
              <w:rPr>
                <w:b/>
                <w:bCs/>
                <w:color w:val="000000"/>
                <w:sz w:val="16"/>
                <w:szCs w:val="16"/>
              </w:rPr>
              <w:t>Fizetési kötelezettség (09+…+15)</w:t>
            </w:r>
          </w:p>
        </w:tc>
        <w:tc>
          <w:tcPr>
            <w:tcW w:w="540" w:type="dxa"/>
            <w:tcBorders>
              <w:top w:val="nil"/>
              <w:left w:val="nil"/>
              <w:bottom w:val="single" w:sz="8" w:space="0" w:color="auto"/>
              <w:right w:val="single" w:sz="4" w:space="0" w:color="auto"/>
            </w:tcBorders>
            <w:vAlign w:val="center"/>
            <w:hideMark/>
          </w:tcPr>
          <w:p w14:paraId="52A8C9E7" w14:textId="77777777" w:rsidR="00E41367" w:rsidRPr="00543402" w:rsidRDefault="00E41367" w:rsidP="00E41367">
            <w:pPr>
              <w:jc w:val="center"/>
              <w:rPr>
                <w:b/>
                <w:bCs/>
                <w:color w:val="000000"/>
                <w:sz w:val="16"/>
                <w:szCs w:val="16"/>
              </w:rPr>
            </w:pPr>
            <w:r w:rsidRPr="00543402">
              <w:rPr>
                <w:b/>
                <w:bCs/>
                <w:color w:val="000000"/>
                <w:sz w:val="16"/>
                <w:szCs w:val="16"/>
              </w:rPr>
              <w:t>16</w:t>
            </w:r>
          </w:p>
        </w:tc>
        <w:tc>
          <w:tcPr>
            <w:tcW w:w="1140" w:type="dxa"/>
            <w:tcBorders>
              <w:top w:val="nil"/>
              <w:left w:val="nil"/>
              <w:bottom w:val="single" w:sz="8" w:space="0" w:color="auto"/>
              <w:right w:val="nil"/>
            </w:tcBorders>
            <w:vAlign w:val="center"/>
            <w:hideMark/>
          </w:tcPr>
          <w:p w14:paraId="305683E0" w14:textId="0E315F2B" w:rsidR="00E41367" w:rsidRPr="00543402" w:rsidRDefault="00E41367" w:rsidP="00E41367">
            <w:pPr>
              <w:ind w:firstLineChars="100" w:firstLine="160"/>
              <w:jc w:val="right"/>
              <w:rPr>
                <w:rFonts w:ascii="Times New Roman CE" w:hAnsi="Times New Roman CE" w:cs="Calibri"/>
                <w:b/>
                <w:bCs/>
                <w:sz w:val="16"/>
                <w:szCs w:val="16"/>
              </w:rPr>
            </w:pPr>
          </w:p>
        </w:tc>
        <w:tc>
          <w:tcPr>
            <w:tcW w:w="1140" w:type="dxa"/>
            <w:tcBorders>
              <w:top w:val="nil"/>
              <w:left w:val="single" w:sz="4" w:space="0" w:color="auto"/>
              <w:bottom w:val="single" w:sz="8" w:space="0" w:color="auto"/>
              <w:right w:val="single" w:sz="4" w:space="0" w:color="auto"/>
            </w:tcBorders>
            <w:vAlign w:val="center"/>
          </w:tcPr>
          <w:p w14:paraId="020E03DE" w14:textId="02B67F0B" w:rsidR="00E41367" w:rsidRPr="00543402" w:rsidRDefault="00E41367" w:rsidP="00E41367">
            <w:pPr>
              <w:ind w:firstLineChars="100" w:firstLine="160"/>
              <w:jc w:val="right"/>
              <w:rPr>
                <w:rFonts w:ascii="Times New Roman CE" w:hAnsi="Times New Roman CE" w:cs="Calibri"/>
                <w:b/>
                <w:bCs/>
                <w:sz w:val="16"/>
                <w:szCs w:val="16"/>
              </w:rPr>
            </w:pPr>
          </w:p>
        </w:tc>
        <w:tc>
          <w:tcPr>
            <w:tcW w:w="1140" w:type="dxa"/>
            <w:tcBorders>
              <w:top w:val="nil"/>
              <w:left w:val="nil"/>
              <w:bottom w:val="single" w:sz="8" w:space="0" w:color="auto"/>
              <w:right w:val="single" w:sz="4" w:space="0" w:color="auto"/>
            </w:tcBorders>
            <w:vAlign w:val="center"/>
          </w:tcPr>
          <w:p w14:paraId="6EB706CE" w14:textId="4A4CE33D" w:rsidR="00E41367" w:rsidRPr="00543402" w:rsidRDefault="00E41367" w:rsidP="00E41367">
            <w:pPr>
              <w:ind w:firstLineChars="100" w:firstLine="160"/>
              <w:jc w:val="right"/>
              <w:rPr>
                <w:rFonts w:ascii="Times New Roman CE" w:hAnsi="Times New Roman CE" w:cs="Calibri"/>
                <w:b/>
                <w:bCs/>
                <w:sz w:val="16"/>
                <w:szCs w:val="16"/>
              </w:rPr>
            </w:pPr>
          </w:p>
        </w:tc>
        <w:tc>
          <w:tcPr>
            <w:tcW w:w="1320" w:type="dxa"/>
            <w:tcBorders>
              <w:top w:val="nil"/>
              <w:left w:val="nil"/>
              <w:bottom w:val="single" w:sz="8" w:space="0" w:color="auto"/>
              <w:right w:val="single" w:sz="8" w:space="0" w:color="auto"/>
            </w:tcBorders>
            <w:vAlign w:val="center"/>
            <w:hideMark/>
          </w:tcPr>
          <w:p w14:paraId="7E8CFEA7" w14:textId="43FEBB02" w:rsidR="00E41367" w:rsidRPr="00543402" w:rsidRDefault="00E41367" w:rsidP="00E41367">
            <w:pPr>
              <w:ind w:firstLineChars="100" w:firstLine="160"/>
              <w:jc w:val="right"/>
              <w:rPr>
                <w:rFonts w:ascii="Times New Roman CE" w:hAnsi="Times New Roman CE" w:cs="Calibri"/>
                <w:b/>
                <w:bCs/>
                <w:sz w:val="16"/>
                <w:szCs w:val="16"/>
              </w:rPr>
            </w:pPr>
          </w:p>
        </w:tc>
      </w:tr>
      <w:tr w:rsidR="00E41367" w:rsidRPr="006F433B" w14:paraId="78EA14C3" w14:textId="77777777" w:rsidTr="006325C2">
        <w:trPr>
          <w:trHeight w:val="600"/>
        </w:trPr>
        <w:tc>
          <w:tcPr>
            <w:tcW w:w="2820" w:type="dxa"/>
            <w:tcBorders>
              <w:top w:val="nil"/>
              <w:left w:val="single" w:sz="8" w:space="0" w:color="auto"/>
              <w:bottom w:val="single" w:sz="8" w:space="0" w:color="auto"/>
              <w:right w:val="single" w:sz="4" w:space="0" w:color="auto"/>
            </w:tcBorders>
            <w:vAlign w:val="center"/>
            <w:hideMark/>
          </w:tcPr>
          <w:p w14:paraId="104D3918" w14:textId="77777777" w:rsidR="00E41367" w:rsidRPr="00543402" w:rsidRDefault="00E41367" w:rsidP="00E41367">
            <w:pPr>
              <w:rPr>
                <w:b/>
                <w:bCs/>
                <w:color w:val="000000"/>
                <w:sz w:val="16"/>
                <w:szCs w:val="16"/>
              </w:rPr>
            </w:pPr>
            <w:r w:rsidRPr="00543402">
              <w:rPr>
                <w:b/>
                <w:bCs/>
                <w:color w:val="000000"/>
                <w:sz w:val="16"/>
                <w:szCs w:val="16"/>
              </w:rPr>
              <w:t>Fizetési kötelezettséggel csökkentett saját bevétel (08-16)</w:t>
            </w:r>
          </w:p>
        </w:tc>
        <w:tc>
          <w:tcPr>
            <w:tcW w:w="540" w:type="dxa"/>
            <w:tcBorders>
              <w:top w:val="nil"/>
              <w:left w:val="nil"/>
              <w:bottom w:val="single" w:sz="8" w:space="0" w:color="auto"/>
              <w:right w:val="single" w:sz="4" w:space="0" w:color="auto"/>
            </w:tcBorders>
            <w:vAlign w:val="center"/>
            <w:hideMark/>
          </w:tcPr>
          <w:p w14:paraId="7D94022B" w14:textId="77777777" w:rsidR="00E41367" w:rsidRPr="00543402" w:rsidRDefault="00E41367" w:rsidP="00E41367">
            <w:pPr>
              <w:jc w:val="center"/>
              <w:rPr>
                <w:b/>
                <w:bCs/>
                <w:color w:val="000000"/>
                <w:sz w:val="16"/>
                <w:szCs w:val="16"/>
              </w:rPr>
            </w:pPr>
            <w:r w:rsidRPr="00543402">
              <w:rPr>
                <w:b/>
                <w:bCs/>
                <w:color w:val="000000"/>
                <w:sz w:val="16"/>
                <w:szCs w:val="16"/>
              </w:rPr>
              <w:t>17</w:t>
            </w:r>
          </w:p>
        </w:tc>
        <w:tc>
          <w:tcPr>
            <w:tcW w:w="1140" w:type="dxa"/>
            <w:tcBorders>
              <w:top w:val="nil"/>
              <w:left w:val="nil"/>
              <w:bottom w:val="single" w:sz="8" w:space="0" w:color="auto"/>
              <w:right w:val="nil"/>
            </w:tcBorders>
            <w:vAlign w:val="center"/>
            <w:hideMark/>
          </w:tcPr>
          <w:p w14:paraId="32242229" w14:textId="3C73D42F" w:rsidR="00E41367" w:rsidRPr="00543402" w:rsidRDefault="00543402"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224 250</w:t>
            </w:r>
            <w:r w:rsidR="00002B0F" w:rsidRPr="00543402">
              <w:rPr>
                <w:rFonts w:ascii="Times New Roman CE" w:hAnsi="Times New Roman CE" w:cs="Calibri"/>
                <w:b/>
                <w:bCs/>
                <w:sz w:val="16"/>
                <w:szCs w:val="16"/>
              </w:rPr>
              <w:t xml:space="preserve"> 000</w:t>
            </w:r>
          </w:p>
        </w:tc>
        <w:tc>
          <w:tcPr>
            <w:tcW w:w="1140" w:type="dxa"/>
            <w:tcBorders>
              <w:top w:val="nil"/>
              <w:left w:val="single" w:sz="4" w:space="0" w:color="auto"/>
              <w:bottom w:val="single" w:sz="8" w:space="0" w:color="auto"/>
              <w:right w:val="single" w:sz="4" w:space="0" w:color="auto"/>
            </w:tcBorders>
            <w:vAlign w:val="center"/>
            <w:hideMark/>
          </w:tcPr>
          <w:p w14:paraId="2F3F4029" w14:textId="67F96F92" w:rsidR="00E41367" w:rsidRPr="00543402" w:rsidRDefault="00543402"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229 800</w:t>
            </w:r>
            <w:r w:rsidR="00002B0F" w:rsidRPr="00543402">
              <w:rPr>
                <w:rFonts w:ascii="Times New Roman CE" w:hAnsi="Times New Roman CE" w:cs="Calibri"/>
                <w:b/>
                <w:bCs/>
                <w:sz w:val="16"/>
                <w:szCs w:val="16"/>
              </w:rPr>
              <w:t xml:space="preserve"> 000</w:t>
            </w:r>
          </w:p>
        </w:tc>
        <w:tc>
          <w:tcPr>
            <w:tcW w:w="1140" w:type="dxa"/>
            <w:tcBorders>
              <w:top w:val="nil"/>
              <w:left w:val="nil"/>
              <w:bottom w:val="single" w:sz="8" w:space="0" w:color="auto"/>
              <w:right w:val="single" w:sz="4" w:space="0" w:color="auto"/>
            </w:tcBorders>
            <w:vAlign w:val="center"/>
            <w:hideMark/>
          </w:tcPr>
          <w:p w14:paraId="288D2064" w14:textId="65F71260" w:rsidR="00E41367" w:rsidRPr="00543402" w:rsidRDefault="00543402"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235 350</w:t>
            </w:r>
            <w:r w:rsidR="00002B0F" w:rsidRPr="00543402">
              <w:rPr>
                <w:rFonts w:ascii="Times New Roman CE" w:hAnsi="Times New Roman CE" w:cs="Calibri"/>
                <w:b/>
                <w:bCs/>
                <w:sz w:val="16"/>
                <w:szCs w:val="16"/>
              </w:rPr>
              <w:t xml:space="preserve"> 000</w:t>
            </w:r>
          </w:p>
        </w:tc>
        <w:tc>
          <w:tcPr>
            <w:tcW w:w="1320" w:type="dxa"/>
            <w:tcBorders>
              <w:top w:val="nil"/>
              <w:left w:val="nil"/>
              <w:bottom w:val="single" w:sz="8" w:space="0" w:color="auto"/>
              <w:right w:val="single" w:sz="8" w:space="0" w:color="auto"/>
            </w:tcBorders>
            <w:vAlign w:val="center"/>
            <w:hideMark/>
          </w:tcPr>
          <w:p w14:paraId="55564B56" w14:textId="404FF555" w:rsidR="00E41367" w:rsidRDefault="00543402" w:rsidP="00E41367">
            <w:pPr>
              <w:ind w:firstLineChars="100" w:firstLine="160"/>
              <w:jc w:val="right"/>
              <w:rPr>
                <w:rFonts w:ascii="Times New Roman CE" w:hAnsi="Times New Roman CE" w:cs="Calibri"/>
                <w:b/>
                <w:bCs/>
                <w:sz w:val="16"/>
                <w:szCs w:val="16"/>
              </w:rPr>
            </w:pPr>
            <w:r w:rsidRPr="00543402">
              <w:rPr>
                <w:rFonts w:ascii="Times New Roman CE" w:hAnsi="Times New Roman CE" w:cs="Calibri"/>
                <w:b/>
                <w:bCs/>
                <w:sz w:val="16"/>
                <w:szCs w:val="16"/>
              </w:rPr>
              <w:t>689 4</w:t>
            </w:r>
            <w:r w:rsidR="00002B0F" w:rsidRPr="00543402">
              <w:rPr>
                <w:rFonts w:ascii="Times New Roman CE" w:hAnsi="Times New Roman CE" w:cs="Calibri"/>
                <w:b/>
                <w:bCs/>
                <w:sz w:val="16"/>
                <w:szCs w:val="16"/>
              </w:rPr>
              <w:t>00</w:t>
            </w:r>
            <w:r w:rsidR="00FD4A53" w:rsidRPr="00543402">
              <w:rPr>
                <w:rFonts w:ascii="Times New Roman CE" w:hAnsi="Times New Roman CE" w:cs="Calibri"/>
                <w:b/>
                <w:bCs/>
                <w:sz w:val="16"/>
                <w:szCs w:val="16"/>
              </w:rPr>
              <w:t> </w:t>
            </w:r>
            <w:r w:rsidR="00002B0F" w:rsidRPr="00543402">
              <w:rPr>
                <w:rFonts w:ascii="Times New Roman CE" w:hAnsi="Times New Roman CE" w:cs="Calibri"/>
                <w:b/>
                <w:bCs/>
                <w:sz w:val="16"/>
                <w:szCs w:val="16"/>
              </w:rPr>
              <w:t>000</w:t>
            </w:r>
          </w:p>
          <w:p w14:paraId="49205858" w14:textId="4EADAB31" w:rsidR="00FD4A53" w:rsidRPr="00002B0F" w:rsidRDefault="00FD4A53" w:rsidP="00E41367">
            <w:pPr>
              <w:ind w:firstLineChars="100" w:firstLine="160"/>
              <w:jc w:val="right"/>
              <w:rPr>
                <w:rFonts w:ascii="Times New Roman CE" w:hAnsi="Times New Roman CE" w:cs="Calibri"/>
                <w:b/>
                <w:bCs/>
                <w:sz w:val="16"/>
                <w:szCs w:val="16"/>
              </w:rPr>
            </w:pPr>
          </w:p>
        </w:tc>
      </w:tr>
    </w:tbl>
    <w:p w14:paraId="68ED71D0" w14:textId="77777777" w:rsidR="004E04CF" w:rsidRPr="00D9303B" w:rsidRDefault="004E04CF" w:rsidP="00DA5EEA">
      <w:pPr>
        <w:tabs>
          <w:tab w:val="num" w:pos="0"/>
        </w:tabs>
        <w:jc w:val="both"/>
        <w:rPr>
          <w:rFonts w:ascii="Arial" w:hAnsi="Arial" w:cs="Arial"/>
          <w:sz w:val="20"/>
          <w:szCs w:val="20"/>
        </w:rPr>
      </w:pPr>
    </w:p>
    <w:sectPr w:rsidR="004E04CF" w:rsidRPr="00D9303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DC39" w14:textId="77777777" w:rsidR="0088580B" w:rsidRDefault="0088580B" w:rsidP="005213FA">
      <w:r>
        <w:separator/>
      </w:r>
    </w:p>
  </w:endnote>
  <w:endnote w:type="continuationSeparator" w:id="0">
    <w:p w14:paraId="0C0E36B7" w14:textId="77777777" w:rsidR="0088580B" w:rsidRDefault="0088580B" w:rsidP="0052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626216"/>
      <w:docPartObj>
        <w:docPartGallery w:val="Page Numbers (Bottom of Page)"/>
        <w:docPartUnique/>
      </w:docPartObj>
    </w:sdtPr>
    <w:sdtEndPr>
      <w:rPr>
        <w:rFonts w:ascii="Arial" w:hAnsi="Arial" w:cs="Arial"/>
        <w:sz w:val="22"/>
        <w:szCs w:val="22"/>
      </w:rPr>
    </w:sdtEndPr>
    <w:sdtContent>
      <w:p w14:paraId="0A3ADAB5" w14:textId="57BC4109" w:rsidR="00704B8B" w:rsidRPr="00704B8B" w:rsidRDefault="00704B8B">
        <w:pPr>
          <w:pStyle w:val="llb"/>
          <w:jc w:val="center"/>
          <w:rPr>
            <w:rFonts w:ascii="Arial" w:hAnsi="Arial" w:cs="Arial"/>
            <w:sz w:val="22"/>
            <w:szCs w:val="22"/>
          </w:rPr>
        </w:pPr>
        <w:r w:rsidRPr="00704B8B">
          <w:rPr>
            <w:rFonts w:ascii="Arial" w:hAnsi="Arial" w:cs="Arial"/>
            <w:sz w:val="22"/>
            <w:szCs w:val="22"/>
          </w:rPr>
          <w:fldChar w:fldCharType="begin"/>
        </w:r>
        <w:r w:rsidRPr="00704B8B">
          <w:rPr>
            <w:rFonts w:ascii="Arial" w:hAnsi="Arial" w:cs="Arial"/>
            <w:sz w:val="22"/>
            <w:szCs w:val="22"/>
          </w:rPr>
          <w:instrText>PAGE   \* MERGEFORMAT</w:instrText>
        </w:r>
        <w:r w:rsidRPr="00704B8B">
          <w:rPr>
            <w:rFonts w:ascii="Arial" w:hAnsi="Arial" w:cs="Arial"/>
            <w:sz w:val="22"/>
            <w:szCs w:val="22"/>
          </w:rPr>
          <w:fldChar w:fldCharType="separate"/>
        </w:r>
        <w:r w:rsidR="00C12190" w:rsidRPr="00C12190">
          <w:rPr>
            <w:rFonts w:ascii="Arial" w:hAnsi="Arial" w:cs="Arial"/>
            <w:noProof/>
            <w:sz w:val="22"/>
            <w:szCs w:val="22"/>
            <w:lang w:val="hu-HU"/>
          </w:rPr>
          <w:t>21</w:t>
        </w:r>
        <w:r w:rsidRPr="00704B8B">
          <w:rPr>
            <w:rFonts w:ascii="Arial" w:hAnsi="Arial" w:cs="Arial"/>
            <w:sz w:val="22"/>
            <w:szCs w:val="22"/>
          </w:rPr>
          <w:fldChar w:fldCharType="end"/>
        </w:r>
      </w:p>
    </w:sdtContent>
  </w:sdt>
  <w:p w14:paraId="27CA8D58" w14:textId="77777777" w:rsidR="00704B8B" w:rsidRDefault="00704B8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3D93D" w14:textId="77777777" w:rsidR="0088580B" w:rsidRDefault="0088580B" w:rsidP="005213FA">
      <w:r>
        <w:separator/>
      </w:r>
    </w:p>
  </w:footnote>
  <w:footnote w:type="continuationSeparator" w:id="0">
    <w:p w14:paraId="6D632080" w14:textId="77777777" w:rsidR="0088580B" w:rsidRDefault="0088580B" w:rsidP="005213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A33"/>
    <w:multiLevelType w:val="hybridMultilevel"/>
    <w:tmpl w:val="C87A9D2E"/>
    <w:lvl w:ilvl="0" w:tplc="040E000F">
      <w:start w:val="1"/>
      <w:numFmt w:val="decimal"/>
      <w:lvlText w:val="%1."/>
      <w:lvlJc w:val="left"/>
      <w:pPr>
        <w:ind w:left="644"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8FF45A3"/>
    <w:multiLevelType w:val="hybridMultilevel"/>
    <w:tmpl w:val="EEC0C410"/>
    <w:lvl w:ilvl="0" w:tplc="0B6C7730">
      <w:start w:val="6"/>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342815C9"/>
    <w:multiLevelType w:val="hybridMultilevel"/>
    <w:tmpl w:val="160879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7F36A0"/>
    <w:multiLevelType w:val="hybridMultilevel"/>
    <w:tmpl w:val="19C26B0A"/>
    <w:lvl w:ilvl="0" w:tplc="E9DA180E">
      <w:start w:val="1"/>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4" w15:restartNumberingAfterBreak="0">
    <w:nsid w:val="42F72E63"/>
    <w:multiLevelType w:val="hybridMultilevel"/>
    <w:tmpl w:val="11A08B40"/>
    <w:lvl w:ilvl="0" w:tplc="B8F2A95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7262EC3"/>
    <w:multiLevelType w:val="hybridMultilevel"/>
    <w:tmpl w:val="3904D6A2"/>
    <w:lvl w:ilvl="0" w:tplc="4F364DF6">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4CB33110"/>
    <w:multiLevelType w:val="hybridMultilevel"/>
    <w:tmpl w:val="CAF834A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4DFE5463"/>
    <w:multiLevelType w:val="hybridMultilevel"/>
    <w:tmpl w:val="25CEC86A"/>
    <w:lvl w:ilvl="0" w:tplc="4614C94C">
      <w:start w:val="1"/>
      <w:numFmt w:val="bullet"/>
      <w:lvlText w:val="-"/>
      <w:lvlJc w:val="left"/>
      <w:pPr>
        <w:ind w:left="1080" w:hanging="360"/>
      </w:pPr>
      <w:rPr>
        <w:rFonts w:ascii="Arial" w:eastAsia="Times New Roman" w:hAnsi="Arial"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8" w15:restartNumberingAfterBreak="0">
    <w:nsid w:val="4F9414F1"/>
    <w:multiLevelType w:val="hybridMultilevel"/>
    <w:tmpl w:val="07F0C53A"/>
    <w:lvl w:ilvl="0" w:tplc="FA8C525C">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9" w15:restartNumberingAfterBreak="0">
    <w:nsid w:val="612F15E4"/>
    <w:multiLevelType w:val="hybridMultilevel"/>
    <w:tmpl w:val="8990C92C"/>
    <w:lvl w:ilvl="0" w:tplc="54747666">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673B14AE"/>
    <w:multiLevelType w:val="hybridMultilevel"/>
    <w:tmpl w:val="0F24151C"/>
    <w:lvl w:ilvl="0" w:tplc="E75C303C">
      <w:start w:val="1"/>
      <w:numFmt w:val="bullet"/>
      <w:lvlText w:val="–"/>
      <w:lvlJc w:val="left"/>
      <w:pPr>
        <w:ind w:left="720" w:hanging="360"/>
      </w:pPr>
      <w:rPr>
        <w:rFonts w:ascii="Times New Roman" w:hAnsi="Times New Roman" w:cs="Times New Roman" w:hint="default"/>
        <w:color w:val="auto"/>
        <w:sz w:val="28"/>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77722503"/>
    <w:multiLevelType w:val="hybridMultilevel"/>
    <w:tmpl w:val="509CEBAA"/>
    <w:lvl w:ilvl="0" w:tplc="7318DCC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1"/>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EA"/>
    <w:rsid w:val="000004FC"/>
    <w:rsid w:val="00001B67"/>
    <w:rsid w:val="000026C4"/>
    <w:rsid w:val="00002B0F"/>
    <w:rsid w:val="00003860"/>
    <w:rsid w:val="00003A0C"/>
    <w:rsid w:val="000056A9"/>
    <w:rsid w:val="0001118B"/>
    <w:rsid w:val="00012C0E"/>
    <w:rsid w:val="00016E4C"/>
    <w:rsid w:val="000171AD"/>
    <w:rsid w:val="00025C8E"/>
    <w:rsid w:val="00025FBA"/>
    <w:rsid w:val="00027786"/>
    <w:rsid w:val="000315B2"/>
    <w:rsid w:val="00032A7E"/>
    <w:rsid w:val="000346E9"/>
    <w:rsid w:val="00035DFD"/>
    <w:rsid w:val="00041B83"/>
    <w:rsid w:val="00046BA8"/>
    <w:rsid w:val="000507A1"/>
    <w:rsid w:val="000564D1"/>
    <w:rsid w:val="00065108"/>
    <w:rsid w:val="00067881"/>
    <w:rsid w:val="0007386F"/>
    <w:rsid w:val="000766C9"/>
    <w:rsid w:val="00083696"/>
    <w:rsid w:val="00086A82"/>
    <w:rsid w:val="0009010B"/>
    <w:rsid w:val="000943F3"/>
    <w:rsid w:val="0009450D"/>
    <w:rsid w:val="000964AC"/>
    <w:rsid w:val="000A1A53"/>
    <w:rsid w:val="000A270D"/>
    <w:rsid w:val="000A7B21"/>
    <w:rsid w:val="000B204E"/>
    <w:rsid w:val="000B3531"/>
    <w:rsid w:val="000B50B7"/>
    <w:rsid w:val="000B7514"/>
    <w:rsid w:val="000B7D1B"/>
    <w:rsid w:val="000C0FEB"/>
    <w:rsid w:val="000C5EF6"/>
    <w:rsid w:val="000C7F49"/>
    <w:rsid w:val="000D4BE9"/>
    <w:rsid w:val="000D65CA"/>
    <w:rsid w:val="000D7EF1"/>
    <w:rsid w:val="000E1B63"/>
    <w:rsid w:val="000E2077"/>
    <w:rsid w:val="000E733A"/>
    <w:rsid w:val="000F03AF"/>
    <w:rsid w:val="000F25AE"/>
    <w:rsid w:val="000F3C9B"/>
    <w:rsid w:val="000F7371"/>
    <w:rsid w:val="00103E60"/>
    <w:rsid w:val="0010676E"/>
    <w:rsid w:val="00107507"/>
    <w:rsid w:val="00110DD6"/>
    <w:rsid w:val="00111E53"/>
    <w:rsid w:val="00112C85"/>
    <w:rsid w:val="00117D38"/>
    <w:rsid w:val="00120872"/>
    <w:rsid w:val="00120D14"/>
    <w:rsid w:val="001252F3"/>
    <w:rsid w:val="0013145A"/>
    <w:rsid w:val="00144B47"/>
    <w:rsid w:val="00154813"/>
    <w:rsid w:val="00155D67"/>
    <w:rsid w:val="0015634A"/>
    <w:rsid w:val="001573E2"/>
    <w:rsid w:val="00161C9C"/>
    <w:rsid w:val="00161E33"/>
    <w:rsid w:val="00161EEA"/>
    <w:rsid w:val="00162AB0"/>
    <w:rsid w:val="00163530"/>
    <w:rsid w:val="00164D06"/>
    <w:rsid w:val="00166160"/>
    <w:rsid w:val="001709EB"/>
    <w:rsid w:val="00170D67"/>
    <w:rsid w:val="00174957"/>
    <w:rsid w:val="001825B6"/>
    <w:rsid w:val="00184CB7"/>
    <w:rsid w:val="001910E7"/>
    <w:rsid w:val="00194AD3"/>
    <w:rsid w:val="0019528C"/>
    <w:rsid w:val="0019587B"/>
    <w:rsid w:val="00195881"/>
    <w:rsid w:val="00195BC2"/>
    <w:rsid w:val="001A22C8"/>
    <w:rsid w:val="001A3F0B"/>
    <w:rsid w:val="001A4ADA"/>
    <w:rsid w:val="001B1172"/>
    <w:rsid w:val="001B68C0"/>
    <w:rsid w:val="001C13FF"/>
    <w:rsid w:val="001C5F02"/>
    <w:rsid w:val="001D106A"/>
    <w:rsid w:val="001D17DC"/>
    <w:rsid w:val="001D1C74"/>
    <w:rsid w:val="001D3DD9"/>
    <w:rsid w:val="001D4AD1"/>
    <w:rsid w:val="001D504F"/>
    <w:rsid w:val="001D55F9"/>
    <w:rsid w:val="001D6064"/>
    <w:rsid w:val="001E256B"/>
    <w:rsid w:val="001E4102"/>
    <w:rsid w:val="001F03F5"/>
    <w:rsid w:val="001F0C1D"/>
    <w:rsid w:val="001F2E5F"/>
    <w:rsid w:val="001F63B6"/>
    <w:rsid w:val="00200C1F"/>
    <w:rsid w:val="00204800"/>
    <w:rsid w:val="0021070F"/>
    <w:rsid w:val="00217B03"/>
    <w:rsid w:val="00217B18"/>
    <w:rsid w:val="00225C62"/>
    <w:rsid w:val="00226798"/>
    <w:rsid w:val="00226E52"/>
    <w:rsid w:val="00232A21"/>
    <w:rsid w:val="00234C0A"/>
    <w:rsid w:val="00235BB3"/>
    <w:rsid w:val="00240D75"/>
    <w:rsid w:val="0024285D"/>
    <w:rsid w:val="00243582"/>
    <w:rsid w:val="0024573F"/>
    <w:rsid w:val="00257639"/>
    <w:rsid w:val="002654BE"/>
    <w:rsid w:val="00265A52"/>
    <w:rsid w:val="00267C51"/>
    <w:rsid w:val="00273E51"/>
    <w:rsid w:val="002750BE"/>
    <w:rsid w:val="00284D7D"/>
    <w:rsid w:val="00285795"/>
    <w:rsid w:val="00293305"/>
    <w:rsid w:val="00294D69"/>
    <w:rsid w:val="002A1A4E"/>
    <w:rsid w:val="002A2B45"/>
    <w:rsid w:val="002A5941"/>
    <w:rsid w:val="002A7949"/>
    <w:rsid w:val="002B3C68"/>
    <w:rsid w:val="002B61CF"/>
    <w:rsid w:val="002B76C9"/>
    <w:rsid w:val="002C1D52"/>
    <w:rsid w:val="002E29DE"/>
    <w:rsid w:val="002E4D7B"/>
    <w:rsid w:val="002E4DE9"/>
    <w:rsid w:val="002F0ADA"/>
    <w:rsid w:val="002F1A37"/>
    <w:rsid w:val="002F6505"/>
    <w:rsid w:val="00307EB4"/>
    <w:rsid w:val="00310CE9"/>
    <w:rsid w:val="00311EBA"/>
    <w:rsid w:val="00312FC9"/>
    <w:rsid w:val="00313326"/>
    <w:rsid w:val="00314424"/>
    <w:rsid w:val="00315E31"/>
    <w:rsid w:val="00316B16"/>
    <w:rsid w:val="0032339D"/>
    <w:rsid w:val="00324F0B"/>
    <w:rsid w:val="00325D0F"/>
    <w:rsid w:val="0032605A"/>
    <w:rsid w:val="00332C16"/>
    <w:rsid w:val="00337B20"/>
    <w:rsid w:val="00343350"/>
    <w:rsid w:val="00343BC1"/>
    <w:rsid w:val="003506E6"/>
    <w:rsid w:val="003547A4"/>
    <w:rsid w:val="00354E5A"/>
    <w:rsid w:val="003564FA"/>
    <w:rsid w:val="00356567"/>
    <w:rsid w:val="00357D91"/>
    <w:rsid w:val="0036003D"/>
    <w:rsid w:val="0036446A"/>
    <w:rsid w:val="003659F4"/>
    <w:rsid w:val="0037748C"/>
    <w:rsid w:val="003776E6"/>
    <w:rsid w:val="00377847"/>
    <w:rsid w:val="00382091"/>
    <w:rsid w:val="00383FBB"/>
    <w:rsid w:val="00384987"/>
    <w:rsid w:val="00384BC9"/>
    <w:rsid w:val="00387FF4"/>
    <w:rsid w:val="00392034"/>
    <w:rsid w:val="00392FB9"/>
    <w:rsid w:val="003938D6"/>
    <w:rsid w:val="003963BE"/>
    <w:rsid w:val="003974D5"/>
    <w:rsid w:val="003A5FBB"/>
    <w:rsid w:val="003B2D24"/>
    <w:rsid w:val="003C2235"/>
    <w:rsid w:val="003D1C02"/>
    <w:rsid w:val="003D2E5D"/>
    <w:rsid w:val="003D44C8"/>
    <w:rsid w:val="003D67D8"/>
    <w:rsid w:val="003D6F37"/>
    <w:rsid w:val="003E2547"/>
    <w:rsid w:val="003E74A4"/>
    <w:rsid w:val="003F0C3C"/>
    <w:rsid w:val="003F5633"/>
    <w:rsid w:val="003F7D69"/>
    <w:rsid w:val="00401152"/>
    <w:rsid w:val="004038CD"/>
    <w:rsid w:val="00405270"/>
    <w:rsid w:val="004111D5"/>
    <w:rsid w:val="0041163E"/>
    <w:rsid w:val="00411AFE"/>
    <w:rsid w:val="00413514"/>
    <w:rsid w:val="00417211"/>
    <w:rsid w:val="004202D5"/>
    <w:rsid w:val="0042071D"/>
    <w:rsid w:val="004216AD"/>
    <w:rsid w:val="0042566B"/>
    <w:rsid w:val="0042621E"/>
    <w:rsid w:val="00431A72"/>
    <w:rsid w:val="00431E64"/>
    <w:rsid w:val="0043390E"/>
    <w:rsid w:val="0044466D"/>
    <w:rsid w:val="00460649"/>
    <w:rsid w:val="0046197C"/>
    <w:rsid w:val="00463117"/>
    <w:rsid w:val="004631CD"/>
    <w:rsid w:val="004653FF"/>
    <w:rsid w:val="00471A08"/>
    <w:rsid w:val="00471F07"/>
    <w:rsid w:val="004776E2"/>
    <w:rsid w:val="00485B52"/>
    <w:rsid w:val="00491D36"/>
    <w:rsid w:val="00493E2F"/>
    <w:rsid w:val="00494C9F"/>
    <w:rsid w:val="004A0D13"/>
    <w:rsid w:val="004A1820"/>
    <w:rsid w:val="004A4AC4"/>
    <w:rsid w:val="004A4FC4"/>
    <w:rsid w:val="004A573F"/>
    <w:rsid w:val="004A6A28"/>
    <w:rsid w:val="004B534D"/>
    <w:rsid w:val="004C1694"/>
    <w:rsid w:val="004C5585"/>
    <w:rsid w:val="004C56D8"/>
    <w:rsid w:val="004D013C"/>
    <w:rsid w:val="004D1BB5"/>
    <w:rsid w:val="004D1CCA"/>
    <w:rsid w:val="004D4F1C"/>
    <w:rsid w:val="004D72B7"/>
    <w:rsid w:val="004E04CF"/>
    <w:rsid w:val="004E3232"/>
    <w:rsid w:val="004E65CD"/>
    <w:rsid w:val="004F23B3"/>
    <w:rsid w:val="004F360D"/>
    <w:rsid w:val="005009E1"/>
    <w:rsid w:val="00500E42"/>
    <w:rsid w:val="00513A5C"/>
    <w:rsid w:val="005161F2"/>
    <w:rsid w:val="00517357"/>
    <w:rsid w:val="005213FA"/>
    <w:rsid w:val="00521FEF"/>
    <w:rsid w:val="00522C29"/>
    <w:rsid w:val="00523FB3"/>
    <w:rsid w:val="00527184"/>
    <w:rsid w:val="00540853"/>
    <w:rsid w:val="00543402"/>
    <w:rsid w:val="005611CE"/>
    <w:rsid w:val="0056555E"/>
    <w:rsid w:val="005728EF"/>
    <w:rsid w:val="00576BB2"/>
    <w:rsid w:val="00581F5C"/>
    <w:rsid w:val="00583BCD"/>
    <w:rsid w:val="00583F36"/>
    <w:rsid w:val="00584185"/>
    <w:rsid w:val="00587C00"/>
    <w:rsid w:val="0059334A"/>
    <w:rsid w:val="00595BC2"/>
    <w:rsid w:val="00596F63"/>
    <w:rsid w:val="00597CDD"/>
    <w:rsid w:val="005A0852"/>
    <w:rsid w:val="005A2562"/>
    <w:rsid w:val="005A4630"/>
    <w:rsid w:val="005A4833"/>
    <w:rsid w:val="005B169E"/>
    <w:rsid w:val="005B1B87"/>
    <w:rsid w:val="005D066F"/>
    <w:rsid w:val="005D2408"/>
    <w:rsid w:val="005D6CF6"/>
    <w:rsid w:val="005E0843"/>
    <w:rsid w:val="005E220A"/>
    <w:rsid w:val="005E7A3E"/>
    <w:rsid w:val="005F683B"/>
    <w:rsid w:val="005F74F7"/>
    <w:rsid w:val="00605B0C"/>
    <w:rsid w:val="0060691B"/>
    <w:rsid w:val="0060779E"/>
    <w:rsid w:val="0061068A"/>
    <w:rsid w:val="00617C75"/>
    <w:rsid w:val="00620722"/>
    <w:rsid w:val="00623321"/>
    <w:rsid w:val="0062625B"/>
    <w:rsid w:val="00627AC8"/>
    <w:rsid w:val="006325C2"/>
    <w:rsid w:val="00632CBE"/>
    <w:rsid w:val="00636BB8"/>
    <w:rsid w:val="00640F60"/>
    <w:rsid w:val="00650D25"/>
    <w:rsid w:val="006559A7"/>
    <w:rsid w:val="006568D0"/>
    <w:rsid w:val="00660E2E"/>
    <w:rsid w:val="006618D1"/>
    <w:rsid w:val="006631D4"/>
    <w:rsid w:val="00675C46"/>
    <w:rsid w:val="00677CD8"/>
    <w:rsid w:val="006804C6"/>
    <w:rsid w:val="00692A17"/>
    <w:rsid w:val="00693739"/>
    <w:rsid w:val="0069737D"/>
    <w:rsid w:val="006A7D57"/>
    <w:rsid w:val="006B1FA7"/>
    <w:rsid w:val="006B224A"/>
    <w:rsid w:val="006B28E1"/>
    <w:rsid w:val="006B2E39"/>
    <w:rsid w:val="006C2F4C"/>
    <w:rsid w:val="006C3704"/>
    <w:rsid w:val="006C513A"/>
    <w:rsid w:val="006D4450"/>
    <w:rsid w:val="006D5DC7"/>
    <w:rsid w:val="006D5F01"/>
    <w:rsid w:val="006E084E"/>
    <w:rsid w:val="006F433B"/>
    <w:rsid w:val="006F4395"/>
    <w:rsid w:val="006F5DA3"/>
    <w:rsid w:val="006F65D1"/>
    <w:rsid w:val="00704B8B"/>
    <w:rsid w:val="00710636"/>
    <w:rsid w:val="007176CB"/>
    <w:rsid w:val="00721392"/>
    <w:rsid w:val="007259F5"/>
    <w:rsid w:val="00725D3B"/>
    <w:rsid w:val="00730CE6"/>
    <w:rsid w:val="00732656"/>
    <w:rsid w:val="00733F5A"/>
    <w:rsid w:val="007404AF"/>
    <w:rsid w:val="0074084C"/>
    <w:rsid w:val="00740B27"/>
    <w:rsid w:val="00745290"/>
    <w:rsid w:val="0074562E"/>
    <w:rsid w:val="007504DA"/>
    <w:rsid w:val="00752073"/>
    <w:rsid w:val="007557E4"/>
    <w:rsid w:val="00760FCD"/>
    <w:rsid w:val="00762034"/>
    <w:rsid w:val="007673D5"/>
    <w:rsid w:val="007710FF"/>
    <w:rsid w:val="00782463"/>
    <w:rsid w:val="0078253B"/>
    <w:rsid w:val="00783190"/>
    <w:rsid w:val="0078464E"/>
    <w:rsid w:val="00786A55"/>
    <w:rsid w:val="00791E31"/>
    <w:rsid w:val="007945B3"/>
    <w:rsid w:val="00796729"/>
    <w:rsid w:val="007B1DC6"/>
    <w:rsid w:val="007B5B8D"/>
    <w:rsid w:val="007C1DF6"/>
    <w:rsid w:val="007C501A"/>
    <w:rsid w:val="007D24D3"/>
    <w:rsid w:val="007D7D17"/>
    <w:rsid w:val="007F2E54"/>
    <w:rsid w:val="007F5145"/>
    <w:rsid w:val="007F7A97"/>
    <w:rsid w:val="008067EC"/>
    <w:rsid w:val="00811CE8"/>
    <w:rsid w:val="00812DE3"/>
    <w:rsid w:val="00823389"/>
    <w:rsid w:val="00823686"/>
    <w:rsid w:val="00830CB7"/>
    <w:rsid w:val="008342A9"/>
    <w:rsid w:val="008375FF"/>
    <w:rsid w:val="008419D2"/>
    <w:rsid w:val="0084217A"/>
    <w:rsid w:val="00850894"/>
    <w:rsid w:val="00850FA2"/>
    <w:rsid w:val="008519DF"/>
    <w:rsid w:val="00851A6B"/>
    <w:rsid w:val="00851E5A"/>
    <w:rsid w:val="008533E3"/>
    <w:rsid w:val="00860B38"/>
    <w:rsid w:val="00864EA0"/>
    <w:rsid w:val="00866264"/>
    <w:rsid w:val="008671F3"/>
    <w:rsid w:val="00870CCA"/>
    <w:rsid w:val="008718AE"/>
    <w:rsid w:val="008757CD"/>
    <w:rsid w:val="00877E17"/>
    <w:rsid w:val="00883276"/>
    <w:rsid w:val="00884C78"/>
    <w:rsid w:val="0088524F"/>
    <w:rsid w:val="0088580B"/>
    <w:rsid w:val="00891EE2"/>
    <w:rsid w:val="008A009F"/>
    <w:rsid w:val="008A1398"/>
    <w:rsid w:val="008A1FC3"/>
    <w:rsid w:val="008A7F08"/>
    <w:rsid w:val="008B01C1"/>
    <w:rsid w:val="008B0343"/>
    <w:rsid w:val="008C0669"/>
    <w:rsid w:val="008C296E"/>
    <w:rsid w:val="008C71F0"/>
    <w:rsid w:val="008C7E06"/>
    <w:rsid w:val="008D1292"/>
    <w:rsid w:val="008D1622"/>
    <w:rsid w:val="008D2A36"/>
    <w:rsid w:val="008D363E"/>
    <w:rsid w:val="008D3905"/>
    <w:rsid w:val="008D664D"/>
    <w:rsid w:val="008E0252"/>
    <w:rsid w:val="008E51E5"/>
    <w:rsid w:val="008E76EB"/>
    <w:rsid w:val="008F16F8"/>
    <w:rsid w:val="008F67D2"/>
    <w:rsid w:val="00902C79"/>
    <w:rsid w:val="009040D4"/>
    <w:rsid w:val="009070E6"/>
    <w:rsid w:val="009071CA"/>
    <w:rsid w:val="00916B95"/>
    <w:rsid w:val="009174F3"/>
    <w:rsid w:val="00917FFA"/>
    <w:rsid w:val="00922848"/>
    <w:rsid w:val="00923596"/>
    <w:rsid w:val="00924F34"/>
    <w:rsid w:val="00932982"/>
    <w:rsid w:val="0093310A"/>
    <w:rsid w:val="00933E69"/>
    <w:rsid w:val="00935927"/>
    <w:rsid w:val="00940454"/>
    <w:rsid w:val="00944E37"/>
    <w:rsid w:val="00947579"/>
    <w:rsid w:val="00950B69"/>
    <w:rsid w:val="00953D48"/>
    <w:rsid w:val="00953F67"/>
    <w:rsid w:val="00955355"/>
    <w:rsid w:val="009553A2"/>
    <w:rsid w:val="00955DE0"/>
    <w:rsid w:val="009574C9"/>
    <w:rsid w:val="009663F9"/>
    <w:rsid w:val="0097147D"/>
    <w:rsid w:val="009726E3"/>
    <w:rsid w:val="0097758D"/>
    <w:rsid w:val="0098296C"/>
    <w:rsid w:val="00987FC0"/>
    <w:rsid w:val="00990DD5"/>
    <w:rsid w:val="00992097"/>
    <w:rsid w:val="00992BC4"/>
    <w:rsid w:val="0099622E"/>
    <w:rsid w:val="009A0F10"/>
    <w:rsid w:val="009A2EC2"/>
    <w:rsid w:val="009A2F59"/>
    <w:rsid w:val="009B1C2F"/>
    <w:rsid w:val="009B3B1E"/>
    <w:rsid w:val="009B77F4"/>
    <w:rsid w:val="009D5259"/>
    <w:rsid w:val="009E10C8"/>
    <w:rsid w:val="009E2E30"/>
    <w:rsid w:val="009E7BF8"/>
    <w:rsid w:val="009F016A"/>
    <w:rsid w:val="009F498D"/>
    <w:rsid w:val="009F4AD2"/>
    <w:rsid w:val="009F4D8A"/>
    <w:rsid w:val="009F5D46"/>
    <w:rsid w:val="009F5DEC"/>
    <w:rsid w:val="00A00968"/>
    <w:rsid w:val="00A06B68"/>
    <w:rsid w:val="00A14C16"/>
    <w:rsid w:val="00A17198"/>
    <w:rsid w:val="00A275E8"/>
    <w:rsid w:val="00A32FB3"/>
    <w:rsid w:val="00A34FC4"/>
    <w:rsid w:val="00A351F3"/>
    <w:rsid w:val="00A40D06"/>
    <w:rsid w:val="00A45377"/>
    <w:rsid w:val="00A45508"/>
    <w:rsid w:val="00A45E36"/>
    <w:rsid w:val="00A53C2B"/>
    <w:rsid w:val="00A54C6B"/>
    <w:rsid w:val="00A55C7A"/>
    <w:rsid w:val="00A56DD3"/>
    <w:rsid w:val="00A603FF"/>
    <w:rsid w:val="00A60683"/>
    <w:rsid w:val="00A60FFB"/>
    <w:rsid w:val="00A626A9"/>
    <w:rsid w:val="00A71B89"/>
    <w:rsid w:val="00A73F9F"/>
    <w:rsid w:val="00A765BC"/>
    <w:rsid w:val="00A8186B"/>
    <w:rsid w:val="00A82F71"/>
    <w:rsid w:val="00A87490"/>
    <w:rsid w:val="00A9093B"/>
    <w:rsid w:val="00A91A8E"/>
    <w:rsid w:val="00A939D7"/>
    <w:rsid w:val="00A9447E"/>
    <w:rsid w:val="00A95A82"/>
    <w:rsid w:val="00AA4020"/>
    <w:rsid w:val="00AA6E76"/>
    <w:rsid w:val="00AA6F1E"/>
    <w:rsid w:val="00AA7C3B"/>
    <w:rsid w:val="00AB2FE0"/>
    <w:rsid w:val="00AB7B5D"/>
    <w:rsid w:val="00AC032F"/>
    <w:rsid w:val="00AC2A81"/>
    <w:rsid w:val="00AC36EC"/>
    <w:rsid w:val="00AD013C"/>
    <w:rsid w:val="00AD217E"/>
    <w:rsid w:val="00AD3A9A"/>
    <w:rsid w:val="00AD67EC"/>
    <w:rsid w:val="00AE2D63"/>
    <w:rsid w:val="00AE327E"/>
    <w:rsid w:val="00AE383B"/>
    <w:rsid w:val="00AE3A7D"/>
    <w:rsid w:val="00AE7B18"/>
    <w:rsid w:val="00AF09AA"/>
    <w:rsid w:val="00AF2A33"/>
    <w:rsid w:val="00B05FEE"/>
    <w:rsid w:val="00B073D6"/>
    <w:rsid w:val="00B2026D"/>
    <w:rsid w:val="00B20587"/>
    <w:rsid w:val="00B21587"/>
    <w:rsid w:val="00B221BE"/>
    <w:rsid w:val="00B3157B"/>
    <w:rsid w:val="00B344F3"/>
    <w:rsid w:val="00B35481"/>
    <w:rsid w:val="00B36B66"/>
    <w:rsid w:val="00B36FEE"/>
    <w:rsid w:val="00B377A7"/>
    <w:rsid w:val="00B40966"/>
    <w:rsid w:val="00B46764"/>
    <w:rsid w:val="00B51390"/>
    <w:rsid w:val="00B55E50"/>
    <w:rsid w:val="00B55FF9"/>
    <w:rsid w:val="00B60268"/>
    <w:rsid w:val="00B652C8"/>
    <w:rsid w:val="00B65F1F"/>
    <w:rsid w:val="00B73866"/>
    <w:rsid w:val="00B745D6"/>
    <w:rsid w:val="00B752E5"/>
    <w:rsid w:val="00B75C1C"/>
    <w:rsid w:val="00B80B1A"/>
    <w:rsid w:val="00B8333E"/>
    <w:rsid w:val="00B84896"/>
    <w:rsid w:val="00B85A4D"/>
    <w:rsid w:val="00B87A14"/>
    <w:rsid w:val="00B93A1A"/>
    <w:rsid w:val="00B95E7E"/>
    <w:rsid w:val="00B97319"/>
    <w:rsid w:val="00BA0353"/>
    <w:rsid w:val="00BA7529"/>
    <w:rsid w:val="00BB1928"/>
    <w:rsid w:val="00BB1F10"/>
    <w:rsid w:val="00BB27DB"/>
    <w:rsid w:val="00BB747D"/>
    <w:rsid w:val="00BC0246"/>
    <w:rsid w:val="00BD4069"/>
    <w:rsid w:val="00BD4FFD"/>
    <w:rsid w:val="00BD6991"/>
    <w:rsid w:val="00BD6FE2"/>
    <w:rsid w:val="00BE0D8D"/>
    <w:rsid w:val="00BE1C7D"/>
    <w:rsid w:val="00BE21FF"/>
    <w:rsid w:val="00BF3088"/>
    <w:rsid w:val="00BF58A4"/>
    <w:rsid w:val="00C025C4"/>
    <w:rsid w:val="00C02C27"/>
    <w:rsid w:val="00C04312"/>
    <w:rsid w:val="00C06B54"/>
    <w:rsid w:val="00C12190"/>
    <w:rsid w:val="00C14914"/>
    <w:rsid w:val="00C14BE4"/>
    <w:rsid w:val="00C1525F"/>
    <w:rsid w:val="00C16621"/>
    <w:rsid w:val="00C22FF4"/>
    <w:rsid w:val="00C24F59"/>
    <w:rsid w:val="00C36CF9"/>
    <w:rsid w:val="00C434B2"/>
    <w:rsid w:val="00C4593A"/>
    <w:rsid w:val="00C4594F"/>
    <w:rsid w:val="00C45C6A"/>
    <w:rsid w:val="00C51010"/>
    <w:rsid w:val="00C54D3B"/>
    <w:rsid w:val="00C54F1D"/>
    <w:rsid w:val="00C55948"/>
    <w:rsid w:val="00C56F2B"/>
    <w:rsid w:val="00C661A5"/>
    <w:rsid w:val="00C6705E"/>
    <w:rsid w:val="00C706F0"/>
    <w:rsid w:val="00C70E20"/>
    <w:rsid w:val="00C711FD"/>
    <w:rsid w:val="00C75570"/>
    <w:rsid w:val="00C75C1C"/>
    <w:rsid w:val="00C77B1E"/>
    <w:rsid w:val="00C82258"/>
    <w:rsid w:val="00C84A7E"/>
    <w:rsid w:val="00CA3EDE"/>
    <w:rsid w:val="00CA5CB1"/>
    <w:rsid w:val="00CB13B0"/>
    <w:rsid w:val="00CB4C9E"/>
    <w:rsid w:val="00CB4F3B"/>
    <w:rsid w:val="00CC04CD"/>
    <w:rsid w:val="00CC22B9"/>
    <w:rsid w:val="00CC2779"/>
    <w:rsid w:val="00CC4568"/>
    <w:rsid w:val="00CC4668"/>
    <w:rsid w:val="00CC6C32"/>
    <w:rsid w:val="00CD2AB0"/>
    <w:rsid w:val="00CD2B49"/>
    <w:rsid w:val="00CD3CA6"/>
    <w:rsid w:val="00CD43C4"/>
    <w:rsid w:val="00CE1141"/>
    <w:rsid w:val="00CE6B55"/>
    <w:rsid w:val="00CE7ED4"/>
    <w:rsid w:val="00CF0BCE"/>
    <w:rsid w:val="00CF0C39"/>
    <w:rsid w:val="00CF4253"/>
    <w:rsid w:val="00CF5AFA"/>
    <w:rsid w:val="00D01200"/>
    <w:rsid w:val="00D04C18"/>
    <w:rsid w:val="00D0533A"/>
    <w:rsid w:val="00D13891"/>
    <w:rsid w:val="00D16DDC"/>
    <w:rsid w:val="00D26E78"/>
    <w:rsid w:val="00D312AD"/>
    <w:rsid w:val="00D35330"/>
    <w:rsid w:val="00D42182"/>
    <w:rsid w:val="00D459CC"/>
    <w:rsid w:val="00D46103"/>
    <w:rsid w:val="00D46251"/>
    <w:rsid w:val="00D50257"/>
    <w:rsid w:val="00D533B0"/>
    <w:rsid w:val="00D54413"/>
    <w:rsid w:val="00D56DAD"/>
    <w:rsid w:val="00D57DBC"/>
    <w:rsid w:val="00D64A9C"/>
    <w:rsid w:val="00D72ABE"/>
    <w:rsid w:val="00D73683"/>
    <w:rsid w:val="00D76E26"/>
    <w:rsid w:val="00D84974"/>
    <w:rsid w:val="00D909FB"/>
    <w:rsid w:val="00D93C6F"/>
    <w:rsid w:val="00DA5EEA"/>
    <w:rsid w:val="00DB0177"/>
    <w:rsid w:val="00DB0DC4"/>
    <w:rsid w:val="00DB143E"/>
    <w:rsid w:val="00DB69E5"/>
    <w:rsid w:val="00DC28A7"/>
    <w:rsid w:val="00DC3024"/>
    <w:rsid w:val="00DC5BE9"/>
    <w:rsid w:val="00DC6CC1"/>
    <w:rsid w:val="00DD0448"/>
    <w:rsid w:val="00DD1268"/>
    <w:rsid w:val="00DD2516"/>
    <w:rsid w:val="00DD29B3"/>
    <w:rsid w:val="00DD4DCD"/>
    <w:rsid w:val="00DD7969"/>
    <w:rsid w:val="00DE2640"/>
    <w:rsid w:val="00DE4CD0"/>
    <w:rsid w:val="00DF1AA2"/>
    <w:rsid w:val="00DF4DCD"/>
    <w:rsid w:val="00DF7D1C"/>
    <w:rsid w:val="00E11606"/>
    <w:rsid w:val="00E13D30"/>
    <w:rsid w:val="00E14821"/>
    <w:rsid w:val="00E1502C"/>
    <w:rsid w:val="00E209EA"/>
    <w:rsid w:val="00E25B37"/>
    <w:rsid w:val="00E331B4"/>
    <w:rsid w:val="00E344C4"/>
    <w:rsid w:val="00E346DE"/>
    <w:rsid w:val="00E37FFC"/>
    <w:rsid w:val="00E40A56"/>
    <w:rsid w:val="00E41367"/>
    <w:rsid w:val="00E469AB"/>
    <w:rsid w:val="00E565C5"/>
    <w:rsid w:val="00E57522"/>
    <w:rsid w:val="00E57D87"/>
    <w:rsid w:val="00E61A89"/>
    <w:rsid w:val="00E62BE6"/>
    <w:rsid w:val="00E72552"/>
    <w:rsid w:val="00E73346"/>
    <w:rsid w:val="00E742B4"/>
    <w:rsid w:val="00E76974"/>
    <w:rsid w:val="00E83AA0"/>
    <w:rsid w:val="00E83EB3"/>
    <w:rsid w:val="00E8417F"/>
    <w:rsid w:val="00E91479"/>
    <w:rsid w:val="00E9172D"/>
    <w:rsid w:val="00E968A9"/>
    <w:rsid w:val="00EA1133"/>
    <w:rsid w:val="00EB098C"/>
    <w:rsid w:val="00EB1AA5"/>
    <w:rsid w:val="00EB6155"/>
    <w:rsid w:val="00EB743D"/>
    <w:rsid w:val="00EC0453"/>
    <w:rsid w:val="00EC3B96"/>
    <w:rsid w:val="00EC58FA"/>
    <w:rsid w:val="00EC5BD3"/>
    <w:rsid w:val="00ED09BE"/>
    <w:rsid w:val="00ED37F8"/>
    <w:rsid w:val="00ED4DCE"/>
    <w:rsid w:val="00ED5BCB"/>
    <w:rsid w:val="00EE5C76"/>
    <w:rsid w:val="00EF0D81"/>
    <w:rsid w:val="00EF3458"/>
    <w:rsid w:val="00EF346D"/>
    <w:rsid w:val="00F0007D"/>
    <w:rsid w:val="00F02F41"/>
    <w:rsid w:val="00F035F4"/>
    <w:rsid w:val="00F1146B"/>
    <w:rsid w:val="00F11BA7"/>
    <w:rsid w:val="00F16FA9"/>
    <w:rsid w:val="00F224A4"/>
    <w:rsid w:val="00F274CA"/>
    <w:rsid w:val="00F35519"/>
    <w:rsid w:val="00F416AA"/>
    <w:rsid w:val="00F42354"/>
    <w:rsid w:val="00F424E9"/>
    <w:rsid w:val="00F433BA"/>
    <w:rsid w:val="00F43801"/>
    <w:rsid w:val="00F43F62"/>
    <w:rsid w:val="00F4626F"/>
    <w:rsid w:val="00F4646D"/>
    <w:rsid w:val="00F53281"/>
    <w:rsid w:val="00F57834"/>
    <w:rsid w:val="00F602B2"/>
    <w:rsid w:val="00F60E35"/>
    <w:rsid w:val="00F63C5D"/>
    <w:rsid w:val="00F671CE"/>
    <w:rsid w:val="00F70C81"/>
    <w:rsid w:val="00F755D3"/>
    <w:rsid w:val="00F8190F"/>
    <w:rsid w:val="00F83457"/>
    <w:rsid w:val="00F83732"/>
    <w:rsid w:val="00F856F0"/>
    <w:rsid w:val="00F86990"/>
    <w:rsid w:val="00F92175"/>
    <w:rsid w:val="00F942F5"/>
    <w:rsid w:val="00F95C2E"/>
    <w:rsid w:val="00F97F3C"/>
    <w:rsid w:val="00FA0B44"/>
    <w:rsid w:val="00FA1699"/>
    <w:rsid w:val="00FA172D"/>
    <w:rsid w:val="00FA2592"/>
    <w:rsid w:val="00FA40FD"/>
    <w:rsid w:val="00FB3395"/>
    <w:rsid w:val="00FB3B08"/>
    <w:rsid w:val="00FC1B22"/>
    <w:rsid w:val="00FC249A"/>
    <w:rsid w:val="00FC2E7D"/>
    <w:rsid w:val="00FC38B5"/>
    <w:rsid w:val="00FC631C"/>
    <w:rsid w:val="00FD2BE1"/>
    <w:rsid w:val="00FD496E"/>
    <w:rsid w:val="00FD4A53"/>
    <w:rsid w:val="00FE1A18"/>
    <w:rsid w:val="00FF2309"/>
    <w:rsid w:val="00FF71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F2FB"/>
  <w15:docId w15:val="{2D348266-497E-4091-8C9B-77CF1AB7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A5EEA"/>
    <w:rPr>
      <w:sz w:val="24"/>
      <w:szCs w:val="24"/>
      <w:lang w:eastAsia="ar-SA"/>
    </w:rPr>
  </w:style>
  <w:style w:type="paragraph" w:styleId="Cmsor1">
    <w:name w:val="heading 1"/>
    <w:basedOn w:val="Norml"/>
    <w:next w:val="Norml"/>
    <w:link w:val="Cmsor1Char"/>
    <w:qFormat/>
    <w:rsid w:val="009663F9"/>
    <w:pPr>
      <w:keepNext/>
      <w:outlineLvl w:val="0"/>
    </w:pPr>
    <w:rPr>
      <w:b/>
      <w:bCs/>
    </w:rPr>
  </w:style>
  <w:style w:type="paragraph" w:styleId="Cmsor2">
    <w:name w:val="heading 2"/>
    <w:basedOn w:val="Norml"/>
    <w:next w:val="Norml"/>
    <w:link w:val="Cmsor2Char"/>
    <w:qFormat/>
    <w:rsid w:val="009663F9"/>
    <w:pPr>
      <w:keepNext/>
      <w:spacing w:before="40"/>
      <w:outlineLvl w:val="1"/>
    </w:pPr>
    <w:rPr>
      <w:b/>
      <w:bCs/>
      <w:sz w:val="26"/>
    </w:rPr>
  </w:style>
  <w:style w:type="paragraph" w:styleId="Cmsor4">
    <w:name w:val="heading 4"/>
    <w:basedOn w:val="Norml"/>
    <w:next w:val="Norml"/>
    <w:link w:val="Cmsor4Char"/>
    <w:semiHidden/>
    <w:unhideWhenUsed/>
    <w:qFormat/>
    <w:rsid w:val="006325C2"/>
    <w:pPr>
      <w:keepNext/>
      <w:spacing w:line="360" w:lineRule="auto"/>
      <w:jc w:val="center"/>
      <w:outlineLvl w:val="3"/>
    </w:pPr>
    <w:rPr>
      <w:b/>
      <w:bCs/>
      <w:sz w:val="26"/>
      <w:u w:val="single"/>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1070F"/>
    <w:rPr>
      <w:b/>
      <w:bCs/>
      <w:sz w:val="24"/>
      <w:szCs w:val="24"/>
      <w:lang w:eastAsia="hu-HU"/>
    </w:rPr>
  </w:style>
  <w:style w:type="character" w:customStyle="1" w:styleId="Cmsor2Char">
    <w:name w:val="Címsor 2 Char"/>
    <w:basedOn w:val="Bekezdsalapbettpusa"/>
    <w:link w:val="Cmsor2"/>
    <w:rsid w:val="0021070F"/>
    <w:rPr>
      <w:b/>
      <w:bCs/>
      <w:sz w:val="26"/>
      <w:szCs w:val="24"/>
      <w:lang w:eastAsia="hu-HU"/>
    </w:rPr>
  </w:style>
  <w:style w:type="paragraph" w:styleId="Szvegtrzs">
    <w:name w:val="Body Text"/>
    <w:basedOn w:val="Norml"/>
    <w:link w:val="SzvegtrzsChar"/>
    <w:rsid w:val="00DA5EEA"/>
    <w:pPr>
      <w:jc w:val="both"/>
    </w:pPr>
    <w:rPr>
      <w:bCs/>
    </w:rPr>
  </w:style>
  <w:style w:type="character" w:customStyle="1" w:styleId="SzvegtrzsChar">
    <w:name w:val="Szövegtörzs Char"/>
    <w:basedOn w:val="Bekezdsalapbettpusa"/>
    <w:link w:val="Szvegtrzs"/>
    <w:rsid w:val="00DA5EEA"/>
    <w:rPr>
      <w:bCs/>
      <w:sz w:val="24"/>
      <w:szCs w:val="24"/>
      <w:lang w:eastAsia="ar-SA"/>
    </w:rPr>
  </w:style>
  <w:style w:type="paragraph" w:styleId="Listaszerbekezds">
    <w:name w:val="List Paragraph"/>
    <w:basedOn w:val="Norml"/>
    <w:uiPriority w:val="34"/>
    <w:qFormat/>
    <w:rsid w:val="008D3905"/>
    <w:pPr>
      <w:ind w:left="720"/>
      <w:contextualSpacing/>
    </w:pPr>
  </w:style>
  <w:style w:type="character" w:customStyle="1" w:styleId="Cmsor4Char">
    <w:name w:val="Címsor 4 Char"/>
    <w:basedOn w:val="Bekezdsalapbettpusa"/>
    <w:link w:val="Cmsor4"/>
    <w:semiHidden/>
    <w:rsid w:val="006325C2"/>
    <w:rPr>
      <w:b/>
      <w:bCs/>
      <w:sz w:val="26"/>
      <w:szCs w:val="24"/>
      <w:u w:val="single"/>
      <w:lang w:val="x-none" w:eastAsia="hu-HU"/>
    </w:rPr>
  </w:style>
  <w:style w:type="paragraph" w:customStyle="1" w:styleId="msonormal0">
    <w:name w:val="msonormal"/>
    <w:basedOn w:val="Norml"/>
    <w:rsid w:val="006325C2"/>
    <w:pPr>
      <w:spacing w:before="100" w:beforeAutospacing="1" w:after="100" w:afterAutospacing="1"/>
    </w:pPr>
    <w:rPr>
      <w:lang w:eastAsia="hu-HU"/>
    </w:rPr>
  </w:style>
  <w:style w:type="paragraph" w:styleId="Lbjegyzetszveg">
    <w:name w:val="footnote text"/>
    <w:basedOn w:val="Norml"/>
    <w:link w:val="LbjegyzetszvegChar"/>
    <w:uiPriority w:val="99"/>
    <w:semiHidden/>
    <w:unhideWhenUsed/>
    <w:rsid w:val="006325C2"/>
    <w:pPr>
      <w:overflowPunct w:val="0"/>
      <w:autoSpaceDE w:val="0"/>
      <w:autoSpaceDN w:val="0"/>
      <w:adjustRightInd w:val="0"/>
    </w:pPr>
    <w:rPr>
      <w:sz w:val="20"/>
      <w:szCs w:val="20"/>
      <w:lang w:val="x-none" w:eastAsia="x-none"/>
    </w:rPr>
  </w:style>
  <w:style w:type="character" w:customStyle="1" w:styleId="LbjegyzetszvegChar">
    <w:name w:val="Lábjegyzetszöveg Char"/>
    <w:basedOn w:val="Bekezdsalapbettpusa"/>
    <w:link w:val="Lbjegyzetszveg"/>
    <w:uiPriority w:val="99"/>
    <w:semiHidden/>
    <w:rsid w:val="006325C2"/>
    <w:rPr>
      <w:lang w:val="x-none" w:eastAsia="x-none"/>
    </w:rPr>
  </w:style>
  <w:style w:type="paragraph" w:styleId="Jegyzetszveg">
    <w:name w:val="annotation text"/>
    <w:basedOn w:val="Norml"/>
    <w:link w:val="JegyzetszvegChar"/>
    <w:uiPriority w:val="99"/>
    <w:semiHidden/>
    <w:unhideWhenUsed/>
    <w:rsid w:val="006325C2"/>
    <w:pPr>
      <w:overflowPunct w:val="0"/>
      <w:autoSpaceDE w:val="0"/>
      <w:autoSpaceDN w:val="0"/>
      <w:adjustRightInd w:val="0"/>
    </w:pPr>
    <w:rPr>
      <w:sz w:val="20"/>
      <w:szCs w:val="20"/>
      <w:lang w:val="x-none" w:eastAsia="x-none"/>
    </w:rPr>
  </w:style>
  <w:style w:type="character" w:customStyle="1" w:styleId="JegyzetszvegChar">
    <w:name w:val="Jegyzetszöveg Char"/>
    <w:basedOn w:val="Bekezdsalapbettpusa"/>
    <w:link w:val="Jegyzetszveg"/>
    <w:uiPriority w:val="99"/>
    <w:semiHidden/>
    <w:rsid w:val="006325C2"/>
    <w:rPr>
      <w:lang w:val="x-none" w:eastAsia="x-none"/>
    </w:rPr>
  </w:style>
  <w:style w:type="paragraph" w:styleId="lfej">
    <w:name w:val="header"/>
    <w:basedOn w:val="Norml"/>
    <w:link w:val="lfejChar"/>
    <w:unhideWhenUsed/>
    <w:rsid w:val="006325C2"/>
    <w:pPr>
      <w:tabs>
        <w:tab w:val="center" w:pos="4536"/>
        <w:tab w:val="right" w:pos="9072"/>
      </w:tabs>
      <w:overflowPunct w:val="0"/>
      <w:autoSpaceDE w:val="0"/>
      <w:autoSpaceDN w:val="0"/>
      <w:adjustRightInd w:val="0"/>
    </w:pPr>
    <w:rPr>
      <w:sz w:val="28"/>
      <w:szCs w:val="20"/>
      <w:lang w:val="x-none" w:eastAsia="hu-HU"/>
    </w:rPr>
  </w:style>
  <w:style w:type="character" w:customStyle="1" w:styleId="lfejChar">
    <w:name w:val="Élőfej Char"/>
    <w:basedOn w:val="Bekezdsalapbettpusa"/>
    <w:link w:val="lfej"/>
    <w:rsid w:val="006325C2"/>
    <w:rPr>
      <w:sz w:val="28"/>
      <w:lang w:val="x-none" w:eastAsia="hu-HU"/>
    </w:rPr>
  </w:style>
  <w:style w:type="paragraph" w:styleId="llb">
    <w:name w:val="footer"/>
    <w:basedOn w:val="Norml"/>
    <w:link w:val="llbChar"/>
    <w:uiPriority w:val="99"/>
    <w:unhideWhenUsed/>
    <w:rsid w:val="006325C2"/>
    <w:pPr>
      <w:tabs>
        <w:tab w:val="center" w:pos="4536"/>
        <w:tab w:val="right" w:pos="9072"/>
      </w:tabs>
      <w:overflowPunct w:val="0"/>
      <w:autoSpaceDE w:val="0"/>
      <w:autoSpaceDN w:val="0"/>
      <w:adjustRightInd w:val="0"/>
    </w:pPr>
    <w:rPr>
      <w:sz w:val="28"/>
      <w:szCs w:val="20"/>
      <w:lang w:val="x-none" w:eastAsia="x-none"/>
    </w:rPr>
  </w:style>
  <w:style w:type="character" w:customStyle="1" w:styleId="llbChar">
    <w:name w:val="Élőláb Char"/>
    <w:basedOn w:val="Bekezdsalapbettpusa"/>
    <w:link w:val="llb"/>
    <w:uiPriority w:val="99"/>
    <w:rsid w:val="006325C2"/>
    <w:rPr>
      <w:sz w:val="28"/>
      <w:lang w:val="x-none" w:eastAsia="x-none"/>
    </w:rPr>
  </w:style>
  <w:style w:type="paragraph" w:styleId="Megjegyzstrgya">
    <w:name w:val="annotation subject"/>
    <w:basedOn w:val="Jegyzetszveg"/>
    <w:next w:val="Jegyzetszveg"/>
    <w:link w:val="MegjegyzstrgyaChar"/>
    <w:uiPriority w:val="99"/>
    <w:semiHidden/>
    <w:unhideWhenUsed/>
    <w:rsid w:val="006325C2"/>
    <w:rPr>
      <w:b/>
      <w:bCs/>
    </w:rPr>
  </w:style>
  <w:style w:type="character" w:customStyle="1" w:styleId="MegjegyzstrgyaChar">
    <w:name w:val="Megjegyzés tárgya Char"/>
    <w:basedOn w:val="JegyzetszvegChar"/>
    <w:link w:val="Megjegyzstrgya"/>
    <w:uiPriority w:val="99"/>
    <w:semiHidden/>
    <w:rsid w:val="006325C2"/>
    <w:rPr>
      <w:b/>
      <w:bCs/>
      <w:lang w:val="x-none" w:eastAsia="x-none"/>
    </w:rPr>
  </w:style>
  <w:style w:type="paragraph" w:styleId="Buborkszveg">
    <w:name w:val="Balloon Text"/>
    <w:basedOn w:val="Norml"/>
    <w:link w:val="BuborkszvegChar"/>
    <w:uiPriority w:val="99"/>
    <w:semiHidden/>
    <w:unhideWhenUsed/>
    <w:rsid w:val="006325C2"/>
    <w:pPr>
      <w:overflowPunct w:val="0"/>
      <w:autoSpaceDE w:val="0"/>
      <w:autoSpaceDN w:val="0"/>
      <w:adjustRightInd w:val="0"/>
    </w:pPr>
    <w:rPr>
      <w:rFonts w:ascii="Segoe UI" w:hAnsi="Segoe UI"/>
      <w:sz w:val="18"/>
      <w:szCs w:val="18"/>
      <w:lang w:val="x-none" w:eastAsia="x-none"/>
    </w:rPr>
  </w:style>
  <w:style w:type="character" w:customStyle="1" w:styleId="BuborkszvegChar">
    <w:name w:val="Buborékszöveg Char"/>
    <w:basedOn w:val="Bekezdsalapbettpusa"/>
    <w:link w:val="Buborkszveg"/>
    <w:uiPriority w:val="99"/>
    <w:semiHidden/>
    <w:rsid w:val="006325C2"/>
    <w:rPr>
      <w:rFonts w:ascii="Segoe UI" w:hAnsi="Segoe UI"/>
      <w:sz w:val="18"/>
      <w:szCs w:val="18"/>
      <w:lang w:val="x-none" w:eastAsia="x-none"/>
    </w:rPr>
  </w:style>
  <w:style w:type="character" w:styleId="Lbjegyzet-hivatkozs">
    <w:name w:val="footnote reference"/>
    <w:uiPriority w:val="99"/>
    <w:semiHidden/>
    <w:unhideWhenUsed/>
    <w:rsid w:val="006325C2"/>
    <w:rPr>
      <w:vertAlign w:val="superscript"/>
    </w:rPr>
  </w:style>
  <w:style w:type="character" w:styleId="Jegyzethivatkozs">
    <w:name w:val="annotation reference"/>
    <w:uiPriority w:val="99"/>
    <w:semiHidden/>
    <w:unhideWhenUsed/>
    <w:rsid w:val="006325C2"/>
    <w:rPr>
      <w:sz w:val="16"/>
      <w:szCs w:val="16"/>
    </w:rPr>
  </w:style>
  <w:style w:type="table" w:styleId="Rcsostblzat">
    <w:name w:val="Table Grid"/>
    <w:basedOn w:val="Normltblzat"/>
    <w:uiPriority w:val="59"/>
    <w:rsid w:val="006325C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6325C2"/>
    <w:rPr>
      <w:b/>
      <w:bCs/>
    </w:rPr>
  </w:style>
  <w:style w:type="paragraph" w:styleId="Vltozat">
    <w:name w:val="Revision"/>
    <w:hidden/>
    <w:uiPriority w:val="99"/>
    <w:semiHidden/>
    <w:rsid w:val="00675C4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1939">
      <w:bodyDiv w:val="1"/>
      <w:marLeft w:val="0"/>
      <w:marRight w:val="0"/>
      <w:marTop w:val="0"/>
      <w:marBottom w:val="0"/>
      <w:divBdr>
        <w:top w:val="none" w:sz="0" w:space="0" w:color="auto"/>
        <w:left w:val="none" w:sz="0" w:space="0" w:color="auto"/>
        <w:bottom w:val="none" w:sz="0" w:space="0" w:color="auto"/>
        <w:right w:val="none" w:sz="0" w:space="0" w:color="auto"/>
      </w:divBdr>
    </w:div>
    <w:div w:id="145973053">
      <w:bodyDiv w:val="1"/>
      <w:marLeft w:val="0"/>
      <w:marRight w:val="0"/>
      <w:marTop w:val="0"/>
      <w:marBottom w:val="0"/>
      <w:divBdr>
        <w:top w:val="none" w:sz="0" w:space="0" w:color="auto"/>
        <w:left w:val="none" w:sz="0" w:space="0" w:color="auto"/>
        <w:bottom w:val="none" w:sz="0" w:space="0" w:color="auto"/>
        <w:right w:val="none" w:sz="0" w:space="0" w:color="auto"/>
      </w:divBdr>
    </w:div>
    <w:div w:id="148059033">
      <w:bodyDiv w:val="1"/>
      <w:marLeft w:val="0"/>
      <w:marRight w:val="0"/>
      <w:marTop w:val="0"/>
      <w:marBottom w:val="0"/>
      <w:divBdr>
        <w:top w:val="none" w:sz="0" w:space="0" w:color="auto"/>
        <w:left w:val="none" w:sz="0" w:space="0" w:color="auto"/>
        <w:bottom w:val="none" w:sz="0" w:space="0" w:color="auto"/>
        <w:right w:val="none" w:sz="0" w:space="0" w:color="auto"/>
      </w:divBdr>
    </w:div>
    <w:div w:id="263154413">
      <w:bodyDiv w:val="1"/>
      <w:marLeft w:val="0"/>
      <w:marRight w:val="0"/>
      <w:marTop w:val="0"/>
      <w:marBottom w:val="0"/>
      <w:divBdr>
        <w:top w:val="none" w:sz="0" w:space="0" w:color="auto"/>
        <w:left w:val="none" w:sz="0" w:space="0" w:color="auto"/>
        <w:bottom w:val="none" w:sz="0" w:space="0" w:color="auto"/>
        <w:right w:val="none" w:sz="0" w:space="0" w:color="auto"/>
      </w:divBdr>
    </w:div>
    <w:div w:id="410196745">
      <w:bodyDiv w:val="1"/>
      <w:marLeft w:val="0"/>
      <w:marRight w:val="0"/>
      <w:marTop w:val="0"/>
      <w:marBottom w:val="0"/>
      <w:divBdr>
        <w:top w:val="none" w:sz="0" w:space="0" w:color="auto"/>
        <w:left w:val="none" w:sz="0" w:space="0" w:color="auto"/>
        <w:bottom w:val="none" w:sz="0" w:space="0" w:color="auto"/>
        <w:right w:val="none" w:sz="0" w:space="0" w:color="auto"/>
      </w:divBdr>
    </w:div>
    <w:div w:id="432824633">
      <w:bodyDiv w:val="1"/>
      <w:marLeft w:val="0"/>
      <w:marRight w:val="0"/>
      <w:marTop w:val="0"/>
      <w:marBottom w:val="0"/>
      <w:divBdr>
        <w:top w:val="none" w:sz="0" w:space="0" w:color="auto"/>
        <w:left w:val="none" w:sz="0" w:space="0" w:color="auto"/>
        <w:bottom w:val="none" w:sz="0" w:space="0" w:color="auto"/>
        <w:right w:val="none" w:sz="0" w:space="0" w:color="auto"/>
      </w:divBdr>
    </w:div>
    <w:div w:id="447941146">
      <w:bodyDiv w:val="1"/>
      <w:marLeft w:val="0"/>
      <w:marRight w:val="0"/>
      <w:marTop w:val="0"/>
      <w:marBottom w:val="0"/>
      <w:divBdr>
        <w:top w:val="none" w:sz="0" w:space="0" w:color="auto"/>
        <w:left w:val="none" w:sz="0" w:space="0" w:color="auto"/>
        <w:bottom w:val="none" w:sz="0" w:space="0" w:color="auto"/>
        <w:right w:val="none" w:sz="0" w:space="0" w:color="auto"/>
      </w:divBdr>
    </w:div>
    <w:div w:id="615914260">
      <w:bodyDiv w:val="1"/>
      <w:marLeft w:val="0"/>
      <w:marRight w:val="0"/>
      <w:marTop w:val="0"/>
      <w:marBottom w:val="0"/>
      <w:divBdr>
        <w:top w:val="none" w:sz="0" w:space="0" w:color="auto"/>
        <w:left w:val="none" w:sz="0" w:space="0" w:color="auto"/>
        <w:bottom w:val="none" w:sz="0" w:space="0" w:color="auto"/>
        <w:right w:val="none" w:sz="0" w:space="0" w:color="auto"/>
      </w:divBdr>
    </w:div>
    <w:div w:id="650250564">
      <w:bodyDiv w:val="1"/>
      <w:marLeft w:val="0"/>
      <w:marRight w:val="0"/>
      <w:marTop w:val="0"/>
      <w:marBottom w:val="0"/>
      <w:divBdr>
        <w:top w:val="none" w:sz="0" w:space="0" w:color="auto"/>
        <w:left w:val="none" w:sz="0" w:space="0" w:color="auto"/>
        <w:bottom w:val="none" w:sz="0" w:space="0" w:color="auto"/>
        <w:right w:val="none" w:sz="0" w:space="0" w:color="auto"/>
      </w:divBdr>
    </w:div>
    <w:div w:id="663510234">
      <w:bodyDiv w:val="1"/>
      <w:marLeft w:val="0"/>
      <w:marRight w:val="0"/>
      <w:marTop w:val="0"/>
      <w:marBottom w:val="0"/>
      <w:divBdr>
        <w:top w:val="none" w:sz="0" w:space="0" w:color="auto"/>
        <w:left w:val="none" w:sz="0" w:space="0" w:color="auto"/>
        <w:bottom w:val="none" w:sz="0" w:space="0" w:color="auto"/>
        <w:right w:val="none" w:sz="0" w:space="0" w:color="auto"/>
      </w:divBdr>
    </w:div>
    <w:div w:id="889614212">
      <w:bodyDiv w:val="1"/>
      <w:marLeft w:val="0"/>
      <w:marRight w:val="0"/>
      <w:marTop w:val="0"/>
      <w:marBottom w:val="0"/>
      <w:divBdr>
        <w:top w:val="none" w:sz="0" w:space="0" w:color="auto"/>
        <w:left w:val="none" w:sz="0" w:space="0" w:color="auto"/>
        <w:bottom w:val="none" w:sz="0" w:space="0" w:color="auto"/>
        <w:right w:val="none" w:sz="0" w:space="0" w:color="auto"/>
      </w:divBdr>
    </w:div>
    <w:div w:id="927347182">
      <w:bodyDiv w:val="1"/>
      <w:marLeft w:val="0"/>
      <w:marRight w:val="0"/>
      <w:marTop w:val="0"/>
      <w:marBottom w:val="0"/>
      <w:divBdr>
        <w:top w:val="none" w:sz="0" w:space="0" w:color="auto"/>
        <w:left w:val="none" w:sz="0" w:space="0" w:color="auto"/>
        <w:bottom w:val="none" w:sz="0" w:space="0" w:color="auto"/>
        <w:right w:val="none" w:sz="0" w:space="0" w:color="auto"/>
      </w:divBdr>
    </w:div>
    <w:div w:id="1378893083">
      <w:bodyDiv w:val="1"/>
      <w:marLeft w:val="0"/>
      <w:marRight w:val="0"/>
      <w:marTop w:val="0"/>
      <w:marBottom w:val="0"/>
      <w:divBdr>
        <w:top w:val="none" w:sz="0" w:space="0" w:color="auto"/>
        <w:left w:val="none" w:sz="0" w:space="0" w:color="auto"/>
        <w:bottom w:val="none" w:sz="0" w:space="0" w:color="auto"/>
        <w:right w:val="none" w:sz="0" w:space="0" w:color="auto"/>
      </w:divBdr>
    </w:div>
    <w:div w:id="1409420789">
      <w:bodyDiv w:val="1"/>
      <w:marLeft w:val="0"/>
      <w:marRight w:val="0"/>
      <w:marTop w:val="0"/>
      <w:marBottom w:val="0"/>
      <w:divBdr>
        <w:top w:val="none" w:sz="0" w:space="0" w:color="auto"/>
        <w:left w:val="none" w:sz="0" w:space="0" w:color="auto"/>
        <w:bottom w:val="none" w:sz="0" w:space="0" w:color="auto"/>
        <w:right w:val="none" w:sz="0" w:space="0" w:color="auto"/>
      </w:divBdr>
    </w:div>
    <w:div w:id="1420635179">
      <w:bodyDiv w:val="1"/>
      <w:marLeft w:val="0"/>
      <w:marRight w:val="0"/>
      <w:marTop w:val="0"/>
      <w:marBottom w:val="0"/>
      <w:divBdr>
        <w:top w:val="none" w:sz="0" w:space="0" w:color="auto"/>
        <w:left w:val="none" w:sz="0" w:space="0" w:color="auto"/>
        <w:bottom w:val="none" w:sz="0" w:space="0" w:color="auto"/>
        <w:right w:val="none" w:sz="0" w:space="0" w:color="auto"/>
      </w:divBdr>
    </w:div>
    <w:div w:id="1462765807">
      <w:bodyDiv w:val="1"/>
      <w:marLeft w:val="0"/>
      <w:marRight w:val="0"/>
      <w:marTop w:val="0"/>
      <w:marBottom w:val="0"/>
      <w:divBdr>
        <w:top w:val="none" w:sz="0" w:space="0" w:color="auto"/>
        <w:left w:val="none" w:sz="0" w:space="0" w:color="auto"/>
        <w:bottom w:val="none" w:sz="0" w:space="0" w:color="auto"/>
        <w:right w:val="none" w:sz="0" w:space="0" w:color="auto"/>
      </w:divBdr>
    </w:div>
    <w:div w:id="1611939143">
      <w:bodyDiv w:val="1"/>
      <w:marLeft w:val="0"/>
      <w:marRight w:val="0"/>
      <w:marTop w:val="0"/>
      <w:marBottom w:val="0"/>
      <w:divBdr>
        <w:top w:val="none" w:sz="0" w:space="0" w:color="auto"/>
        <w:left w:val="none" w:sz="0" w:space="0" w:color="auto"/>
        <w:bottom w:val="none" w:sz="0" w:space="0" w:color="auto"/>
        <w:right w:val="none" w:sz="0" w:space="0" w:color="auto"/>
      </w:divBdr>
    </w:div>
    <w:div w:id="1635519165">
      <w:bodyDiv w:val="1"/>
      <w:marLeft w:val="0"/>
      <w:marRight w:val="0"/>
      <w:marTop w:val="0"/>
      <w:marBottom w:val="0"/>
      <w:divBdr>
        <w:top w:val="none" w:sz="0" w:space="0" w:color="auto"/>
        <w:left w:val="none" w:sz="0" w:space="0" w:color="auto"/>
        <w:bottom w:val="none" w:sz="0" w:space="0" w:color="auto"/>
        <w:right w:val="none" w:sz="0" w:space="0" w:color="auto"/>
      </w:divBdr>
    </w:div>
    <w:div w:id="1944456786">
      <w:bodyDiv w:val="1"/>
      <w:marLeft w:val="0"/>
      <w:marRight w:val="0"/>
      <w:marTop w:val="0"/>
      <w:marBottom w:val="0"/>
      <w:divBdr>
        <w:top w:val="none" w:sz="0" w:space="0" w:color="auto"/>
        <w:left w:val="none" w:sz="0" w:space="0" w:color="auto"/>
        <w:bottom w:val="none" w:sz="0" w:space="0" w:color="auto"/>
        <w:right w:val="none" w:sz="0" w:space="0" w:color="auto"/>
      </w:divBdr>
    </w:div>
    <w:div w:id="2003270085">
      <w:bodyDiv w:val="1"/>
      <w:marLeft w:val="0"/>
      <w:marRight w:val="0"/>
      <w:marTop w:val="0"/>
      <w:marBottom w:val="0"/>
      <w:divBdr>
        <w:top w:val="none" w:sz="0" w:space="0" w:color="auto"/>
        <w:left w:val="none" w:sz="0" w:space="0" w:color="auto"/>
        <w:bottom w:val="none" w:sz="0" w:space="0" w:color="auto"/>
        <w:right w:val="none" w:sz="0" w:space="0" w:color="auto"/>
      </w:divBdr>
    </w:div>
    <w:div w:id="20627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6998-AA41-40D6-8A24-C2EF2A58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21</Pages>
  <Words>7241</Words>
  <Characters>49965</Characters>
  <Application>Microsoft Office Word</Application>
  <DocSecurity>0</DocSecurity>
  <Lines>416</Lines>
  <Paragraphs>114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titkárság</dc:creator>
  <cp:keywords/>
  <dc:description/>
  <cp:lastModifiedBy>Aljegyző</cp:lastModifiedBy>
  <cp:revision>207</cp:revision>
  <dcterms:created xsi:type="dcterms:W3CDTF">2024-02-05T19:13:00Z</dcterms:created>
  <dcterms:modified xsi:type="dcterms:W3CDTF">2025-02-07T15:48:00Z</dcterms:modified>
</cp:coreProperties>
</file>