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633" w:rsidRPr="00A477CE" w:rsidRDefault="00F36633" w:rsidP="00F36633">
      <w:pPr>
        <w:suppressAutoHyphens/>
        <w:spacing w:after="0" w:line="240" w:lineRule="auto"/>
        <w:ind w:left="644"/>
        <w:contextualSpacing/>
        <w:jc w:val="right"/>
        <w:rPr>
          <w:rFonts w:ascii="Arial" w:hAnsi="Arial" w:cs="Arial"/>
          <w:b/>
          <w:sz w:val="24"/>
          <w:szCs w:val="24"/>
        </w:rPr>
      </w:pPr>
      <w:r w:rsidRPr="00A477CE">
        <w:rPr>
          <w:rFonts w:ascii="Arial" w:hAnsi="Arial" w:cs="Arial"/>
          <w:b/>
          <w:sz w:val="24"/>
          <w:szCs w:val="24"/>
        </w:rPr>
        <w:t>2</w:t>
      </w:r>
      <w:proofErr w:type="gramStart"/>
      <w:r w:rsidRPr="00A477CE">
        <w:rPr>
          <w:rFonts w:ascii="Arial" w:hAnsi="Arial" w:cs="Arial"/>
          <w:b/>
          <w:sz w:val="24"/>
          <w:szCs w:val="24"/>
        </w:rPr>
        <w:t>.sz.</w:t>
      </w:r>
      <w:proofErr w:type="gramEnd"/>
      <w:r w:rsidRPr="00A477CE">
        <w:rPr>
          <w:rFonts w:ascii="Arial" w:hAnsi="Arial" w:cs="Arial"/>
          <w:b/>
          <w:sz w:val="24"/>
          <w:szCs w:val="24"/>
        </w:rPr>
        <w:t xml:space="preserve"> melléklet</w:t>
      </w:r>
    </w:p>
    <w:p w:rsidR="00F36633" w:rsidRPr="00A477CE" w:rsidRDefault="00F36633" w:rsidP="00F36633">
      <w:pPr>
        <w:suppressAutoHyphens/>
        <w:spacing w:after="0" w:line="240" w:lineRule="auto"/>
        <w:ind w:left="644"/>
        <w:contextualSpacing/>
        <w:jc w:val="both"/>
        <w:rPr>
          <w:rFonts w:ascii="Arial" w:hAnsi="Arial" w:cs="Arial"/>
          <w:sz w:val="24"/>
          <w:szCs w:val="24"/>
        </w:rPr>
      </w:pPr>
    </w:p>
    <w:p w:rsidR="00F36633" w:rsidRPr="00911F90" w:rsidRDefault="00F36633" w:rsidP="00F36633">
      <w:pPr>
        <w:pStyle w:val="Style2"/>
        <w:spacing w:before="0"/>
        <w:jc w:val="center"/>
        <w:rPr>
          <w:rStyle w:val="CharacterStyle1"/>
          <w:bCs/>
          <w:iCs/>
          <w:u w:val="single"/>
        </w:rPr>
      </w:pPr>
      <w:r w:rsidRPr="00911F90">
        <w:rPr>
          <w:rStyle w:val="CharacterStyle1"/>
          <w:bCs/>
          <w:iCs/>
          <w:u w:val="single"/>
        </w:rPr>
        <w:t xml:space="preserve">Bátaszék város közigazgatási területén végzendő </w:t>
      </w:r>
    </w:p>
    <w:p w:rsidR="00F36633" w:rsidRPr="00911F90" w:rsidRDefault="00F36633" w:rsidP="00F36633">
      <w:pPr>
        <w:pStyle w:val="Style2"/>
        <w:spacing w:before="0"/>
        <w:jc w:val="center"/>
        <w:rPr>
          <w:rStyle w:val="CharacterStyle1"/>
          <w:bCs/>
          <w:iCs/>
          <w:u w:val="single"/>
        </w:rPr>
      </w:pPr>
      <w:proofErr w:type="gramStart"/>
      <w:r w:rsidRPr="00911F90">
        <w:rPr>
          <w:u w:val="single"/>
        </w:rPr>
        <w:t>karbantartási</w:t>
      </w:r>
      <w:proofErr w:type="gramEnd"/>
      <w:r w:rsidRPr="00911F90">
        <w:rPr>
          <w:u w:val="single"/>
        </w:rPr>
        <w:t xml:space="preserve">, beruházási és felújítási </w:t>
      </w:r>
      <w:r w:rsidRPr="00911F90">
        <w:rPr>
          <w:rStyle w:val="CharacterStyle1"/>
          <w:bCs/>
          <w:iCs/>
          <w:u w:val="single"/>
        </w:rPr>
        <w:t xml:space="preserve">munkák </w:t>
      </w:r>
    </w:p>
    <w:p w:rsidR="00F36633" w:rsidRPr="00911F90" w:rsidRDefault="00F36633" w:rsidP="00F36633">
      <w:pPr>
        <w:pStyle w:val="Style2"/>
        <w:spacing w:before="0"/>
        <w:jc w:val="center"/>
        <w:rPr>
          <w:rStyle w:val="CharacterStyle1"/>
          <w:bCs/>
          <w:iCs/>
          <w:u w:val="single"/>
        </w:rPr>
      </w:pPr>
      <w:proofErr w:type="gramStart"/>
      <w:r w:rsidRPr="00911F90">
        <w:rPr>
          <w:rStyle w:val="CharacterStyle1"/>
          <w:bCs/>
          <w:iCs/>
          <w:u w:val="single"/>
        </w:rPr>
        <w:t>vállalkozási</w:t>
      </w:r>
      <w:proofErr w:type="gramEnd"/>
      <w:r w:rsidRPr="00911F90">
        <w:rPr>
          <w:rStyle w:val="CharacterStyle1"/>
          <w:bCs/>
          <w:iCs/>
          <w:u w:val="single"/>
        </w:rPr>
        <w:t xml:space="preserve"> keretszerződéséhez</w:t>
      </w:r>
    </w:p>
    <w:p w:rsidR="00F36633" w:rsidRDefault="00F36633" w:rsidP="00F36633">
      <w:pPr>
        <w:pStyle w:val="Style2"/>
        <w:spacing w:before="0"/>
        <w:jc w:val="center"/>
        <w:rPr>
          <w:rStyle w:val="CharacterStyle1"/>
          <w:bCs/>
          <w:iCs/>
        </w:rPr>
      </w:pPr>
    </w:p>
    <w:p w:rsidR="00F36633" w:rsidRDefault="00F36633" w:rsidP="00F36633">
      <w:pPr>
        <w:pStyle w:val="Style2"/>
        <w:spacing w:before="0"/>
        <w:jc w:val="center"/>
        <w:rPr>
          <w:rStyle w:val="CharacterStyle1"/>
          <w:bCs/>
          <w:iCs/>
        </w:rPr>
      </w:pPr>
    </w:p>
    <w:p w:rsidR="00F36633" w:rsidRDefault="00F36633" w:rsidP="00F36633">
      <w:pPr>
        <w:pStyle w:val="Style2"/>
        <w:spacing w:before="0"/>
        <w:jc w:val="center"/>
        <w:rPr>
          <w:rStyle w:val="CharacterStyle1"/>
          <w:bCs/>
          <w:iCs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432"/>
        <w:gridCol w:w="4056"/>
        <w:gridCol w:w="1566"/>
      </w:tblGrid>
      <w:tr w:rsidR="007F7BFD" w:rsidTr="001828CB">
        <w:tc>
          <w:tcPr>
            <w:tcW w:w="1432" w:type="dxa"/>
          </w:tcPr>
          <w:p w:rsidR="007F7BFD" w:rsidRPr="007F719C" w:rsidRDefault="007F7BFD" w:rsidP="006C202F">
            <w:pPr>
              <w:pStyle w:val="Style2"/>
              <w:spacing w:before="0"/>
              <w:jc w:val="center"/>
              <w:rPr>
                <w:rStyle w:val="CharacterStyle1"/>
                <w:b/>
                <w:bCs/>
                <w:iCs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Költségvetési hely</w:t>
            </w:r>
          </w:p>
        </w:tc>
        <w:tc>
          <w:tcPr>
            <w:tcW w:w="4056" w:type="dxa"/>
          </w:tcPr>
          <w:p w:rsidR="007F7BFD" w:rsidRPr="007F719C" w:rsidRDefault="007F7BFD" w:rsidP="006C202F">
            <w:pPr>
              <w:pStyle w:val="Style2"/>
              <w:spacing w:before="0"/>
              <w:jc w:val="center"/>
              <w:rPr>
                <w:rStyle w:val="CharacterStyle1"/>
                <w:b/>
                <w:bCs/>
                <w:iCs/>
              </w:rPr>
            </w:pPr>
            <w:r w:rsidRPr="007F719C">
              <w:rPr>
                <w:rStyle w:val="CharacterStyle1"/>
                <w:b/>
                <w:bCs/>
                <w:iCs/>
              </w:rPr>
              <w:t>Munka megnevezése</w:t>
            </w:r>
          </w:p>
        </w:tc>
        <w:tc>
          <w:tcPr>
            <w:tcW w:w="1566" w:type="dxa"/>
          </w:tcPr>
          <w:p w:rsidR="007F7BFD" w:rsidRDefault="007F7BFD" w:rsidP="006C202F">
            <w:pPr>
              <w:pStyle w:val="Style2"/>
              <w:spacing w:before="0"/>
              <w:jc w:val="center"/>
              <w:rPr>
                <w:rStyle w:val="CharacterStyle1"/>
                <w:b/>
                <w:bCs/>
                <w:iCs/>
              </w:rPr>
            </w:pPr>
            <w:r>
              <w:rPr>
                <w:rStyle w:val="CharacterStyle1"/>
                <w:b/>
                <w:bCs/>
                <w:iCs/>
              </w:rPr>
              <w:t>Keret</w:t>
            </w:r>
            <w:r w:rsidRPr="007F719C">
              <w:rPr>
                <w:rStyle w:val="CharacterStyle1"/>
                <w:b/>
                <w:bCs/>
                <w:iCs/>
              </w:rPr>
              <w:t>összeg (</w:t>
            </w:r>
            <w:proofErr w:type="spellStart"/>
            <w:r w:rsidRPr="007F719C">
              <w:rPr>
                <w:rStyle w:val="CharacterStyle1"/>
                <w:b/>
                <w:bCs/>
                <w:iCs/>
              </w:rPr>
              <w:t>br</w:t>
            </w:r>
            <w:proofErr w:type="spellEnd"/>
            <w:r w:rsidRPr="007F719C">
              <w:rPr>
                <w:rStyle w:val="CharacterStyle1"/>
                <w:b/>
                <w:bCs/>
                <w:iCs/>
              </w:rPr>
              <w:t xml:space="preserve">. </w:t>
            </w:r>
            <w:proofErr w:type="spellStart"/>
            <w:r w:rsidRPr="007F719C">
              <w:rPr>
                <w:rStyle w:val="CharacterStyle1"/>
                <w:b/>
                <w:bCs/>
                <w:iCs/>
              </w:rPr>
              <w:t>eFt</w:t>
            </w:r>
            <w:proofErr w:type="spellEnd"/>
            <w:r w:rsidRPr="007F719C">
              <w:rPr>
                <w:rStyle w:val="CharacterStyle1"/>
                <w:b/>
                <w:bCs/>
                <w:iCs/>
              </w:rPr>
              <w:t>)</w:t>
            </w:r>
          </w:p>
          <w:p w:rsidR="007F7BFD" w:rsidRPr="007F719C" w:rsidRDefault="007F7BFD" w:rsidP="006C202F">
            <w:pPr>
              <w:pStyle w:val="Style2"/>
              <w:spacing w:before="0"/>
              <w:jc w:val="center"/>
              <w:rPr>
                <w:rStyle w:val="CharacterStyle1"/>
                <w:b/>
                <w:bCs/>
                <w:iCs/>
              </w:rPr>
            </w:pPr>
            <w:r>
              <w:rPr>
                <w:rStyle w:val="CharacterStyle1"/>
                <w:b/>
                <w:bCs/>
                <w:iCs/>
              </w:rPr>
              <w:t>2025. év</w:t>
            </w:r>
          </w:p>
        </w:tc>
      </w:tr>
      <w:tr w:rsidR="007F7BFD" w:rsidTr="001828CB">
        <w:tc>
          <w:tcPr>
            <w:tcW w:w="1432" w:type="dxa"/>
            <w:shd w:val="clear" w:color="auto" w:fill="EAF1DD" w:themeFill="accent3" w:themeFillTint="33"/>
          </w:tcPr>
          <w:p w:rsidR="007F7BFD" w:rsidRDefault="001828CB" w:rsidP="0006797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Felújítás</w:t>
            </w:r>
          </w:p>
        </w:tc>
        <w:tc>
          <w:tcPr>
            <w:tcW w:w="4056" w:type="dxa"/>
            <w:shd w:val="clear" w:color="auto" w:fill="EAF1DD" w:themeFill="accent3" w:themeFillTint="33"/>
          </w:tcPr>
          <w:p w:rsidR="007F7BFD" w:rsidRDefault="007F7BFD" w:rsidP="00067972">
            <w:pPr>
              <w:rPr>
                <w:rStyle w:val="CharacterStyle1"/>
                <w:bCs/>
                <w:iCs/>
              </w:rPr>
            </w:pPr>
            <w:r w:rsidRPr="007F7BFD">
              <w:rPr>
                <w:rFonts w:ascii="Arial" w:hAnsi="Arial" w:cs="Arial"/>
                <w:color w:val="000000"/>
              </w:rPr>
              <w:t>Hunyadi utca 2/</w:t>
            </w:r>
            <w:proofErr w:type="gramStart"/>
            <w:r w:rsidRPr="007F7BFD">
              <w:rPr>
                <w:rFonts w:ascii="Arial" w:hAnsi="Arial" w:cs="Arial"/>
                <w:color w:val="000000"/>
              </w:rPr>
              <w:t>A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, </w:t>
            </w:r>
            <w:r w:rsidRPr="007F7BFD">
              <w:rPr>
                <w:rFonts w:ascii="Arial" w:hAnsi="Arial" w:cs="Arial"/>
                <w:color w:val="000000"/>
              </w:rPr>
              <w:t>-</w:t>
            </w:r>
            <w:r w:rsidRPr="007F7BFD">
              <w:rPr>
                <w:rFonts w:ascii="Arial" w:hAnsi="Arial" w:cs="Arial"/>
                <w:color w:val="000000"/>
              </w:rPr>
              <w:tab/>
              <w:t>melegpadló felújítása</w:t>
            </w:r>
          </w:p>
        </w:tc>
        <w:tc>
          <w:tcPr>
            <w:tcW w:w="1566" w:type="dxa"/>
          </w:tcPr>
          <w:p w:rsidR="007F7BFD" w:rsidRDefault="007F7BFD" w:rsidP="007F7BFD">
            <w:pPr>
              <w:pStyle w:val="Style2"/>
              <w:spacing w:before="0"/>
              <w:jc w:val="right"/>
              <w:rPr>
                <w:rStyle w:val="CharacterStyle1"/>
                <w:bCs/>
                <w:iCs/>
              </w:rPr>
            </w:pPr>
            <w:r>
              <w:rPr>
                <w:rStyle w:val="CharacterStyle1"/>
                <w:bCs/>
                <w:iCs/>
              </w:rPr>
              <w:t>390,-</w:t>
            </w:r>
          </w:p>
        </w:tc>
        <w:bookmarkStart w:id="0" w:name="_GoBack"/>
        <w:bookmarkEnd w:id="0"/>
      </w:tr>
      <w:tr w:rsidR="007F7BFD" w:rsidTr="001828CB">
        <w:tc>
          <w:tcPr>
            <w:tcW w:w="1432" w:type="dxa"/>
            <w:shd w:val="clear" w:color="auto" w:fill="EAF1DD" w:themeFill="accent3" w:themeFillTint="33"/>
          </w:tcPr>
          <w:p w:rsidR="007F7BFD" w:rsidRPr="00FD581E" w:rsidRDefault="001828CB" w:rsidP="006C202F">
            <w:pPr>
              <w:pStyle w:val="Style2"/>
              <w:spacing w:before="0"/>
              <w:jc w:val="left"/>
              <w:rPr>
                <w:rStyle w:val="CharacterStyle1"/>
                <w:bCs/>
                <w:iCs/>
              </w:rPr>
            </w:pPr>
            <w:r w:rsidRPr="001828CB">
              <w:rPr>
                <w:rStyle w:val="CharacterStyle1"/>
                <w:bCs/>
                <w:iCs/>
              </w:rPr>
              <w:t>Felújítás</w:t>
            </w:r>
          </w:p>
        </w:tc>
        <w:tc>
          <w:tcPr>
            <w:tcW w:w="4056" w:type="dxa"/>
            <w:shd w:val="clear" w:color="auto" w:fill="EAF1DD" w:themeFill="accent3" w:themeFillTint="33"/>
          </w:tcPr>
          <w:p w:rsidR="007F7BFD" w:rsidRDefault="007F7BFD" w:rsidP="006C202F">
            <w:pPr>
              <w:pStyle w:val="Style2"/>
              <w:spacing w:before="0"/>
              <w:jc w:val="left"/>
              <w:rPr>
                <w:rStyle w:val="CharacterStyle1"/>
                <w:bCs/>
                <w:iCs/>
              </w:rPr>
            </w:pPr>
            <w:r w:rsidRPr="007F7BFD">
              <w:rPr>
                <w:rStyle w:val="CharacterStyle1"/>
                <w:bCs/>
                <w:iCs/>
              </w:rPr>
              <w:t>Gárdonyi u.1</w:t>
            </w:r>
            <w:proofErr w:type="gramStart"/>
            <w:r w:rsidRPr="007F7BFD">
              <w:rPr>
                <w:rStyle w:val="CharacterStyle1"/>
                <w:bCs/>
                <w:iCs/>
              </w:rPr>
              <w:t>.</w:t>
            </w:r>
            <w:r>
              <w:rPr>
                <w:rStyle w:val="CharacterStyle1"/>
                <w:bCs/>
                <w:iCs/>
              </w:rPr>
              <w:t>,</w:t>
            </w:r>
            <w:proofErr w:type="gramEnd"/>
            <w:r>
              <w:rPr>
                <w:rStyle w:val="CharacterStyle1"/>
                <w:bCs/>
                <w:iCs/>
              </w:rPr>
              <w:t xml:space="preserve"> </w:t>
            </w:r>
            <w:r w:rsidRPr="007F7BFD">
              <w:rPr>
                <w:rStyle w:val="CharacterStyle1"/>
                <w:bCs/>
                <w:iCs/>
              </w:rPr>
              <w:t>-</w:t>
            </w:r>
            <w:r w:rsidRPr="007F7BFD">
              <w:rPr>
                <w:rStyle w:val="CharacterStyle1"/>
                <w:bCs/>
                <w:iCs/>
              </w:rPr>
              <w:tab/>
              <w:t>keleti homlokzat felújítása</w:t>
            </w:r>
          </w:p>
        </w:tc>
        <w:tc>
          <w:tcPr>
            <w:tcW w:w="1566" w:type="dxa"/>
          </w:tcPr>
          <w:p w:rsidR="007F7BFD" w:rsidRDefault="007F7BFD" w:rsidP="006C202F">
            <w:pPr>
              <w:pStyle w:val="Style2"/>
              <w:spacing w:before="0"/>
              <w:jc w:val="right"/>
              <w:rPr>
                <w:rStyle w:val="CharacterStyle1"/>
                <w:bCs/>
                <w:iCs/>
              </w:rPr>
            </w:pPr>
            <w:r>
              <w:rPr>
                <w:rStyle w:val="CharacterStyle1"/>
                <w:bCs/>
                <w:iCs/>
              </w:rPr>
              <w:t>700,-</w:t>
            </w:r>
          </w:p>
        </w:tc>
      </w:tr>
      <w:tr w:rsidR="007F7BFD" w:rsidTr="001828CB">
        <w:tc>
          <w:tcPr>
            <w:tcW w:w="1432" w:type="dxa"/>
            <w:shd w:val="clear" w:color="auto" w:fill="EAF1DD" w:themeFill="accent3" w:themeFillTint="33"/>
          </w:tcPr>
          <w:p w:rsidR="007F7BFD" w:rsidRDefault="001828CB" w:rsidP="006C202F">
            <w:pPr>
              <w:pStyle w:val="Style2"/>
              <w:spacing w:before="0"/>
              <w:jc w:val="left"/>
              <w:rPr>
                <w:rStyle w:val="CharacterStyle1"/>
                <w:bCs/>
                <w:iCs/>
              </w:rPr>
            </w:pPr>
            <w:r w:rsidRPr="001828CB">
              <w:rPr>
                <w:rStyle w:val="CharacterStyle1"/>
                <w:bCs/>
                <w:iCs/>
              </w:rPr>
              <w:t>Felújítás</w:t>
            </w:r>
          </w:p>
        </w:tc>
        <w:tc>
          <w:tcPr>
            <w:tcW w:w="4056" w:type="dxa"/>
            <w:shd w:val="clear" w:color="auto" w:fill="EAF1DD" w:themeFill="accent3" w:themeFillTint="33"/>
          </w:tcPr>
          <w:p w:rsidR="007F7BFD" w:rsidRDefault="001828CB" w:rsidP="006C202F">
            <w:pPr>
              <w:pStyle w:val="Style2"/>
              <w:spacing w:before="0"/>
              <w:jc w:val="left"/>
              <w:rPr>
                <w:rStyle w:val="CharacterStyle1"/>
                <w:bCs/>
                <w:iCs/>
              </w:rPr>
            </w:pPr>
            <w:r w:rsidRPr="001828CB">
              <w:rPr>
                <w:rStyle w:val="CharacterStyle1"/>
                <w:bCs/>
                <w:iCs/>
              </w:rPr>
              <w:t>Budai utca 56-58.</w:t>
            </w:r>
            <w:r>
              <w:rPr>
                <w:rStyle w:val="CharacterStyle1"/>
                <w:bCs/>
                <w:iCs/>
              </w:rPr>
              <w:t xml:space="preserve">, </w:t>
            </w:r>
            <w:r w:rsidRPr="001828CB">
              <w:rPr>
                <w:rStyle w:val="CharacterStyle1"/>
                <w:bCs/>
                <w:iCs/>
              </w:rPr>
              <w:t>-</w:t>
            </w:r>
            <w:r w:rsidRPr="001828CB">
              <w:rPr>
                <w:rStyle w:val="CharacterStyle1"/>
                <w:bCs/>
                <w:iCs/>
              </w:rPr>
              <w:tab/>
              <w:t>beléptető rendszer felújítása</w:t>
            </w:r>
          </w:p>
        </w:tc>
        <w:tc>
          <w:tcPr>
            <w:tcW w:w="1566" w:type="dxa"/>
          </w:tcPr>
          <w:p w:rsidR="007F7BFD" w:rsidRDefault="001828CB" w:rsidP="006C202F">
            <w:pPr>
              <w:pStyle w:val="Style2"/>
              <w:spacing w:before="0"/>
              <w:jc w:val="right"/>
              <w:rPr>
                <w:rStyle w:val="CharacterStyle1"/>
                <w:bCs/>
                <w:iCs/>
              </w:rPr>
            </w:pPr>
            <w:r>
              <w:rPr>
                <w:rStyle w:val="CharacterStyle1"/>
                <w:bCs/>
                <w:iCs/>
              </w:rPr>
              <w:t>4</w:t>
            </w:r>
            <w:r w:rsidR="007F7BFD">
              <w:rPr>
                <w:rStyle w:val="CharacterStyle1"/>
                <w:bCs/>
                <w:iCs/>
              </w:rPr>
              <w:t>00,-</w:t>
            </w:r>
          </w:p>
        </w:tc>
      </w:tr>
      <w:tr w:rsidR="007F7BFD" w:rsidTr="001828CB">
        <w:tc>
          <w:tcPr>
            <w:tcW w:w="1432" w:type="dxa"/>
            <w:shd w:val="clear" w:color="auto" w:fill="EAF1DD" w:themeFill="accent3" w:themeFillTint="33"/>
          </w:tcPr>
          <w:p w:rsidR="007F7BFD" w:rsidRDefault="001828CB" w:rsidP="006C202F">
            <w:pPr>
              <w:pStyle w:val="Style2"/>
              <w:spacing w:before="0"/>
              <w:jc w:val="left"/>
              <w:rPr>
                <w:rStyle w:val="CharacterStyle1"/>
                <w:bCs/>
                <w:iCs/>
              </w:rPr>
            </w:pPr>
            <w:r w:rsidRPr="001828CB">
              <w:rPr>
                <w:rStyle w:val="CharacterStyle1"/>
                <w:bCs/>
                <w:iCs/>
              </w:rPr>
              <w:t>Felújítás</w:t>
            </w:r>
          </w:p>
        </w:tc>
        <w:tc>
          <w:tcPr>
            <w:tcW w:w="4056" w:type="dxa"/>
            <w:shd w:val="clear" w:color="auto" w:fill="EAF1DD" w:themeFill="accent3" w:themeFillTint="33"/>
          </w:tcPr>
          <w:p w:rsidR="007F7BFD" w:rsidRPr="00CB4232" w:rsidRDefault="001828CB" w:rsidP="006C202F">
            <w:pPr>
              <w:pStyle w:val="Style2"/>
              <w:spacing w:before="0"/>
              <w:jc w:val="left"/>
              <w:rPr>
                <w:rStyle w:val="CharacterStyle1"/>
                <w:bCs/>
                <w:iCs/>
              </w:rPr>
            </w:pPr>
            <w:r w:rsidRPr="001828CB">
              <w:rPr>
                <w:rStyle w:val="CharacterStyle1"/>
                <w:bCs/>
                <w:iCs/>
              </w:rPr>
              <w:t>Svábhegy u.1 (szükséglakások)</w:t>
            </w:r>
            <w:r>
              <w:rPr>
                <w:rStyle w:val="CharacterStyle1"/>
                <w:bCs/>
                <w:iCs/>
              </w:rPr>
              <w:t xml:space="preserve">, </w:t>
            </w:r>
            <w:r w:rsidRPr="001828CB">
              <w:rPr>
                <w:rStyle w:val="CharacterStyle1"/>
                <w:bCs/>
                <w:iCs/>
              </w:rPr>
              <w:t>közös vizesblokk kialakítása III. ütem</w:t>
            </w:r>
          </w:p>
        </w:tc>
        <w:tc>
          <w:tcPr>
            <w:tcW w:w="1566" w:type="dxa"/>
          </w:tcPr>
          <w:p w:rsidR="007F7BFD" w:rsidRDefault="001828CB" w:rsidP="006C202F">
            <w:pPr>
              <w:pStyle w:val="Style2"/>
              <w:spacing w:before="0"/>
              <w:jc w:val="right"/>
              <w:rPr>
                <w:rStyle w:val="CharacterStyle1"/>
                <w:bCs/>
                <w:iCs/>
              </w:rPr>
            </w:pPr>
            <w:r>
              <w:rPr>
                <w:rStyle w:val="CharacterStyle1"/>
                <w:bCs/>
                <w:iCs/>
              </w:rPr>
              <w:t>9</w:t>
            </w:r>
            <w:r w:rsidR="007F7BFD">
              <w:rPr>
                <w:rStyle w:val="CharacterStyle1"/>
                <w:bCs/>
                <w:iCs/>
              </w:rPr>
              <w:t>00,-</w:t>
            </w:r>
          </w:p>
        </w:tc>
      </w:tr>
      <w:tr w:rsidR="007F7BFD" w:rsidTr="001828CB">
        <w:tc>
          <w:tcPr>
            <w:tcW w:w="1432" w:type="dxa"/>
            <w:shd w:val="clear" w:color="auto" w:fill="FBD4B4" w:themeFill="accent6" w:themeFillTint="66"/>
          </w:tcPr>
          <w:p w:rsidR="007F7BFD" w:rsidRDefault="001828CB" w:rsidP="00067972">
            <w:pPr>
              <w:pStyle w:val="Style2"/>
              <w:spacing w:before="0"/>
              <w:jc w:val="left"/>
              <w:rPr>
                <w:rStyle w:val="CharacterStyle1"/>
                <w:bCs/>
                <w:iCs/>
              </w:rPr>
            </w:pPr>
            <w:r w:rsidRPr="001828CB">
              <w:rPr>
                <w:rStyle w:val="CharacterStyle1"/>
                <w:bCs/>
                <w:iCs/>
              </w:rPr>
              <w:t>Dologi</w:t>
            </w:r>
          </w:p>
        </w:tc>
        <w:tc>
          <w:tcPr>
            <w:tcW w:w="4056" w:type="dxa"/>
            <w:shd w:val="clear" w:color="auto" w:fill="FBD4B4" w:themeFill="accent6" w:themeFillTint="66"/>
          </w:tcPr>
          <w:p w:rsidR="007F7BFD" w:rsidRDefault="001828CB" w:rsidP="00067972">
            <w:pPr>
              <w:pStyle w:val="Style2"/>
              <w:spacing w:before="0"/>
              <w:jc w:val="left"/>
              <w:rPr>
                <w:rStyle w:val="CharacterStyle1"/>
                <w:bCs/>
                <w:iCs/>
              </w:rPr>
            </w:pPr>
            <w:r w:rsidRPr="001828CB">
              <w:rPr>
                <w:rStyle w:val="CharacterStyle1"/>
                <w:bCs/>
                <w:iCs/>
              </w:rPr>
              <w:t>Baross u. 3</w:t>
            </w:r>
            <w:proofErr w:type="gramStart"/>
            <w:r w:rsidRPr="001828CB">
              <w:rPr>
                <w:rStyle w:val="CharacterStyle1"/>
                <w:bCs/>
                <w:iCs/>
              </w:rPr>
              <w:t>.</w:t>
            </w:r>
            <w:r>
              <w:rPr>
                <w:rStyle w:val="CharacterStyle1"/>
                <w:bCs/>
                <w:iCs/>
              </w:rPr>
              <w:t>,</w:t>
            </w:r>
            <w:proofErr w:type="gramEnd"/>
            <w:r>
              <w:rPr>
                <w:rStyle w:val="CharacterStyle1"/>
                <w:bCs/>
                <w:iCs/>
              </w:rPr>
              <w:t xml:space="preserve"> </w:t>
            </w:r>
            <w:r w:rsidRPr="001828CB">
              <w:rPr>
                <w:rStyle w:val="CharacterStyle1"/>
                <w:bCs/>
                <w:iCs/>
              </w:rPr>
              <w:t>épület karbantartás</w:t>
            </w:r>
          </w:p>
        </w:tc>
        <w:tc>
          <w:tcPr>
            <w:tcW w:w="1566" w:type="dxa"/>
          </w:tcPr>
          <w:p w:rsidR="007F7BFD" w:rsidRDefault="001828CB" w:rsidP="006C202F">
            <w:pPr>
              <w:pStyle w:val="Style2"/>
              <w:spacing w:before="0"/>
              <w:jc w:val="right"/>
              <w:rPr>
                <w:rStyle w:val="CharacterStyle1"/>
                <w:bCs/>
                <w:iCs/>
              </w:rPr>
            </w:pPr>
            <w:r>
              <w:rPr>
                <w:rStyle w:val="CharacterStyle1"/>
                <w:bCs/>
                <w:iCs/>
              </w:rPr>
              <w:t>25</w:t>
            </w:r>
            <w:r w:rsidR="007F7BFD">
              <w:rPr>
                <w:rStyle w:val="CharacterStyle1"/>
                <w:bCs/>
                <w:iCs/>
              </w:rPr>
              <w:t>0,-</w:t>
            </w:r>
          </w:p>
        </w:tc>
      </w:tr>
      <w:tr w:rsidR="007F7BFD" w:rsidTr="001828CB">
        <w:tc>
          <w:tcPr>
            <w:tcW w:w="1432" w:type="dxa"/>
            <w:shd w:val="clear" w:color="auto" w:fill="FBD4B4" w:themeFill="accent6" w:themeFillTint="66"/>
          </w:tcPr>
          <w:p w:rsidR="007F7BFD" w:rsidRDefault="001828CB" w:rsidP="006C202F">
            <w:pPr>
              <w:pStyle w:val="Style2"/>
              <w:spacing w:before="0"/>
              <w:jc w:val="left"/>
              <w:rPr>
                <w:rStyle w:val="CharacterStyle1"/>
                <w:bCs/>
                <w:iCs/>
              </w:rPr>
            </w:pPr>
            <w:r w:rsidRPr="001828CB">
              <w:rPr>
                <w:rStyle w:val="CharacterStyle1"/>
                <w:bCs/>
                <w:iCs/>
              </w:rPr>
              <w:t>Dologi</w:t>
            </w:r>
          </w:p>
        </w:tc>
        <w:tc>
          <w:tcPr>
            <w:tcW w:w="4056" w:type="dxa"/>
            <w:shd w:val="clear" w:color="auto" w:fill="FBD4B4" w:themeFill="accent6" w:themeFillTint="66"/>
          </w:tcPr>
          <w:p w:rsidR="007F7BFD" w:rsidRDefault="001828CB" w:rsidP="006C202F">
            <w:pPr>
              <w:pStyle w:val="Style2"/>
              <w:spacing w:before="0"/>
              <w:jc w:val="left"/>
              <w:rPr>
                <w:rStyle w:val="CharacterStyle1"/>
                <w:bCs/>
                <w:iCs/>
              </w:rPr>
            </w:pPr>
            <w:r w:rsidRPr="001828CB">
              <w:rPr>
                <w:rStyle w:val="CharacterStyle1"/>
                <w:bCs/>
                <w:iCs/>
              </w:rPr>
              <w:t>Önkormányzati bérlakások rendkívüli felújítási feladatok</w:t>
            </w:r>
          </w:p>
        </w:tc>
        <w:tc>
          <w:tcPr>
            <w:tcW w:w="1566" w:type="dxa"/>
          </w:tcPr>
          <w:p w:rsidR="007F7BFD" w:rsidRDefault="001828CB" w:rsidP="006C202F">
            <w:pPr>
              <w:pStyle w:val="Style2"/>
              <w:spacing w:before="0"/>
              <w:jc w:val="right"/>
              <w:rPr>
                <w:rStyle w:val="CharacterStyle1"/>
                <w:bCs/>
                <w:iCs/>
              </w:rPr>
            </w:pPr>
            <w:r>
              <w:rPr>
                <w:rStyle w:val="CharacterStyle1"/>
                <w:bCs/>
                <w:iCs/>
              </w:rPr>
              <w:t>1.</w:t>
            </w:r>
            <w:r w:rsidR="007F7BFD">
              <w:rPr>
                <w:rStyle w:val="CharacterStyle1"/>
                <w:bCs/>
                <w:iCs/>
              </w:rPr>
              <w:t>500,-</w:t>
            </w:r>
          </w:p>
        </w:tc>
      </w:tr>
      <w:tr w:rsidR="007F7BFD" w:rsidTr="001828CB">
        <w:tc>
          <w:tcPr>
            <w:tcW w:w="1432" w:type="dxa"/>
          </w:tcPr>
          <w:p w:rsidR="007F7BFD" w:rsidRPr="005601F8" w:rsidRDefault="007F7BFD" w:rsidP="005601F8">
            <w:pPr>
              <w:pStyle w:val="Style2"/>
              <w:spacing w:before="0"/>
              <w:jc w:val="right"/>
              <w:rPr>
                <w:rStyle w:val="CharacterStyle1"/>
                <w:b/>
                <w:bCs/>
                <w:iCs/>
              </w:rPr>
            </w:pPr>
          </w:p>
        </w:tc>
        <w:tc>
          <w:tcPr>
            <w:tcW w:w="4056" w:type="dxa"/>
          </w:tcPr>
          <w:p w:rsidR="007F7BFD" w:rsidRPr="005601F8" w:rsidRDefault="007F7BFD" w:rsidP="005601F8">
            <w:pPr>
              <w:pStyle w:val="Style2"/>
              <w:spacing w:before="0"/>
              <w:jc w:val="right"/>
              <w:rPr>
                <w:rStyle w:val="CharacterStyle1"/>
                <w:b/>
                <w:bCs/>
                <w:iCs/>
              </w:rPr>
            </w:pPr>
            <w:r w:rsidRPr="005601F8">
              <w:rPr>
                <w:rStyle w:val="CharacterStyle1"/>
                <w:b/>
                <w:bCs/>
                <w:iCs/>
              </w:rPr>
              <w:t>Összesen:</w:t>
            </w:r>
          </w:p>
        </w:tc>
        <w:tc>
          <w:tcPr>
            <w:tcW w:w="1566" w:type="dxa"/>
          </w:tcPr>
          <w:p w:rsidR="007F7BFD" w:rsidRDefault="00121854" w:rsidP="006C202F">
            <w:pPr>
              <w:pStyle w:val="Style2"/>
              <w:spacing w:before="0"/>
              <w:jc w:val="right"/>
              <w:rPr>
                <w:rStyle w:val="CharacterStyle1"/>
                <w:bCs/>
                <w:iCs/>
              </w:rPr>
            </w:pPr>
            <w:r w:rsidRPr="00121854">
              <w:rPr>
                <w:rStyle w:val="CharacterStyle1"/>
                <w:bCs/>
                <w:iCs/>
              </w:rPr>
              <w:t>4.140</w:t>
            </w:r>
            <w:r w:rsidR="007F7BFD">
              <w:rPr>
                <w:rStyle w:val="CharacterStyle1"/>
                <w:bCs/>
                <w:iCs/>
              </w:rPr>
              <w:t>,-</w:t>
            </w:r>
          </w:p>
        </w:tc>
      </w:tr>
    </w:tbl>
    <w:p w:rsidR="00F36633" w:rsidRDefault="00F36633" w:rsidP="00F36633">
      <w:pPr>
        <w:pStyle w:val="Style2"/>
        <w:spacing w:before="0"/>
        <w:jc w:val="left"/>
        <w:rPr>
          <w:rStyle w:val="CharacterStyle1"/>
          <w:bCs/>
          <w:iCs/>
        </w:rPr>
      </w:pPr>
    </w:p>
    <w:p w:rsidR="00C53E10" w:rsidRDefault="00C53E10"/>
    <w:sectPr w:rsidR="00C53E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633"/>
    <w:rsid w:val="00067972"/>
    <w:rsid w:val="00090503"/>
    <w:rsid w:val="000C7F80"/>
    <w:rsid w:val="00121854"/>
    <w:rsid w:val="001828CB"/>
    <w:rsid w:val="001A492D"/>
    <w:rsid w:val="00232692"/>
    <w:rsid w:val="00237010"/>
    <w:rsid w:val="002A516D"/>
    <w:rsid w:val="002B6891"/>
    <w:rsid w:val="00356B6D"/>
    <w:rsid w:val="003A746C"/>
    <w:rsid w:val="00454ABC"/>
    <w:rsid w:val="005601F8"/>
    <w:rsid w:val="005B206B"/>
    <w:rsid w:val="005D47C5"/>
    <w:rsid w:val="00697E74"/>
    <w:rsid w:val="006B275F"/>
    <w:rsid w:val="006C202F"/>
    <w:rsid w:val="007067A0"/>
    <w:rsid w:val="007F7BFD"/>
    <w:rsid w:val="00943881"/>
    <w:rsid w:val="00A477CE"/>
    <w:rsid w:val="00C16FD7"/>
    <w:rsid w:val="00C53E10"/>
    <w:rsid w:val="00CB4232"/>
    <w:rsid w:val="00D16E2E"/>
    <w:rsid w:val="00F36633"/>
    <w:rsid w:val="00FD5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044F6"/>
  <w15:docId w15:val="{3246D6A5-8F5B-4A3E-B3D5-B11BFF76F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3663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yle2">
    <w:name w:val="Style 2"/>
    <w:uiPriority w:val="99"/>
    <w:rsid w:val="00F36633"/>
    <w:pPr>
      <w:widowControl w:val="0"/>
      <w:autoSpaceDE w:val="0"/>
      <w:autoSpaceDN w:val="0"/>
      <w:spacing w:before="288" w:after="0" w:line="240" w:lineRule="auto"/>
      <w:jc w:val="both"/>
    </w:pPr>
    <w:rPr>
      <w:rFonts w:ascii="Arial" w:eastAsia="Times New Roman" w:hAnsi="Arial" w:cs="Arial"/>
      <w:lang w:eastAsia="hu-HU"/>
    </w:rPr>
  </w:style>
  <w:style w:type="character" w:customStyle="1" w:styleId="CharacterStyle1">
    <w:name w:val="Character Style 1"/>
    <w:uiPriority w:val="99"/>
    <w:rsid w:val="00F36633"/>
    <w:rPr>
      <w:rFonts w:ascii="Arial" w:hAnsi="Arial" w:cs="Arial"/>
      <w:sz w:val="22"/>
      <w:szCs w:val="22"/>
    </w:rPr>
  </w:style>
  <w:style w:type="table" w:styleId="Rcsostblzat">
    <w:name w:val="Table Grid"/>
    <w:basedOn w:val="Normltblzat"/>
    <w:uiPriority w:val="59"/>
    <w:rsid w:val="00F366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89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A784D1-730A-48F2-BC1F-720A60D45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80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 Zoli</dc:creator>
  <cp:lastModifiedBy>VÜ03</cp:lastModifiedBy>
  <cp:revision>8</cp:revision>
  <dcterms:created xsi:type="dcterms:W3CDTF">2020-03-04T11:56:00Z</dcterms:created>
  <dcterms:modified xsi:type="dcterms:W3CDTF">2025-02-06T08:21:00Z</dcterms:modified>
</cp:coreProperties>
</file>