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D9896" w14:textId="77777777" w:rsidR="00744161" w:rsidRPr="00D36160" w:rsidRDefault="00744161" w:rsidP="00744161">
      <w:pPr>
        <w:jc w:val="right"/>
        <w:rPr>
          <w:i/>
          <w:color w:val="3366FF"/>
          <w:sz w:val="20"/>
          <w:szCs w:val="20"/>
          <w:highlight w:val="green"/>
        </w:rPr>
      </w:pPr>
      <w:r w:rsidRPr="00D36160">
        <w:rPr>
          <w:i/>
          <w:color w:val="3366FF"/>
          <w:sz w:val="20"/>
          <w:szCs w:val="20"/>
          <w:highlight w:val="green"/>
        </w:rPr>
        <w:t>A határozati javaslat elfogadásához</w:t>
      </w:r>
    </w:p>
    <w:p w14:paraId="1FE388E3" w14:textId="77777777" w:rsidR="00F103F8" w:rsidRPr="00D36160" w:rsidRDefault="00744161" w:rsidP="00744161">
      <w:pPr>
        <w:jc w:val="right"/>
        <w:rPr>
          <w:i/>
          <w:color w:val="3366FF"/>
          <w:sz w:val="20"/>
          <w:szCs w:val="20"/>
          <w:highlight w:val="green"/>
        </w:rPr>
      </w:pPr>
      <w:r w:rsidRPr="00D36160">
        <w:rPr>
          <w:b/>
          <w:bCs/>
          <w:i/>
          <w:color w:val="3366FF"/>
          <w:sz w:val="20"/>
          <w:szCs w:val="20"/>
          <w:highlight w:val="green"/>
          <w:u w:val="single"/>
        </w:rPr>
        <w:t>egyszerű</w:t>
      </w:r>
      <w:r w:rsidRPr="00D36160">
        <w:rPr>
          <w:i/>
          <w:color w:val="3366FF"/>
          <w:sz w:val="20"/>
          <w:szCs w:val="20"/>
          <w:highlight w:val="green"/>
        </w:rPr>
        <w:t xml:space="preserve"> többség szükséges,</w:t>
      </w:r>
      <w:r w:rsidR="00F103F8" w:rsidRPr="00D36160">
        <w:rPr>
          <w:i/>
          <w:color w:val="3366FF"/>
          <w:sz w:val="20"/>
          <w:szCs w:val="20"/>
          <w:highlight w:val="green"/>
        </w:rPr>
        <w:t xml:space="preserve"> </w:t>
      </w:r>
    </w:p>
    <w:p w14:paraId="7707307F" w14:textId="77777777" w:rsidR="00744161" w:rsidRPr="00A07EBE" w:rsidRDefault="00F103F8" w:rsidP="00744161">
      <w:pPr>
        <w:jc w:val="right"/>
        <w:rPr>
          <w:i/>
          <w:color w:val="3366FF"/>
          <w:sz w:val="20"/>
          <w:szCs w:val="20"/>
        </w:rPr>
      </w:pPr>
      <w:r w:rsidRPr="00D36160">
        <w:rPr>
          <w:i/>
          <w:color w:val="3366FF"/>
          <w:sz w:val="20"/>
          <w:szCs w:val="20"/>
          <w:highlight w:val="green"/>
        </w:rPr>
        <w:t xml:space="preserve">az előterjesztés </w:t>
      </w:r>
      <w:r w:rsidR="00744161" w:rsidRPr="00D36160">
        <w:rPr>
          <w:b/>
          <w:i/>
          <w:color w:val="3366FF"/>
          <w:sz w:val="20"/>
          <w:szCs w:val="20"/>
          <w:highlight w:val="green"/>
          <w:u w:val="single"/>
        </w:rPr>
        <w:t>nyilvános ülésen tárgyalható</w:t>
      </w:r>
      <w:r w:rsidR="00744161" w:rsidRPr="00D36160">
        <w:rPr>
          <w:i/>
          <w:color w:val="3366FF"/>
          <w:sz w:val="20"/>
          <w:szCs w:val="20"/>
          <w:highlight w:val="green"/>
        </w:rPr>
        <w:t>!</w:t>
      </w:r>
      <w:bookmarkStart w:id="0" w:name="_GoBack"/>
      <w:bookmarkEnd w:id="0"/>
    </w:p>
    <w:p w14:paraId="69DC75A4" w14:textId="77777777" w:rsidR="005124A2" w:rsidRDefault="005124A2" w:rsidP="00980746">
      <w:pPr>
        <w:jc w:val="both"/>
        <w:rPr>
          <w:color w:val="3366FF"/>
        </w:rPr>
      </w:pPr>
    </w:p>
    <w:p w14:paraId="4999F802" w14:textId="77777777" w:rsidR="00221F2F" w:rsidRDefault="00221F2F" w:rsidP="00980746">
      <w:pPr>
        <w:jc w:val="both"/>
        <w:rPr>
          <w:color w:val="3366FF"/>
        </w:rPr>
      </w:pPr>
    </w:p>
    <w:p w14:paraId="32CC3FFE" w14:textId="684EA272" w:rsidR="005124A2" w:rsidRDefault="00205CD7" w:rsidP="00980746">
      <w:pPr>
        <w:jc w:val="center"/>
        <w:rPr>
          <w:rFonts w:ascii="Arial" w:hAnsi="Arial" w:cs="Arial"/>
          <w:i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i/>
          <w:iCs/>
          <w:color w:val="3366FF"/>
          <w:sz w:val="32"/>
          <w:szCs w:val="32"/>
          <w:u w:val="single"/>
        </w:rPr>
        <w:t>171</w:t>
      </w:r>
      <w:r w:rsidR="00396878">
        <w:rPr>
          <w:rFonts w:ascii="Arial" w:hAnsi="Arial" w:cs="Arial"/>
          <w:i/>
          <w:iCs/>
          <w:color w:val="3366FF"/>
          <w:sz w:val="32"/>
          <w:szCs w:val="32"/>
          <w:u w:val="single"/>
        </w:rPr>
        <w:t>.</w:t>
      </w:r>
      <w:r w:rsidR="005124A2">
        <w:rPr>
          <w:rFonts w:ascii="Arial" w:hAnsi="Arial" w:cs="Arial"/>
          <w:i/>
          <w:iCs/>
          <w:color w:val="3366FF"/>
          <w:sz w:val="32"/>
          <w:szCs w:val="32"/>
          <w:u w:val="single"/>
        </w:rPr>
        <w:t xml:space="preserve"> számú előterjesztés</w:t>
      </w:r>
    </w:p>
    <w:p w14:paraId="60BFAFE4" w14:textId="77777777" w:rsidR="005124A2" w:rsidRDefault="005124A2" w:rsidP="00980746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34CB95A5" w14:textId="6A5B7D83" w:rsidR="005124A2" w:rsidRDefault="005124A2" w:rsidP="004E2B87">
      <w:pPr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7E60E3">
        <w:rPr>
          <w:rFonts w:ascii="Arial" w:hAnsi="Arial" w:cs="Arial"/>
          <w:color w:val="3366FF"/>
          <w:sz w:val="22"/>
          <w:szCs w:val="22"/>
        </w:rPr>
        <w:t>nyzat Képviselő-testületének 202</w:t>
      </w:r>
      <w:r w:rsidR="00F90D67">
        <w:rPr>
          <w:rFonts w:ascii="Arial" w:hAnsi="Arial" w:cs="Arial"/>
          <w:color w:val="3366FF"/>
          <w:sz w:val="22"/>
          <w:szCs w:val="22"/>
        </w:rPr>
        <w:t>5</w:t>
      </w:r>
      <w:r>
        <w:rPr>
          <w:rFonts w:ascii="Arial" w:hAnsi="Arial" w:cs="Arial"/>
          <w:color w:val="3366FF"/>
          <w:sz w:val="22"/>
          <w:szCs w:val="22"/>
        </w:rPr>
        <w:t>.</w:t>
      </w:r>
      <w:r w:rsidR="008724FE">
        <w:rPr>
          <w:rFonts w:ascii="Arial" w:hAnsi="Arial" w:cs="Arial"/>
          <w:color w:val="3366FF"/>
          <w:sz w:val="22"/>
          <w:szCs w:val="22"/>
        </w:rPr>
        <w:t xml:space="preserve"> </w:t>
      </w:r>
      <w:r w:rsidR="00E75BF7">
        <w:rPr>
          <w:rFonts w:ascii="Arial" w:hAnsi="Arial" w:cs="Arial"/>
          <w:color w:val="3366FF"/>
          <w:sz w:val="22"/>
          <w:szCs w:val="22"/>
        </w:rPr>
        <w:t xml:space="preserve">szeptember </w:t>
      </w:r>
      <w:r w:rsidR="00E60295">
        <w:rPr>
          <w:rFonts w:ascii="Arial" w:hAnsi="Arial" w:cs="Arial"/>
          <w:color w:val="3366FF"/>
          <w:sz w:val="22"/>
          <w:szCs w:val="22"/>
        </w:rPr>
        <w:t>24</w:t>
      </w:r>
      <w:r w:rsidR="00F103F8">
        <w:rPr>
          <w:rFonts w:ascii="Arial" w:hAnsi="Arial" w:cs="Arial"/>
          <w:color w:val="3366FF"/>
          <w:sz w:val="22"/>
          <w:szCs w:val="22"/>
        </w:rPr>
        <w:t>-</w:t>
      </w:r>
      <w:r w:rsidR="00E60295">
        <w:rPr>
          <w:rFonts w:ascii="Arial" w:hAnsi="Arial" w:cs="Arial"/>
          <w:color w:val="3366FF"/>
          <w:sz w:val="22"/>
          <w:szCs w:val="22"/>
        </w:rPr>
        <w:t>é</w:t>
      </w:r>
      <w:r w:rsidR="00F103F8">
        <w:rPr>
          <w:rFonts w:ascii="Arial" w:hAnsi="Arial" w:cs="Arial"/>
          <w:color w:val="3366FF"/>
          <w:sz w:val="22"/>
          <w:szCs w:val="22"/>
        </w:rPr>
        <w:t>n</w:t>
      </w:r>
      <w:r>
        <w:rPr>
          <w:rFonts w:ascii="Arial" w:hAnsi="Arial" w:cs="Arial"/>
          <w:color w:val="3366FF"/>
          <w:sz w:val="22"/>
          <w:szCs w:val="22"/>
        </w:rPr>
        <w:t xml:space="preserve">, </w:t>
      </w:r>
    </w:p>
    <w:p w14:paraId="0138B04A" w14:textId="5D668264" w:rsidR="005124A2" w:rsidRDefault="00E60295" w:rsidP="004E2B87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16</w:t>
      </w:r>
      <w:r w:rsidR="0073394A">
        <w:rPr>
          <w:rFonts w:ascii="Arial" w:hAnsi="Arial" w:cs="Arial"/>
          <w:color w:val="3366FF"/>
          <w:sz w:val="22"/>
          <w:szCs w:val="22"/>
        </w:rPr>
        <w:t xml:space="preserve"> </w:t>
      </w:r>
      <w:r w:rsidR="005124A2">
        <w:rPr>
          <w:rFonts w:ascii="Arial" w:hAnsi="Arial" w:cs="Arial"/>
          <w:color w:val="3366FF"/>
          <w:sz w:val="22"/>
          <w:szCs w:val="22"/>
        </w:rPr>
        <w:t>órakor megtartandó ülésére</w:t>
      </w:r>
    </w:p>
    <w:p w14:paraId="19895478" w14:textId="4BA2C680" w:rsidR="005124A2" w:rsidRDefault="002A20D1" w:rsidP="00980746">
      <w:pPr>
        <w:widowControl w:val="0"/>
        <w:tabs>
          <w:tab w:val="left" w:pos="360"/>
        </w:tabs>
        <w:suppressAutoHyphens w:val="0"/>
        <w:overflowPunct/>
        <w:spacing w:before="240"/>
        <w:jc w:val="center"/>
        <w:textAlignment w:val="auto"/>
        <w:rPr>
          <w:rFonts w:ascii="Arial" w:hAnsi="Arial" w:cs="Arial"/>
          <w:i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i/>
          <w:iCs/>
          <w:color w:val="3366FF"/>
          <w:sz w:val="32"/>
          <w:szCs w:val="32"/>
          <w:u w:val="single"/>
        </w:rPr>
        <w:t>T</w:t>
      </w:r>
      <w:r w:rsidR="005124A2">
        <w:rPr>
          <w:rFonts w:ascii="Arial" w:hAnsi="Arial" w:cs="Arial"/>
          <w:i/>
          <w:iCs/>
          <w:color w:val="3366FF"/>
          <w:sz w:val="32"/>
          <w:szCs w:val="32"/>
          <w:u w:val="single"/>
        </w:rPr>
        <w:t>ájéko</w:t>
      </w:r>
      <w:r w:rsidR="00012462">
        <w:rPr>
          <w:rFonts w:ascii="Arial" w:hAnsi="Arial" w:cs="Arial"/>
          <w:i/>
          <w:iCs/>
          <w:color w:val="3366FF"/>
          <w:sz w:val="32"/>
          <w:szCs w:val="32"/>
          <w:u w:val="single"/>
        </w:rPr>
        <w:t>ztató az önkormányzat 20</w:t>
      </w:r>
      <w:r w:rsidR="005F48DA">
        <w:rPr>
          <w:rFonts w:ascii="Arial" w:hAnsi="Arial" w:cs="Arial"/>
          <w:i/>
          <w:iCs/>
          <w:color w:val="3366FF"/>
          <w:sz w:val="32"/>
          <w:szCs w:val="32"/>
          <w:u w:val="single"/>
        </w:rPr>
        <w:t>2</w:t>
      </w:r>
      <w:r w:rsidR="00F90D67">
        <w:rPr>
          <w:rFonts w:ascii="Arial" w:hAnsi="Arial" w:cs="Arial"/>
          <w:i/>
          <w:iCs/>
          <w:color w:val="3366FF"/>
          <w:sz w:val="32"/>
          <w:szCs w:val="32"/>
          <w:u w:val="single"/>
        </w:rPr>
        <w:t>5</w:t>
      </w:r>
      <w:r w:rsidR="005124A2">
        <w:rPr>
          <w:rFonts w:ascii="Arial" w:hAnsi="Arial" w:cs="Arial"/>
          <w:i/>
          <w:iCs/>
          <w:color w:val="3366FF"/>
          <w:sz w:val="32"/>
          <w:szCs w:val="32"/>
          <w:u w:val="single"/>
        </w:rPr>
        <w:t>. évi költségv</w:t>
      </w:r>
      <w:r>
        <w:rPr>
          <w:rFonts w:ascii="Arial" w:hAnsi="Arial" w:cs="Arial"/>
          <w:i/>
          <w:iCs/>
          <w:color w:val="3366FF"/>
          <w:sz w:val="32"/>
          <w:szCs w:val="32"/>
          <w:u w:val="single"/>
        </w:rPr>
        <w:t>etésének első féléves teljesüléséről</w:t>
      </w:r>
    </w:p>
    <w:p w14:paraId="21676FCC" w14:textId="608A1229" w:rsidR="005124A2" w:rsidRDefault="005124A2" w:rsidP="00023DBD">
      <w:pPr>
        <w:tabs>
          <w:tab w:val="left" w:pos="567"/>
          <w:tab w:val="left" w:pos="6237"/>
        </w:tabs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146"/>
      </w:tblGrid>
      <w:tr w:rsidR="005124A2" w14:paraId="6CF313ED" w14:textId="77777777" w:rsidTr="006230AF">
        <w:trPr>
          <w:trHeight w:val="2912"/>
          <w:jc w:val="center"/>
        </w:trPr>
        <w:tc>
          <w:tcPr>
            <w:tcW w:w="714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14:paraId="1838A0D4" w14:textId="77777777" w:rsidR="005124A2" w:rsidRDefault="005124A2" w:rsidP="00C66912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u w:val="single"/>
              </w:rPr>
            </w:pPr>
          </w:p>
          <w:p w14:paraId="4F7EB5F0" w14:textId="77777777" w:rsidR="005124A2" w:rsidRDefault="005124A2" w:rsidP="00C66912">
            <w:pPr>
              <w:tabs>
                <w:tab w:val="left" w:pos="1843"/>
              </w:tabs>
              <w:jc w:val="both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="00F14513">
              <w:rPr>
                <w:rFonts w:ascii="Arial" w:hAnsi="Arial" w:cs="Arial"/>
                <w:color w:val="3366FF"/>
                <w:sz w:val="22"/>
                <w:szCs w:val="22"/>
              </w:rPr>
              <w:t xml:space="preserve">  Dr. Bozsolik Róbert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polgármester</w:t>
            </w:r>
          </w:p>
          <w:p w14:paraId="4B16989F" w14:textId="77777777" w:rsidR="005124A2" w:rsidRDefault="005124A2" w:rsidP="00C66912">
            <w:pPr>
              <w:tabs>
                <w:tab w:val="left" w:pos="1843"/>
              </w:tabs>
              <w:jc w:val="both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</w:t>
            </w:r>
          </w:p>
          <w:p w14:paraId="3CE9DCD6" w14:textId="24E65C3D" w:rsidR="005124A2" w:rsidRPr="0086535A" w:rsidRDefault="005124A2" w:rsidP="00C66912">
            <w:pPr>
              <w:tabs>
                <w:tab w:val="left" w:pos="1843"/>
              </w:tabs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86535A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Készítette:</w:t>
            </w:r>
            <w:r w:rsidRPr="0086535A">
              <w:rPr>
                <w:rFonts w:ascii="Arial" w:hAnsi="Arial" w:cs="Arial"/>
                <w:color w:val="3366FF"/>
                <w:sz w:val="22"/>
                <w:szCs w:val="22"/>
              </w:rPr>
              <w:t xml:space="preserve">    </w:t>
            </w:r>
            <w:r w:rsidR="00F90D67">
              <w:rPr>
                <w:rFonts w:ascii="Arial" w:hAnsi="Arial" w:cs="Arial"/>
                <w:color w:val="3366FF"/>
                <w:sz w:val="22"/>
                <w:szCs w:val="22"/>
              </w:rPr>
              <w:t>Keresztes Katalin</w:t>
            </w:r>
            <w:r w:rsidR="00D96EEC">
              <w:rPr>
                <w:rFonts w:ascii="Arial" w:hAnsi="Arial" w:cs="Arial"/>
                <w:color w:val="3366FF"/>
                <w:sz w:val="22"/>
                <w:szCs w:val="22"/>
              </w:rPr>
              <w:t xml:space="preserve"> pénzügyi</w:t>
            </w:r>
            <w:r w:rsidRPr="0086535A">
              <w:rPr>
                <w:rFonts w:ascii="Arial" w:hAnsi="Arial" w:cs="Arial"/>
                <w:color w:val="3366FF"/>
                <w:sz w:val="22"/>
                <w:szCs w:val="22"/>
              </w:rPr>
              <w:t xml:space="preserve"> irodavezető  </w:t>
            </w:r>
          </w:p>
          <w:p w14:paraId="72C9C5BF" w14:textId="77777777" w:rsidR="00000EE2" w:rsidRPr="0086535A" w:rsidRDefault="00000EE2" w:rsidP="00C66912">
            <w:pPr>
              <w:tabs>
                <w:tab w:val="left" w:pos="1843"/>
              </w:tabs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86535A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</w:t>
            </w:r>
            <w:r w:rsidR="00D96EEC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Pr="0086535A">
              <w:rPr>
                <w:rFonts w:ascii="Arial" w:hAnsi="Arial" w:cs="Arial"/>
                <w:color w:val="3366FF"/>
                <w:sz w:val="22"/>
                <w:szCs w:val="22"/>
              </w:rPr>
              <w:t xml:space="preserve"> Adorján Viktória </w:t>
            </w:r>
            <w:r w:rsidR="00D96EEC">
              <w:rPr>
                <w:rFonts w:ascii="Arial" w:hAnsi="Arial" w:cs="Arial"/>
                <w:color w:val="3366FF"/>
                <w:sz w:val="22"/>
                <w:szCs w:val="22"/>
              </w:rPr>
              <w:t>gazdálkodási</w:t>
            </w:r>
            <w:r w:rsidRPr="0086535A">
              <w:rPr>
                <w:rFonts w:ascii="Arial" w:hAnsi="Arial" w:cs="Arial"/>
                <w:color w:val="3366FF"/>
                <w:sz w:val="22"/>
                <w:szCs w:val="22"/>
              </w:rPr>
              <w:t xml:space="preserve"> előadó</w:t>
            </w:r>
          </w:p>
          <w:p w14:paraId="41B41F95" w14:textId="77777777" w:rsidR="005124A2" w:rsidRPr="0086535A" w:rsidRDefault="005124A2" w:rsidP="00C66912">
            <w:pPr>
              <w:tabs>
                <w:tab w:val="left" w:pos="1843"/>
              </w:tabs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86535A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     </w:t>
            </w:r>
          </w:p>
          <w:p w14:paraId="5F674940" w14:textId="3754CE7D" w:rsidR="005124A2" w:rsidRPr="0086535A" w:rsidRDefault="005124A2" w:rsidP="00C66912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86535A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="00012462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F90D67">
              <w:rPr>
                <w:rFonts w:ascii="Arial" w:hAnsi="Arial" w:cs="Arial"/>
                <w:color w:val="3366FF"/>
                <w:sz w:val="22"/>
                <w:szCs w:val="22"/>
              </w:rPr>
              <w:t>Kondriczné dr. Varga Erzsébet</w:t>
            </w:r>
            <w:r w:rsidRPr="0086535A">
              <w:rPr>
                <w:rFonts w:ascii="Arial" w:hAnsi="Arial" w:cs="Arial"/>
                <w:color w:val="3366FF"/>
                <w:sz w:val="22"/>
                <w:szCs w:val="22"/>
              </w:rPr>
              <w:t xml:space="preserve"> jegyző</w:t>
            </w:r>
          </w:p>
          <w:p w14:paraId="18720886" w14:textId="77777777" w:rsidR="005124A2" w:rsidRPr="0086535A" w:rsidRDefault="005124A2" w:rsidP="00C66912">
            <w:pPr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69BDC236" w14:textId="77777777" w:rsidR="008724FE" w:rsidRDefault="002A20D1" w:rsidP="00C66912">
            <w:pPr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396878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 </w:t>
            </w:r>
          </w:p>
          <w:p w14:paraId="4441BB07" w14:textId="77777777" w:rsidR="007435C6" w:rsidRDefault="007435C6" w:rsidP="00C66912">
            <w:pPr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22F9C225" w14:textId="77777777" w:rsidR="005124A2" w:rsidRDefault="00565903" w:rsidP="00D96EEC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>valamennyi bizottság</w:t>
            </w:r>
          </w:p>
          <w:p w14:paraId="2FD08109" w14:textId="76E95C8A" w:rsidR="007435C6" w:rsidRPr="008724FE" w:rsidRDefault="007435C6" w:rsidP="00D96EEC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</w:tc>
      </w:tr>
    </w:tbl>
    <w:p w14:paraId="5C7BF75B" w14:textId="1013BEC4" w:rsidR="00373CE4" w:rsidRDefault="00373CE4" w:rsidP="00980746">
      <w:pPr>
        <w:tabs>
          <w:tab w:val="left" w:pos="540"/>
        </w:tabs>
        <w:rPr>
          <w:rFonts w:ascii="Arial" w:hAnsi="Arial" w:cs="Arial"/>
          <w:b/>
          <w:bCs/>
          <w:sz w:val="22"/>
          <w:szCs w:val="22"/>
        </w:rPr>
      </w:pPr>
    </w:p>
    <w:p w14:paraId="38EA135C" w14:textId="7E66C19A" w:rsidR="00211215" w:rsidRPr="006230AF" w:rsidRDefault="005124A2" w:rsidP="006230AF">
      <w:pPr>
        <w:tabs>
          <w:tab w:val="left" w:pos="54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Tisztelt Képviselő-testület!</w:t>
      </w:r>
    </w:p>
    <w:p w14:paraId="5CA925FA" w14:textId="77777777" w:rsidR="0031470D" w:rsidRPr="00850C8E" w:rsidRDefault="0031470D" w:rsidP="00980746"/>
    <w:p w14:paraId="06F57A3B" w14:textId="3CF16063" w:rsidR="005124A2" w:rsidRPr="00FD61F4" w:rsidRDefault="00CA0DC6" w:rsidP="006230AF">
      <w:pPr>
        <w:pStyle w:val="Szvegtrzs"/>
        <w:rPr>
          <w:rFonts w:ascii="Arial" w:hAnsi="Arial" w:cs="Arial"/>
          <w:sz w:val="22"/>
          <w:szCs w:val="22"/>
        </w:rPr>
      </w:pPr>
      <w:r w:rsidRPr="00FD61F4">
        <w:rPr>
          <w:rFonts w:ascii="Arial" w:hAnsi="Arial" w:cs="Arial"/>
          <w:sz w:val="22"/>
          <w:szCs w:val="22"/>
        </w:rPr>
        <w:t>A</w:t>
      </w:r>
      <w:r w:rsidR="005124A2" w:rsidRPr="00FD61F4">
        <w:rPr>
          <w:rFonts w:ascii="Arial" w:hAnsi="Arial" w:cs="Arial"/>
          <w:sz w:val="22"/>
          <w:szCs w:val="22"/>
        </w:rPr>
        <w:t>z államháztartásról szóló 2011. évi CXCV. törvény</w:t>
      </w:r>
      <w:r w:rsidR="0058485C" w:rsidRPr="00FD61F4">
        <w:rPr>
          <w:rFonts w:ascii="Arial" w:hAnsi="Arial" w:cs="Arial"/>
          <w:sz w:val="22"/>
          <w:szCs w:val="22"/>
          <w:lang w:val="hu-HU"/>
        </w:rPr>
        <w:t xml:space="preserve"> hatályos előírásai</w:t>
      </w:r>
      <w:r w:rsidR="00AC622B" w:rsidRPr="00FD61F4">
        <w:rPr>
          <w:rFonts w:ascii="Arial" w:hAnsi="Arial" w:cs="Arial"/>
          <w:sz w:val="22"/>
          <w:szCs w:val="22"/>
          <w:lang w:val="hu-HU"/>
        </w:rPr>
        <w:t xml:space="preserve"> </w:t>
      </w:r>
      <w:r w:rsidR="0058485C" w:rsidRPr="00FD61F4">
        <w:rPr>
          <w:rFonts w:ascii="Arial" w:hAnsi="Arial" w:cs="Arial"/>
          <w:sz w:val="22"/>
          <w:szCs w:val="22"/>
          <w:lang w:val="hu-HU"/>
        </w:rPr>
        <w:t xml:space="preserve">szerint az önkormányzatoknak </w:t>
      </w:r>
      <w:r w:rsidR="00AC622B" w:rsidRPr="00FD61F4">
        <w:rPr>
          <w:rFonts w:ascii="Arial" w:hAnsi="Arial" w:cs="Arial"/>
          <w:sz w:val="22"/>
          <w:szCs w:val="22"/>
          <w:lang w:val="hu-HU"/>
        </w:rPr>
        <w:t>csak éves beszámoló</w:t>
      </w:r>
      <w:r w:rsidR="0058485C" w:rsidRPr="00FD61F4">
        <w:rPr>
          <w:rFonts w:ascii="Arial" w:hAnsi="Arial" w:cs="Arial"/>
          <w:sz w:val="22"/>
          <w:szCs w:val="22"/>
          <w:lang w:val="hu-HU"/>
        </w:rPr>
        <w:t>t</w:t>
      </w:r>
      <w:r w:rsidR="00AC622B" w:rsidRPr="00FD61F4">
        <w:rPr>
          <w:rFonts w:ascii="Arial" w:hAnsi="Arial" w:cs="Arial"/>
          <w:sz w:val="22"/>
          <w:szCs w:val="22"/>
          <w:lang w:val="hu-HU"/>
        </w:rPr>
        <w:t xml:space="preserve"> </w:t>
      </w:r>
      <w:r w:rsidR="0058485C" w:rsidRPr="00FD61F4">
        <w:rPr>
          <w:rFonts w:ascii="Arial" w:hAnsi="Arial" w:cs="Arial"/>
          <w:sz w:val="22"/>
          <w:szCs w:val="22"/>
          <w:lang w:val="hu-HU"/>
        </w:rPr>
        <w:t xml:space="preserve">kell készíteni, ugyanakkor </w:t>
      </w:r>
      <w:r w:rsidR="00F71FE4" w:rsidRPr="00FD61F4">
        <w:rPr>
          <w:rFonts w:ascii="Arial" w:hAnsi="Arial" w:cs="Arial"/>
          <w:sz w:val="22"/>
          <w:szCs w:val="22"/>
          <w:lang w:val="hu-HU"/>
        </w:rPr>
        <w:t>továbbra is lehetőség van arra, hogy</w:t>
      </w:r>
      <w:r w:rsidR="00AC622B" w:rsidRPr="00FD61F4">
        <w:rPr>
          <w:rFonts w:ascii="Arial" w:hAnsi="Arial" w:cs="Arial"/>
          <w:sz w:val="22"/>
          <w:szCs w:val="22"/>
          <w:lang w:val="hu-HU"/>
        </w:rPr>
        <w:t xml:space="preserve"> tájékoztassuk a képviselő-testületet az</w:t>
      </w:r>
      <w:r w:rsidR="00F103F8" w:rsidRPr="00FD61F4">
        <w:rPr>
          <w:rFonts w:ascii="Arial" w:hAnsi="Arial" w:cs="Arial"/>
          <w:sz w:val="22"/>
          <w:szCs w:val="22"/>
        </w:rPr>
        <w:t xml:space="preserve"> önkormányzat gazdálkodásának első félévi helyzetéről</w:t>
      </w:r>
      <w:r w:rsidR="00AC622B" w:rsidRPr="00FD61F4">
        <w:rPr>
          <w:rFonts w:ascii="Arial" w:hAnsi="Arial" w:cs="Arial"/>
          <w:sz w:val="22"/>
          <w:szCs w:val="22"/>
          <w:lang w:val="hu-HU"/>
        </w:rPr>
        <w:t xml:space="preserve">. </w:t>
      </w:r>
      <w:r w:rsidR="00F103F8" w:rsidRPr="00FD61F4">
        <w:rPr>
          <w:rFonts w:ascii="Arial" w:hAnsi="Arial" w:cs="Arial"/>
          <w:sz w:val="22"/>
          <w:szCs w:val="22"/>
        </w:rPr>
        <w:t>A tájékoztatás tartalmazza a helyi önkormányzat költségvetési rendeletében megjelenő előirányzatok és a köl</w:t>
      </w:r>
      <w:r w:rsidR="00AC622B" w:rsidRPr="00FD61F4">
        <w:rPr>
          <w:rFonts w:ascii="Arial" w:hAnsi="Arial" w:cs="Arial"/>
          <w:sz w:val="22"/>
          <w:szCs w:val="22"/>
        </w:rPr>
        <w:t>tségvetési egyenleg alakulását.</w:t>
      </w:r>
      <w:r w:rsidR="00F103F8" w:rsidRPr="00FD61F4">
        <w:rPr>
          <w:rFonts w:ascii="Arial" w:hAnsi="Arial" w:cs="Arial"/>
          <w:sz w:val="22"/>
          <w:szCs w:val="22"/>
        </w:rPr>
        <w:t xml:space="preserve"> </w:t>
      </w:r>
      <w:r w:rsidR="00AC622B" w:rsidRPr="00FD61F4">
        <w:rPr>
          <w:rFonts w:ascii="Arial" w:hAnsi="Arial" w:cs="Arial"/>
          <w:sz w:val="22"/>
          <w:szCs w:val="22"/>
          <w:lang w:val="hu-HU"/>
        </w:rPr>
        <w:t>A</w:t>
      </w:r>
      <w:r w:rsidR="005124A2" w:rsidRPr="00FD61F4">
        <w:rPr>
          <w:rFonts w:ascii="Arial" w:hAnsi="Arial" w:cs="Arial"/>
          <w:sz w:val="22"/>
          <w:szCs w:val="22"/>
        </w:rPr>
        <w:t xml:space="preserve"> </w:t>
      </w:r>
      <w:r w:rsidR="00AC622B" w:rsidRPr="00FD61F4">
        <w:rPr>
          <w:rFonts w:ascii="Arial" w:hAnsi="Arial" w:cs="Arial"/>
          <w:sz w:val="22"/>
          <w:szCs w:val="22"/>
          <w:lang w:val="hu-HU"/>
        </w:rPr>
        <w:t xml:space="preserve">fentiek alapján </w:t>
      </w:r>
      <w:r w:rsidR="00F90D67" w:rsidRPr="00FD61F4">
        <w:rPr>
          <w:rFonts w:ascii="Arial" w:hAnsi="Arial" w:cs="Arial"/>
          <w:sz w:val="22"/>
          <w:szCs w:val="22"/>
          <w:lang w:val="hu-HU"/>
        </w:rPr>
        <w:t xml:space="preserve">a </w:t>
      </w:r>
      <w:r w:rsidR="005124A2" w:rsidRPr="00FD61F4">
        <w:rPr>
          <w:rFonts w:ascii="Arial" w:hAnsi="Arial" w:cs="Arial"/>
          <w:sz w:val="22"/>
          <w:szCs w:val="22"/>
        </w:rPr>
        <w:t xml:space="preserve">képviselő-testület elé terjesztem Bátaszék Város Önkormányzat </w:t>
      </w:r>
      <w:r w:rsidR="00914720" w:rsidRPr="00FD61F4">
        <w:rPr>
          <w:rFonts w:ascii="Arial" w:hAnsi="Arial" w:cs="Arial"/>
          <w:sz w:val="22"/>
          <w:szCs w:val="22"/>
        </w:rPr>
        <w:t>202</w:t>
      </w:r>
      <w:r w:rsidR="00F90D67" w:rsidRPr="00FD61F4">
        <w:rPr>
          <w:rFonts w:ascii="Arial" w:hAnsi="Arial" w:cs="Arial"/>
          <w:sz w:val="22"/>
          <w:szCs w:val="22"/>
          <w:lang w:val="hu-HU"/>
        </w:rPr>
        <w:t>5</w:t>
      </w:r>
      <w:r w:rsidR="005124A2" w:rsidRPr="00FD61F4">
        <w:rPr>
          <w:rFonts w:ascii="Arial" w:hAnsi="Arial" w:cs="Arial"/>
          <w:sz w:val="22"/>
          <w:szCs w:val="22"/>
        </w:rPr>
        <w:t>. évi költségvetésének első féléves végrehajtásáról szóló beszámolót.</w:t>
      </w:r>
    </w:p>
    <w:p w14:paraId="7DC44648" w14:textId="77777777" w:rsidR="0031470D" w:rsidRPr="0031470D" w:rsidRDefault="0031470D" w:rsidP="00980746">
      <w:pPr>
        <w:jc w:val="both"/>
        <w:rPr>
          <w:rFonts w:ascii="Arial" w:hAnsi="Arial" w:cs="Arial"/>
          <w:sz w:val="22"/>
          <w:szCs w:val="22"/>
        </w:rPr>
      </w:pPr>
    </w:p>
    <w:p w14:paraId="5BD20DE0" w14:textId="6D2E59A6" w:rsidR="005124A2" w:rsidRPr="0031470D" w:rsidRDefault="005124A2" w:rsidP="00980746">
      <w:pPr>
        <w:jc w:val="both"/>
        <w:rPr>
          <w:rFonts w:ascii="Arial" w:hAnsi="Arial" w:cs="Arial"/>
          <w:sz w:val="22"/>
          <w:szCs w:val="22"/>
        </w:rPr>
      </w:pPr>
      <w:r w:rsidRPr="0031470D">
        <w:rPr>
          <w:rFonts w:ascii="Arial" w:hAnsi="Arial" w:cs="Arial"/>
          <w:sz w:val="22"/>
          <w:szCs w:val="22"/>
        </w:rPr>
        <w:t xml:space="preserve">A </w:t>
      </w:r>
      <w:r w:rsidR="00914720" w:rsidRPr="0031470D">
        <w:rPr>
          <w:rFonts w:ascii="Arial" w:hAnsi="Arial" w:cs="Arial"/>
          <w:sz w:val="22"/>
          <w:szCs w:val="22"/>
        </w:rPr>
        <w:t>202</w:t>
      </w:r>
      <w:r w:rsidR="00F90D67">
        <w:rPr>
          <w:rFonts w:ascii="Arial" w:hAnsi="Arial" w:cs="Arial"/>
          <w:sz w:val="22"/>
          <w:szCs w:val="22"/>
        </w:rPr>
        <w:t>5</w:t>
      </w:r>
      <w:r w:rsidRPr="0031470D">
        <w:rPr>
          <w:rFonts w:ascii="Arial" w:hAnsi="Arial" w:cs="Arial"/>
          <w:sz w:val="22"/>
          <w:szCs w:val="22"/>
        </w:rPr>
        <w:t xml:space="preserve">. év első félévi </w:t>
      </w:r>
      <w:r w:rsidR="00F71FE4" w:rsidRPr="0031470D">
        <w:rPr>
          <w:rFonts w:ascii="Arial" w:hAnsi="Arial" w:cs="Arial"/>
          <w:sz w:val="22"/>
          <w:szCs w:val="22"/>
        </w:rPr>
        <w:t xml:space="preserve">teljesítése </w:t>
      </w:r>
      <w:r w:rsidRPr="0031470D">
        <w:rPr>
          <w:rFonts w:ascii="Arial" w:hAnsi="Arial" w:cs="Arial"/>
          <w:sz w:val="22"/>
          <w:szCs w:val="22"/>
        </w:rPr>
        <w:t xml:space="preserve">az önkormányzat </w:t>
      </w:r>
      <w:r w:rsidR="00F71FE4" w:rsidRPr="0031470D">
        <w:rPr>
          <w:rFonts w:ascii="Arial" w:hAnsi="Arial" w:cs="Arial"/>
          <w:sz w:val="22"/>
          <w:szCs w:val="22"/>
        </w:rPr>
        <w:t>összevont mérlegében:</w:t>
      </w:r>
    </w:p>
    <w:tbl>
      <w:tblPr>
        <w:tblW w:w="87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1560"/>
        <w:gridCol w:w="1480"/>
        <w:gridCol w:w="1760"/>
      </w:tblGrid>
      <w:tr w:rsidR="008D22D4" w:rsidRPr="003B3D7F" w14:paraId="1303FA62" w14:textId="77777777" w:rsidTr="00FD61F4">
        <w:trPr>
          <w:trHeight w:val="61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C6F6475" w14:textId="77777777" w:rsidR="008D22D4" w:rsidRPr="003B3D7F" w:rsidRDefault="008D22D4" w:rsidP="008D22D4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B3D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Bevételek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86DCDA5" w14:textId="77777777" w:rsidR="008D22D4" w:rsidRPr="003B3D7F" w:rsidRDefault="008D22D4" w:rsidP="008D22D4">
            <w:pPr>
              <w:suppressAutoHyphens w:val="0"/>
              <w:overflowPunct/>
              <w:autoSpaceDE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B3D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Módosított előirányzat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777176B" w14:textId="77777777" w:rsidR="008D22D4" w:rsidRPr="003B3D7F" w:rsidRDefault="008D22D4" w:rsidP="008D22D4">
            <w:pPr>
              <w:suppressAutoHyphens w:val="0"/>
              <w:overflowPunct/>
              <w:autoSpaceDE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B3D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Teljesítés 2025.06.30-ig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ECA53F6" w14:textId="77777777" w:rsidR="008D22D4" w:rsidRPr="003B3D7F" w:rsidRDefault="008D22D4" w:rsidP="008D22D4">
            <w:pPr>
              <w:suppressAutoHyphens w:val="0"/>
              <w:overflowPunct/>
              <w:autoSpaceDE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B3D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Éves előirányzat teljesítés %-a</w:t>
            </w:r>
          </w:p>
        </w:tc>
      </w:tr>
      <w:tr w:rsidR="008D22D4" w:rsidRPr="003B3D7F" w14:paraId="2257DCE5" w14:textId="77777777" w:rsidTr="00FD61F4">
        <w:trPr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9384D" w14:textId="77777777" w:rsidR="008D22D4" w:rsidRPr="003B3D7F" w:rsidRDefault="008D22D4" w:rsidP="008D22D4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B3D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Költségvetési bevétel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1AC60" w14:textId="77777777" w:rsidR="008D22D4" w:rsidRPr="003B3D7F" w:rsidRDefault="008D22D4" w:rsidP="008D22D4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3B3D7F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2 102 839 490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EC6E0" w14:textId="77777777" w:rsidR="008D22D4" w:rsidRPr="003B3D7F" w:rsidRDefault="008D22D4" w:rsidP="008D22D4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3B3D7F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1 248 092 878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A405DB6" w14:textId="224790BE" w:rsidR="008D22D4" w:rsidRPr="003B3D7F" w:rsidRDefault="008D22D4" w:rsidP="008D22D4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3B3D7F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59</w:t>
            </w:r>
            <w:r w:rsidR="0066273F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,4</w:t>
            </w:r>
            <w:r w:rsidRPr="003B3D7F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%</w:t>
            </w:r>
          </w:p>
        </w:tc>
      </w:tr>
      <w:tr w:rsidR="008D22D4" w:rsidRPr="003B3D7F" w14:paraId="3B0B57C1" w14:textId="77777777" w:rsidTr="00FD61F4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FC20580" w14:textId="77777777" w:rsidR="008D22D4" w:rsidRPr="003B3D7F" w:rsidRDefault="008D22D4" w:rsidP="008D22D4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B3D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Finanszírozási bevétel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159BDD6" w14:textId="77777777" w:rsidR="008D22D4" w:rsidRPr="003B3D7F" w:rsidRDefault="008D22D4" w:rsidP="008D22D4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3B3D7F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802 750 996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AD4BFBE" w14:textId="77777777" w:rsidR="008D22D4" w:rsidRPr="003B3D7F" w:rsidRDefault="008D22D4" w:rsidP="008D22D4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3B3D7F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802 750 996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ECC9F62" w14:textId="77777777" w:rsidR="008D22D4" w:rsidRPr="003B3D7F" w:rsidRDefault="008D22D4" w:rsidP="008D22D4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3B3D7F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100%</w:t>
            </w:r>
          </w:p>
        </w:tc>
      </w:tr>
      <w:tr w:rsidR="008D22D4" w:rsidRPr="003B3D7F" w14:paraId="3A55DB3B" w14:textId="77777777" w:rsidTr="00FD61F4">
        <w:trPr>
          <w:trHeight w:val="31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D326958" w14:textId="77777777" w:rsidR="008D22D4" w:rsidRPr="003B3D7F" w:rsidRDefault="008D22D4" w:rsidP="008D22D4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B3D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Összes bevétel: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20033D4" w14:textId="77777777" w:rsidR="008D22D4" w:rsidRPr="003B3D7F" w:rsidRDefault="008D22D4" w:rsidP="008D22D4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B3D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2 905 590 486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CD12434" w14:textId="77777777" w:rsidR="008D22D4" w:rsidRPr="003B3D7F" w:rsidRDefault="008D22D4" w:rsidP="008D22D4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B3D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2 050 843 874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E66D714" w14:textId="7F51A907" w:rsidR="008D22D4" w:rsidRPr="003B3D7F" w:rsidRDefault="0066273F" w:rsidP="008D22D4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70,6</w:t>
            </w:r>
            <w:r w:rsidR="008D22D4" w:rsidRPr="003B3D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%</w:t>
            </w:r>
          </w:p>
        </w:tc>
      </w:tr>
    </w:tbl>
    <w:p w14:paraId="3DD078D6" w14:textId="0AC82C6C" w:rsidR="00F71FE4" w:rsidRDefault="00F71FE4" w:rsidP="0098074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7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1560"/>
        <w:gridCol w:w="1480"/>
        <w:gridCol w:w="1760"/>
      </w:tblGrid>
      <w:tr w:rsidR="008D22D4" w:rsidRPr="003B3D7F" w14:paraId="121D2FD1" w14:textId="77777777" w:rsidTr="00FD61F4">
        <w:trPr>
          <w:trHeight w:val="61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CA4EA0B" w14:textId="77777777" w:rsidR="008D22D4" w:rsidRPr="003B3D7F" w:rsidRDefault="008D22D4" w:rsidP="008D22D4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B3D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Kiadások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DB3ABA5" w14:textId="77777777" w:rsidR="008D22D4" w:rsidRPr="003B3D7F" w:rsidRDefault="008D22D4" w:rsidP="008D22D4">
            <w:pPr>
              <w:suppressAutoHyphens w:val="0"/>
              <w:overflowPunct/>
              <w:autoSpaceDE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B3D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Módosított előirányzat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0CCB853" w14:textId="77777777" w:rsidR="008D22D4" w:rsidRPr="003B3D7F" w:rsidRDefault="008D22D4" w:rsidP="008D22D4">
            <w:pPr>
              <w:suppressAutoHyphens w:val="0"/>
              <w:overflowPunct/>
              <w:autoSpaceDE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B3D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Teljesítés 2025.06.30-ig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8C82AC2" w14:textId="77777777" w:rsidR="008D22D4" w:rsidRPr="003B3D7F" w:rsidRDefault="008D22D4" w:rsidP="008D22D4">
            <w:pPr>
              <w:suppressAutoHyphens w:val="0"/>
              <w:overflowPunct/>
              <w:autoSpaceDE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B3D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Éves előirányzat teljesítés %-a</w:t>
            </w:r>
          </w:p>
        </w:tc>
      </w:tr>
      <w:tr w:rsidR="008D22D4" w:rsidRPr="003B3D7F" w14:paraId="446E8C1F" w14:textId="77777777" w:rsidTr="00FD61F4">
        <w:trPr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02884" w14:textId="77777777" w:rsidR="008D22D4" w:rsidRPr="003B3D7F" w:rsidRDefault="008D22D4" w:rsidP="008D22D4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B3D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Költségvetési kiadás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EFD49" w14:textId="77777777" w:rsidR="008D22D4" w:rsidRPr="003B3D7F" w:rsidRDefault="008D22D4" w:rsidP="008D22D4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3B3D7F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2 778 479 512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7AF3D" w14:textId="77777777" w:rsidR="008D22D4" w:rsidRPr="003B3D7F" w:rsidRDefault="008D22D4" w:rsidP="008D22D4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3B3D7F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936 962 549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6FA8935" w14:textId="766C48CE" w:rsidR="008D22D4" w:rsidRPr="003B3D7F" w:rsidRDefault="0066273F" w:rsidP="008D22D4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33,7</w:t>
            </w:r>
            <w:r w:rsidR="008D22D4" w:rsidRPr="003B3D7F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%</w:t>
            </w:r>
          </w:p>
        </w:tc>
      </w:tr>
      <w:tr w:rsidR="008D22D4" w:rsidRPr="003B3D7F" w14:paraId="74AD212E" w14:textId="77777777" w:rsidTr="00FD61F4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002613E" w14:textId="77777777" w:rsidR="008D22D4" w:rsidRPr="003B3D7F" w:rsidRDefault="008D22D4" w:rsidP="008D22D4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B3D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Finanszírozási kiadás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6597B83" w14:textId="77777777" w:rsidR="008D22D4" w:rsidRPr="003B3D7F" w:rsidRDefault="008D22D4" w:rsidP="008D22D4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3B3D7F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127 110 974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1E43153" w14:textId="77777777" w:rsidR="008D22D4" w:rsidRPr="003B3D7F" w:rsidRDefault="008D22D4" w:rsidP="008D22D4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3B3D7F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127 110 974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A4503BC" w14:textId="77777777" w:rsidR="008D22D4" w:rsidRPr="003B3D7F" w:rsidRDefault="008D22D4" w:rsidP="008D22D4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3B3D7F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100%</w:t>
            </w:r>
          </w:p>
        </w:tc>
      </w:tr>
      <w:tr w:rsidR="008D22D4" w:rsidRPr="003B3D7F" w14:paraId="79677F18" w14:textId="77777777" w:rsidTr="00FD61F4">
        <w:trPr>
          <w:trHeight w:val="31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0DED268" w14:textId="77777777" w:rsidR="008D22D4" w:rsidRPr="003B3D7F" w:rsidRDefault="008D22D4" w:rsidP="008D22D4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B3D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Összes kiadás: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F3A9A73" w14:textId="77777777" w:rsidR="008D22D4" w:rsidRPr="003B3D7F" w:rsidRDefault="008D22D4" w:rsidP="008D22D4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B3D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2 905 590 486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644103C" w14:textId="77777777" w:rsidR="008D22D4" w:rsidRPr="003B3D7F" w:rsidRDefault="008D22D4" w:rsidP="008D22D4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B3D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1 064 073 523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C2F9B58" w14:textId="2B8707D7" w:rsidR="008D22D4" w:rsidRPr="003B3D7F" w:rsidRDefault="0066273F" w:rsidP="008D22D4">
            <w:pPr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36,6</w:t>
            </w:r>
            <w:r w:rsidR="008D22D4" w:rsidRPr="003B3D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%</w:t>
            </w:r>
          </w:p>
        </w:tc>
      </w:tr>
    </w:tbl>
    <w:p w14:paraId="3C5CD160" w14:textId="77777777" w:rsidR="008D22D4" w:rsidRPr="0031470D" w:rsidRDefault="008D22D4" w:rsidP="00980746">
      <w:pPr>
        <w:jc w:val="both"/>
        <w:rPr>
          <w:rFonts w:ascii="Arial" w:hAnsi="Arial" w:cs="Arial"/>
          <w:sz w:val="22"/>
          <w:szCs w:val="22"/>
        </w:rPr>
      </w:pPr>
    </w:p>
    <w:p w14:paraId="35F5CE39" w14:textId="4FAB87D7" w:rsidR="008D22D4" w:rsidRDefault="008D22D4" w:rsidP="00980746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táblázat adatai is szemléltetik, hogy a bevételek 2025.06.30-ig az időarányos mértéknél nagyobb összeggel teljesültek, míg a kiadások teljesítése alacsonyabb az időarányos mértékhez képest.</w:t>
      </w:r>
    </w:p>
    <w:p w14:paraId="28E21260" w14:textId="77777777" w:rsidR="008D22D4" w:rsidRDefault="008D22D4" w:rsidP="00980746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</w:p>
    <w:p w14:paraId="608E3858" w14:textId="77777777" w:rsidR="008D22D4" w:rsidRDefault="008D22D4" w:rsidP="00980746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</w:p>
    <w:p w14:paraId="21A83AF5" w14:textId="4235A86B" w:rsidR="008D22D4" w:rsidRPr="00FD61F4" w:rsidRDefault="001F0B76" w:rsidP="001F0B76">
      <w:pPr>
        <w:tabs>
          <w:tab w:val="left" w:pos="851"/>
          <w:tab w:val="decimal" w:pos="6237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Bevételek</w:t>
      </w:r>
    </w:p>
    <w:p w14:paraId="033058D9" w14:textId="77777777" w:rsidR="008D22D4" w:rsidRPr="00FD61F4" w:rsidRDefault="008D22D4" w:rsidP="00980746">
      <w:pPr>
        <w:tabs>
          <w:tab w:val="left" w:pos="851"/>
          <w:tab w:val="decimal" w:pos="6237"/>
        </w:tabs>
        <w:jc w:val="both"/>
        <w:rPr>
          <w:rFonts w:ascii="Arial" w:hAnsi="Arial" w:cs="Arial"/>
          <w:b/>
          <w:sz w:val="22"/>
          <w:szCs w:val="22"/>
        </w:rPr>
      </w:pPr>
    </w:p>
    <w:p w14:paraId="1EF0C107" w14:textId="79979EFF" w:rsidR="00714DB3" w:rsidRDefault="002E6739" w:rsidP="00980746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  <w:r w:rsidRPr="0031470D">
        <w:rPr>
          <w:rFonts w:ascii="Arial" w:hAnsi="Arial" w:cs="Arial"/>
          <w:sz w:val="22"/>
          <w:szCs w:val="22"/>
          <w:u w:val="single"/>
        </w:rPr>
        <w:t>A k</w:t>
      </w:r>
      <w:r w:rsidR="00DC6DB2" w:rsidRPr="0031470D">
        <w:rPr>
          <w:rFonts w:ascii="Arial" w:hAnsi="Arial" w:cs="Arial"/>
          <w:sz w:val="22"/>
          <w:szCs w:val="22"/>
          <w:u w:val="single"/>
        </w:rPr>
        <w:t>öltségvetési bevételeink</w:t>
      </w:r>
      <w:r w:rsidR="003B3D7F">
        <w:rPr>
          <w:rFonts w:ascii="Arial" w:hAnsi="Arial" w:cs="Arial"/>
          <w:sz w:val="22"/>
          <w:szCs w:val="22"/>
          <w:u w:val="single"/>
        </w:rPr>
        <w:t xml:space="preserve"> teljesítése</w:t>
      </w:r>
      <w:r w:rsidR="00DC6DB2" w:rsidRPr="0031470D">
        <w:rPr>
          <w:rFonts w:ascii="Arial" w:hAnsi="Arial" w:cs="Arial"/>
          <w:sz w:val="22"/>
          <w:szCs w:val="22"/>
        </w:rPr>
        <w:t xml:space="preserve"> tekintetében 5</w:t>
      </w:r>
      <w:r w:rsidR="008D22D4">
        <w:rPr>
          <w:rFonts w:ascii="Arial" w:hAnsi="Arial" w:cs="Arial"/>
          <w:sz w:val="22"/>
          <w:szCs w:val="22"/>
        </w:rPr>
        <w:t>9</w:t>
      </w:r>
      <w:r w:rsidR="00DC6DB2" w:rsidRPr="0031470D">
        <w:rPr>
          <w:rFonts w:ascii="Arial" w:hAnsi="Arial" w:cs="Arial"/>
          <w:sz w:val="22"/>
          <w:szCs w:val="22"/>
        </w:rPr>
        <w:t xml:space="preserve"> %-os</w:t>
      </w:r>
      <w:r w:rsidR="00714DB3" w:rsidRPr="0031470D">
        <w:rPr>
          <w:rFonts w:ascii="Arial" w:hAnsi="Arial" w:cs="Arial"/>
          <w:sz w:val="22"/>
          <w:szCs w:val="22"/>
        </w:rPr>
        <w:t xml:space="preserve"> arányt</w:t>
      </w:r>
      <w:r w:rsidR="00DC6DB2" w:rsidRPr="0031470D">
        <w:rPr>
          <w:rFonts w:ascii="Arial" w:hAnsi="Arial" w:cs="Arial"/>
          <w:sz w:val="22"/>
          <w:szCs w:val="22"/>
        </w:rPr>
        <w:t xml:space="preserve"> realizáltunk</w:t>
      </w:r>
      <w:r w:rsidR="00714DB3" w:rsidRPr="0031470D">
        <w:rPr>
          <w:rFonts w:ascii="Arial" w:hAnsi="Arial" w:cs="Arial"/>
          <w:sz w:val="22"/>
          <w:szCs w:val="22"/>
        </w:rPr>
        <w:t xml:space="preserve"> az éves </w:t>
      </w:r>
      <w:r w:rsidR="00677B59">
        <w:rPr>
          <w:rFonts w:ascii="Arial" w:hAnsi="Arial" w:cs="Arial"/>
          <w:sz w:val="22"/>
          <w:szCs w:val="22"/>
        </w:rPr>
        <w:t xml:space="preserve">módosított </w:t>
      </w:r>
      <w:r w:rsidR="00714DB3" w:rsidRPr="0031470D">
        <w:rPr>
          <w:rFonts w:ascii="Arial" w:hAnsi="Arial" w:cs="Arial"/>
          <w:sz w:val="22"/>
          <w:szCs w:val="22"/>
        </w:rPr>
        <w:t>előirányzathoz képest</w:t>
      </w:r>
      <w:r w:rsidR="00DC6DB2" w:rsidRPr="0031470D">
        <w:rPr>
          <w:rFonts w:ascii="Arial" w:hAnsi="Arial" w:cs="Arial"/>
          <w:sz w:val="22"/>
          <w:szCs w:val="22"/>
        </w:rPr>
        <w:t xml:space="preserve">, míg a </w:t>
      </w:r>
      <w:r w:rsidR="00DC6DB2" w:rsidRPr="0031470D">
        <w:rPr>
          <w:rFonts w:ascii="Arial" w:hAnsi="Arial" w:cs="Arial"/>
          <w:sz w:val="22"/>
          <w:szCs w:val="22"/>
          <w:u w:val="single"/>
        </w:rPr>
        <w:t>finanszírozási bevételek</w:t>
      </w:r>
      <w:r w:rsidR="008D22D4">
        <w:rPr>
          <w:rFonts w:ascii="Arial" w:hAnsi="Arial" w:cs="Arial"/>
          <w:sz w:val="22"/>
          <w:szCs w:val="22"/>
        </w:rPr>
        <w:t xml:space="preserve"> 100%-ban teljesültek. A finanszírozási bevételek között a 2024. évi pénzmaradvány – amelyet a jogszabályi előírásoknak megfelelően els</w:t>
      </w:r>
      <w:r w:rsidR="00EB1AF0">
        <w:rPr>
          <w:rFonts w:ascii="Arial" w:hAnsi="Arial" w:cs="Arial"/>
          <w:sz w:val="22"/>
          <w:szCs w:val="22"/>
        </w:rPr>
        <w:t>ő félévben igénybe kell venni –</w:t>
      </w:r>
      <w:r w:rsidR="008D22D4">
        <w:rPr>
          <w:rFonts w:ascii="Arial" w:hAnsi="Arial" w:cs="Arial"/>
          <w:sz w:val="22"/>
          <w:szCs w:val="22"/>
        </w:rPr>
        <w:t xml:space="preserve"> valamint a likvid hitel </w:t>
      </w:r>
      <w:r w:rsidR="00677B59">
        <w:rPr>
          <w:rFonts w:ascii="Arial" w:hAnsi="Arial" w:cs="Arial"/>
          <w:sz w:val="22"/>
          <w:szCs w:val="22"/>
        </w:rPr>
        <w:t xml:space="preserve"> </w:t>
      </w:r>
      <w:r w:rsidR="008D22D4">
        <w:rPr>
          <w:rFonts w:ascii="Arial" w:hAnsi="Arial" w:cs="Arial"/>
          <w:sz w:val="22"/>
          <w:szCs w:val="22"/>
        </w:rPr>
        <w:t xml:space="preserve">összege található, amely szintén az első félévben került felhasználásra és visszafizetésre. </w:t>
      </w:r>
    </w:p>
    <w:p w14:paraId="2BA5A170" w14:textId="77777777" w:rsidR="00677B59" w:rsidRPr="0031470D" w:rsidRDefault="00677B59" w:rsidP="00980746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</w:p>
    <w:p w14:paraId="1529DCF2" w14:textId="77777777" w:rsidR="0092610C" w:rsidRPr="0031470D" w:rsidRDefault="0092610C" w:rsidP="00980746">
      <w:pPr>
        <w:tabs>
          <w:tab w:val="left" w:pos="851"/>
          <w:tab w:val="decimal" w:pos="6237"/>
        </w:tabs>
        <w:jc w:val="both"/>
        <w:rPr>
          <w:rFonts w:ascii="Arial" w:hAnsi="Arial" w:cs="Arial"/>
          <w:b/>
          <w:sz w:val="22"/>
          <w:szCs w:val="22"/>
        </w:rPr>
      </w:pPr>
      <w:r w:rsidRPr="0031470D">
        <w:rPr>
          <w:rFonts w:ascii="Arial" w:hAnsi="Arial" w:cs="Arial"/>
          <w:b/>
          <w:sz w:val="22"/>
          <w:szCs w:val="22"/>
        </w:rPr>
        <w:t>Költségvetési bevételek</w:t>
      </w:r>
    </w:p>
    <w:p w14:paraId="020DFA9F" w14:textId="77777777" w:rsidR="0092610C" w:rsidRPr="0031470D" w:rsidRDefault="0092610C" w:rsidP="00980746">
      <w:pPr>
        <w:tabs>
          <w:tab w:val="left" w:pos="851"/>
          <w:tab w:val="decimal" w:pos="6237"/>
        </w:tabs>
        <w:jc w:val="both"/>
        <w:rPr>
          <w:rFonts w:ascii="Arial" w:hAnsi="Arial" w:cs="Arial"/>
          <w:b/>
          <w:sz w:val="22"/>
          <w:szCs w:val="22"/>
        </w:rPr>
      </w:pPr>
    </w:p>
    <w:p w14:paraId="6D545CE8" w14:textId="77777777" w:rsidR="0092610C" w:rsidRPr="0031470D" w:rsidRDefault="0092610C" w:rsidP="00980746">
      <w:pPr>
        <w:tabs>
          <w:tab w:val="left" w:pos="851"/>
          <w:tab w:val="decimal" w:pos="6237"/>
        </w:tabs>
        <w:jc w:val="both"/>
        <w:rPr>
          <w:rFonts w:ascii="Arial" w:hAnsi="Arial" w:cs="Arial"/>
          <w:b/>
          <w:sz w:val="22"/>
          <w:szCs w:val="22"/>
        </w:rPr>
      </w:pPr>
      <w:r w:rsidRPr="0031470D">
        <w:rPr>
          <w:rFonts w:ascii="Arial" w:hAnsi="Arial" w:cs="Arial"/>
          <w:b/>
          <w:sz w:val="22"/>
          <w:szCs w:val="22"/>
        </w:rPr>
        <w:t>Támogatások</w:t>
      </w:r>
    </w:p>
    <w:p w14:paraId="587D247F" w14:textId="77777777" w:rsidR="0092610C" w:rsidRPr="0031470D" w:rsidRDefault="0092610C" w:rsidP="00980746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</w:p>
    <w:p w14:paraId="6CDF7406" w14:textId="54BDD7A5" w:rsidR="00C1696A" w:rsidRDefault="003B3D7F" w:rsidP="00980746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F639CF">
        <w:rPr>
          <w:rFonts w:ascii="Arial" w:hAnsi="Arial" w:cs="Arial"/>
          <w:sz w:val="22"/>
          <w:szCs w:val="22"/>
        </w:rPr>
        <w:t xml:space="preserve">z </w:t>
      </w:r>
      <w:r w:rsidR="00F639CF" w:rsidRPr="00F639CF">
        <w:rPr>
          <w:rFonts w:ascii="Arial" w:hAnsi="Arial" w:cs="Arial"/>
          <w:sz w:val="22"/>
          <w:szCs w:val="22"/>
          <w:u w:val="single"/>
        </w:rPr>
        <w:t xml:space="preserve">önkormányzat </w:t>
      </w:r>
      <w:r w:rsidR="00F639CF" w:rsidRPr="003B3D7F">
        <w:rPr>
          <w:rFonts w:ascii="Arial" w:hAnsi="Arial" w:cs="Arial"/>
          <w:sz w:val="22"/>
          <w:szCs w:val="22"/>
          <w:u w:val="single"/>
        </w:rPr>
        <w:t>működési támogatásai</w:t>
      </w:r>
      <w:r w:rsidR="00F639CF" w:rsidRPr="00F639CF">
        <w:rPr>
          <w:rFonts w:ascii="Arial" w:hAnsi="Arial" w:cs="Arial"/>
          <w:sz w:val="22"/>
          <w:szCs w:val="22"/>
          <w:u w:val="single"/>
        </w:rPr>
        <w:t xml:space="preserve"> előirányzat</w:t>
      </w:r>
      <w:r w:rsidR="00F639CF">
        <w:rPr>
          <w:rFonts w:ascii="Arial" w:hAnsi="Arial" w:cs="Arial"/>
          <w:sz w:val="22"/>
          <w:szCs w:val="22"/>
        </w:rPr>
        <w:t xml:space="preserve"> (állami finanszírozás)</w:t>
      </w:r>
      <w:r w:rsidR="00714DB3" w:rsidRPr="0031470D">
        <w:rPr>
          <w:rFonts w:ascii="Arial" w:hAnsi="Arial" w:cs="Arial"/>
          <w:sz w:val="22"/>
          <w:szCs w:val="22"/>
        </w:rPr>
        <w:t xml:space="preserve"> a tervezett üte</w:t>
      </w:r>
      <w:r w:rsidR="00F639CF">
        <w:rPr>
          <w:rFonts w:ascii="Arial" w:hAnsi="Arial" w:cs="Arial"/>
          <w:sz w:val="22"/>
          <w:szCs w:val="22"/>
        </w:rPr>
        <w:t>mezésnek megfelelően teljesült</w:t>
      </w:r>
      <w:r w:rsidR="00714DB3" w:rsidRPr="0031470D">
        <w:rPr>
          <w:rFonts w:ascii="Arial" w:hAnsi="Arial" w:cs="Arial"/>
          <w:sz w:val="22"/>
          <w:szCs w:val="22"/>
        </w:rPr>
        <w:t xml:space="preserve">, az első félévben </w:t>
      </w:r>
      <w:r w:rsidR="00F639CF">
        <w:rPr>
          <w:rFonts w:ascii="Arial" w:hAnsi="Arial" w:cs="Arial"/>
          <w:sz w:val="22"/>
          <w:szCs w:val="22"/>
        </w:rPr>
        <w:t xml:space="preserve">a módosított előirányzat közel </w:t>
      </w:r>
      <w:r w:rsidR="008D22D4">
        <w:rPr>
          <w:rFonts w:ascii="Arial" w:hAnsi="Arial" w:cs="Arial"/>
          <w:sz w:val="22"/>
          <w:szCs w:val="22"/>
        </w:rPr>
        <w:t>53</w:t>
      </w:r>
      <w:r w:rsidR="00355950">
        <w:rPr>
          <w:rFonts w:ascii="Arial" w:hAnsi="Arial" w:cs="Arial"/>
          <w:sz w:val="22"/>
          <w:szCs w:val="22"/>
        </w:rPr>
        <w:t xml:space="preserve"> </w:t>
      </w:r>
      <w:r w:rsidR="00F639CF">
        <w:rPr>
          <w:rFonts w:ascii="Arial" w:hAnsi="Arial" w:cs="Arial"/>
          <w:sz w:val="22"/>
          <w:szCs w:val="22"/>
        </w:rPr>
        <w:t>%-a</w:t>
      </w:r>
      <w:r w:rsidR="00E835CE">
        <w:rPr>
          <w:rFonts w:ascii="Arial" w:hAnsi="Arial" w:cs="Arial"/>
          <w:sz w:val="22"/>
          <w:szCs w:val="22"/>
        </w:rPr>
        <w:t xml:space="preserve"> realizálódott, ami </w:t>
      </w:r>
      <w:r w:rsidR="008D22D4">
        <w:rPr>
          <w:rFonts w:ascii="Arial" w:hAnsi="Arial" w:cs="Arial"/>
          <w:sz w:val="22"/>
          <w:szCs w:val="22"/>
        </w:rPr>
        <w:t>509 378 860</w:t>
      </w:r>
      <w:r w:rsidR="00E835CE">
        <w:rPr>
          <w:rFonts w:ascii="Arial" w:hAnsi="Arial" w:cs="Arial"/>
          <w:sz w:val="22"/>
          <w:szCs w:val="22"/>
        </w:rPr>
        <w:t xml:space="preserve"> Ft-ot tett ki.</w:t>
      </w:r>
      <w:r w:rsidR="00F639CF">
        <w:rPr>
          <w:rFonts w:ascii="Arial" w:hAnsi="Arial" w:cs="Arial"/>
          <w:sz w:val="22"/>
          <w:szCs w:val="22"/>
        </w:rPr>
        <w:t xml:space="preserve"> Az egyes támogatási jogcímeken a finanszírozás alapvetően időarányosan történik, emellett az első félévben </w:t>
      </w:r>
      <w:r w:rsidR="008D22D4">
        <w:rPr>
          <w:rFonts w:ascii="Arial" w:hAnsi="Arial" w:cs="Arial"/>
          <w:sz w:val="22"/>
          <w:szCs w:val="22"/>
        </w:rPr>
        <w:t>2 013 471</w:t>
      </w:r>
      <w:r w:rsidR="00F639CF">
        <w:rPr>
          <w:rFonts w:ascii="Arial" w:hAnsi="Arial" w:cs="Arial"/>
          <w:sz w:val="22"/>
          <w:szCs w:val="22"/>
        </w:rPr>
        <w:t xml:space="preserve"> Ft bevételt értünk el </w:t>
      </w:r>
      <w:r w:rsidR="00355950">
        <w:rPr>
          <w:rFonts w:ascii="Arial" w:hAnsi="Arial" w:cs="Arial"/>
          <w:sz w:val="22"/>
          <w:szCs w:val="22"/>
        </w:rPr>
        <w:t>az előző évi normatív elszámolásból adódó pótlólagos állami támogatás révén.</w:t>
      </w:r>
      <w:r w:rsidR="00797F71">
        <w:rPr>
          <w:rFonts w:ascii="Arial" w:hAnsi="Arial" w:cs="Arial"/>
          <w:sz w:val="22"/>
          <w:szCs w:val="22"/>
        </w:rPr>
        <w:t xml:space="preserve"> </w:t>
      </w:r>
    </w:p>
    <w:p w14:paraId="720D3A7F" w14:textId="77777777" w:rsidR="00355950" w:rsidRPr="0031470D" w:rsidRDefault="00355950" w:rsidP="00980746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</w:p>
    <w:p w14:paraId="2E68CCBF" w14:textId="7EAC242A" w:rsidR="008B1AF2" w:rsidRPr="005F4C2B" w:rsidRDefault="00E835CE" w:rsidP="0063354B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  <w:r w:rsidRPr="005F4C2B">
        <w:rPr>
          <w:rFonts w:ascii="Arial" w:hAnsi="Arial" w:cs="Arial"/>
          <w:sz w:val="22"/>
          <w:szCs w:val="22"/>
          <w:u w:val="single"/>
        </w:rPr>
        <w:t xml:space="preserve">Az egyéb működési </w:t>
      </w:r>
      <w:r w:rsidR="003B3D7F">
        <w:rPr>
          <w:rFonts w:ascii="Arial" w:hAnsi="Arial" w:cs="Arial"/>
          <w:sz w:val="22"/>
          <w:szCs w:val="22"/>
          <w:u w:val="single"/>
        </w:rPr>
        <w:t>célú támogatások</w:t>
      </w:r>
      <w:r w:rsidR="009F5030" w:rsidRPr="005F4C2B">
        <w:rPr>
          <w:rFonts w:ascii="Arial" w:hAnsi="Arial" w:cs="Arial"/>
          <w:sz w:val="22"/>
          <w:szCs w:val="22"/>
          <w:u w:val="single"/>
        </w:rPr>
        <w:t xml:space="preserve"> </w:t>
      </w:r>
      <w:r w:rsidRPr="005F4C2B">
        <w:rPr>
          <w:rFonts w:ascii="Arial" w:hAnsi="Arial" w:cs="Arial"/>
          <w:sz w:val="22"/>
          <w:szCs w:val="22"/>
        </w:rPr>
        <w:t xml:space="preserve">előirányzat </w:t>
      </w:r>
      <w:r w:rsidR="003B3D7F">
        <w:rPr>
          <w:rFonts w:ascii="Arial" w:hAnsi="Arial" w:cs="Arial"/>
          <w:sz w:val="22"/>
          <w:szCs w:val="22"/>
        </w:rPr>
        <w:t xml:space="preserve">bevételei </w:t>
      </w:r>
      <w:r w:rsidR="009F5030" w:rsidRPr="005F4C2B">
        <w:rPr>
          <w:rFonts w:ascii="Arial" w:hAnsi="Arial" w:cs="Arial"/>
          <w:sz w:val="22"/>
          <w:szCs w:val="22"/>
        </w:rPr>
        <w:t>(NEAK, TETT</w:t>
      </w:r>
      <w:r w:rsidR="002B3BF9" w:rsidRPr="005F4C2B">
        <w:rPr>
          <w:rFonts w:ascii="Arial" w:hAnsi="Arial" w:cs="Arial"/>
          <w:sz w:val="22"/>
          <w:szCs w:val="22"/>
        </w:rPr>
        <w:t xml:space="preserve"> működési</w:t>
      </w:r>
      <w:r w:rsidR="009F5030" w:rsidRPr="005F4C2B">
        <w:rPr>
          <w:rFonts w:ascii="Arial" w:hAnsi="Arial" w:cs="Arial"/>
          <w:sz w:val="22"/>
          <w:szCs w:val="22"/>
        </w:rPr>
        <w:t xml:space="preserve">, KÖH </w:t>
      </w:r>
      <w:r w:rsidR="00573743">
        <w:rPr>
          <w:rFonts w:ascii="Arial" w:hAnsi="Arial" w:cs="Arial"/>
          <w:sz w:val="22"/>
          <w:szCs w:val="22"/>
        </w:rPr>
        <w:t>hozzájárulás</w:t>
      </w:r>
      <w:r w:rsidR="0063354B" w:rsidRPr="005F4C2B">
        <w:rPr>
          <w:rFonts w:ascii="Arial" w:hAnsi="Arial" w:cs="Arial"/>
          <w:sz w:val="22"/>
          <w:szCs w:val="22"/>
        </w:rPr>
        <w:t xml:space="preserve"> stb</w:t>
      </w:r>
      <w:r w:rsidR="001F0B76">
        <w:rPr>
          <w:rFonts w:ascii="Arial" w:hAnsi="Arial" w:cs="Arial"/>
          <w:sz w:val="22"/>
          <w:szCs w:val="22"/>
        </w:rPr>
        <w:t>.</w:t>
      </w:r>
      <w:r w:rsidR="009F5030" w:rsidRPr="005F4C2B">
        <w:rPr>
          <w:rFonts w:ascii="Arial" w:hAnsi="Arial" w:cs="Arial"/>
          <w:sz w:val="22"/>
          <w:szCs w:val="22"/>
        </w:rPr>
        <w:t xml:space="preserve">) </w:t>
      </w:r>
      <w:r w:rsidR="008D22D4" w:rsidRPr="005F4C2B">
        <w:rPr>
          <w:rFonts w:ascii="Arial" w:hAnsi="Arial" w:cs="Arial"/>
          <w:sz w:val="22"/>
          <w:szCs w:val="22"/>
        </w:rPr>
        <w:t>80,9</w:t>
      </w:r>
      <w:r w:rsidR="005F4C2B" w:rsidRPr="005F4C2B">
        <w:rPr>
          <w:rFonts w:ascii="Arial" w:hAnsi="Arial" w:cs="Arial"/>
          <w:sz w:val="22"/>
          <w:szCs w:val="22"/>
        </w:rPr>
        <w:t xml:space="preserve"> %-ban teljesült</w:t>
      </w:r>
      <w:r w:rsidR="009F5030" w:rsidRPr="005F4C2B">
        <w:rPr>
          <w:rFonts w:ascii="Arial" w:hAnsi="Arial" w:cs="Arial"/>
          <w:sz w:val="22"/>
          <w:szCs w:val="22"/>
        </w:rPr>
        <w:t xml:space="preserve"> az első félévben.</w:t>
      </w:r>
      <w:r w:rsidR="005F4C2B" w:rsidRPr="005F4C2B">
        <w:rPr>
          <w:rFonts w:ascii="Arial" w:hAnsi="Arial" w:cs="Arial"/>
          <w:sz w:val="22"/>
          <w:szCs w:val="22"/>
        </w:rPr>
        <w:t xml:space="preserve"> Az időarányost jelentősen meghaladó bevétel főként a TETT támogatás</w:t>
      </w:r>
      <w:r w:rsidR="003B3D7F">
        <w:rPr>
          <w:rFonts w:ascii="Arial" w:hAnsi="Arial" w:cs="Arial"/>
          <w:sz w:val="22"/>
          <w:szCs w:val="22"/>
        </w:rPr>
        <w:t xml:space="preserve"> 79 158 000 Ft</w:t>
      </w:r>
      <w:r w:rsidR="005F4C2B" w:rsidRPr="005F4C2B">
        <w:rPr>
          <w:rFonts w:ascii="Arial" w:hAnsi="Arial" w:cs="Arial"/>
          <w:sz w:val="22"/>
          <w:szCs w:val="22"/>
        </w:rPr>
        <w:t>, a TOP Plusz pályázati támogatás</w:t>
      </w:r>
      <w:r w:rsidR="003B3D7F">
        <w:rPr>
          <w:rFonts w:ascii="Arial" w:hAnsi="Arial" w:cs="Arial"/>
          <w:sz w:val="22"/>
          <w:szCs w:val="22"/>
        </w:rPr>
        <w:t xml:space="preserve"> 19 442 315 Ft</w:t>
      </w:r>
      <w:r w:rsidR="005F4C2B" w:rsidRPr="005F4C2B">
        <w:rPr>
          <w:rFonts w:ascii="Arial" w:hAnsi="Arial" w:cs="Arial"/>
          <w:sz w:val="22"/>
          <w:szCs w:val="22"/>
        </w:rPr>
        <w:t xml:space="preserve">, és a Tanuszoda </w:t>
      </w:r>
      <w:r w:rsidR="003B3D7F">
        <w:rPr>
          <w:rFonts w:ascii="Arial" w:hAnsi="Arial" w:cs="Arial"/>
          <w:sz w:val="22"/>
          <w:szCs w:val="22"/>
        </w:rPr>
        <w:t xml:space="preserve">50 000 000 Ft </w:t>
      </w:r>
      <w:r w:rsidR="005F4C2B" w:rsidRPr="005F4C2B">
        <w:rPr>
          <w:rFonts w:ascii="Arial" w:hAnsi="Arial" w:cs="Arial"/>
          <w:sz w:val="22"/>
          <w:szCs w:val="22"/>
        </w:rPr>
        <w:t xml:space="preserve">működési támogatásának köszönhető. </w:t>
      </w:r>
      <w:r w:rsidR="009F5030" w:rsidRPr="005F4C2B">
        <w:rPr>
          <w:rFonts w:ascii="Arial" w:hAnsi="Arial" w:cs="Arial"/>
          <w:sz w:val="22"/>
          <w:szCs w:val="22"/>
        </w:rPr>
        <w:t xml:space="preserve"> </w:t>
      </w:r>
      <w:r w:rsidR="0063354B" w:rsidRPr="005F4C2B">
        <w:rPr>
          <w:rFonts w:ascii="Arial" w:hAnsi="Arial" w:cs="Arial"/>
          <w:sz w:val="22"/>
          <w:szCs w:val="22"/>
        </w:rPr>
        <w:t>A háziorvosi kör</w:t>
      </w:r>
      <w:r w:rsidR="003B3D7F">
        <w:rPr>
          <w:rFonts w:ascii="Arial" w:hAnsi="Arial" w:cs="Arial"/>
          <w:sz w:val="22"/>
          <w:szCs w:val="22"/>
        </w:rPr>
        <w:t>z</w:t>
      </w:r>
      <w:r w:rsidR="0063354B" w:rsidRPr="005F4C2B">
        <w:rPr>
          <w:rFonts w:ascii="Arial" w:hAnsi="Arial" w:cs="Arial"/>
          <w:sz w:val="22"/>
          <w:szCs w:val="22"/>
        </w:rPr>
        <w:t xml:space="preserve">et működtetésére </w:t>
      </w:r>
      <w:r w:rsidR="00797F71" w:rsidRPr="005F4C2B">
        <w:rPr>
          <w:rFonts w:ascii="Arial" w:hAnsi="Arial" w:cs="Arial"/>
          <w:sz w:val="22"/>
          <w:szCs w:val="22"/>
        </w:rPr>
        <w:t xml:space="preserve">az éves előirányzat időarányos részeként </w:t>
      </w:r>
      <w:r w:rsidR="00362DFA" w:rsidRPr="005F4C2B">
        <w:rPr>
          <w:rFonts w:ascii="Arial" w:hAnsi="Arial" w:cs="Arial"/>
          <w:sz w:val="22"/>
          <w:szCs w:val="22"/>
        </w:rPr>
        <w:t>24 210 300</w:t>
      </w:r>
      <w:r w:rsidR="0063354B" w:rsidRPr="005F4C2B">
        <w:rPr>
          <w:rFonts w:ascii="Arial" w:hAnsi="Arial" w:cs="Arial"/>
          <w:sz w:val="22"/>
          <w:szCs w:val="22"/>
        </w:rPr>
        <w:t xml:space="preserve"> Ft, a közfoglalkoztatásra </w:t>
      </w:r>
      <w:r w:rsidR="00362DFA" w:rsidRPr="005F4C2B">
        <w:rPr>
          <w:rFonts w:ascii="Arial" w:hAnsi="Arial" w:cs="Arial"/>
          <w:sz w:val="22"/>
          <w:szCs w:val="22"/>
        </w:rPr>
        <w:t>5 254 500</w:t>
      </w:r>
      <w:r w:rsidR="0063354B" w:rsidRPr="005F4C2B">
        <w:rPr>
          <w:rFonts w:ascii="Arial" w:hAnsi="Arial" w:cs="Arial"/>
          <w:sz w:val="22"/>
          <w:szCs w:val="22"/>
        </w:rPr>
        <w:t xml:space="preserve"> Ft</w:t>
      </w:r>
      <w:r w:rsidR="00797F71" w:rsidRPr="005F4C2B">
        <w:rPr>
          <w:rFonts w:ascii="Arial" w:hAnsi="Arial" w:cs="Arial"/>
          <w:sz w:val="22"/>
          <w:szCs w:val="22"/>
        </w:rPr>
        <w:t xml:space="preserve"> állt rendelkezésre az első félév végéig.</w:t>
      </w:r>
      <w:r w:rsidR="00650AC1" w:rsidRPr="005F4C2B">
        <w:rPr>
          <w:rFonts w:ascii="Arial" w:hAnsi="Arial" w:cs="Arial"/>
          <w:sz w:val="22"/>
          <w:szCs w:val="22"/>
        </w:rPr>
        <w:t xml:space="preserve"> </w:t>
      </w:r>
    </w:p>
    <w:p w14:paraId="17A39437" w14:textId="11597034" w:rsidR="00986FC4" w:rsidRDefault="00362DFA" w:rsidP="0063354B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  <w:r w:rsidRPr="00C90B7B">
        <w:rPr>
          <w:rFonts w:ascii="Arial" w:hAnsi="Arial" w:cs="Arial"/>
          <w:sz w:val="22"/>
          <w:szCs w:val="22"/>
        </w:rPr>
        <w:t>A 2024</w:t>
      </w:r>
      <w:r w:rsidR="008B1AF2" w:rsidRPr="00C90B7B">
        <w:rPr>
          <w:rFonts w:ascii="Arial" w:hAnsi="Arial" w:cs="Arial"/>
          <w:sz w:val="22"/>
          <w:szCs w:val="22"/>
        </w:rPr>
        <w:t xml:space="preserve">. évi társulási pénzügyi elszámolásokból </w:t>
      </w:r>
      <w:r w:rsidRPr="00C90B7B">
        <w:rPr>
          <w:rFonts w:ascii="Arial" w:hAnsi="Arial" w:cs="Arial"/>
          <w:sz w:val="22"/>
          <w:szCs w:val="22"/>
        </w:rPr>
        <w:t>16 056 182</w:t>
      </w:r>
      <w:r w:rsidR="008B1AF2" w:rsidRPr="00C90B7B">
        <w:rPr>
          <w:rFonts w:ascii="Arial" w:hAnsi="Arial" w:cs="Arial"/>
          <w:sz w:val="22"/>
          <w:szCs w:val="22"/>
        </w:rPr>
        <w:t xml:space="preserve"> Ft</w:t>
      </w:r>
      <w:r w:rsidR="003B3D7F" w:rsidRPr="00C90B7B">
        <w:rPr>
          <w:rFonts w:ascii="Arial" w:hAnsi="Arial" w:cs="Arial"/>
          <w:sz w:val="22"/>
          <w:szCs w:val="22"/>
        </w:rPr>
        <w:t xml:space="preserve"> bevétel</w:t>
      </w:r>
      <w:r w:rsidR="00986FC4">
        <w:rPr>
          <w:rFonts w:ascii="Arial" w:hAnsi="Arial" w:cs="Arial"/>
          <w:sz w:val="22"/>
          <w:szCs w:val="22"/>
        </w:rPr>
        <w:t>t</w:t>
      </w:r>
      <w:r w:rsidR="003B3D7F" w:rsidRPr="00C90B7B">
        <w:rPr>
          <w:rFonts w:ascii="Arial" w:hAnsi="Arial" w:cs="Arial"/>
          <w:sz w:val="22"/>
          <w:szCs w:val="22"/>
        </w:rPr>
        <w:t>, a</w:t>
      </w:r>
      <w:r w:rsidR="005F4C2B" w:rsidRPr="00C90B7B">
        <w:rPr>
          <w:rFonts w:ascii="Arial" w:hAnsi="Arial" w:cs="Arial"/>
          <w:sz w:val="22"/>
          <w:szCs w:val="22"/>
        </w:rPr>
        <w:t xml:space="preserve">z időközi országgyűlési választásokra 55 076 Ft pótlólagosan igényelt </w:t>
      </w:r>
      <w:r w:rsidR="003B3D7F" w:rsidRPr="00C90B7B">
        <w:rPr>
          <w:rFonts w:ascii="Arial" w:hAnsi="Arial" w:cs="Arial"/>
          <w:sz w:val="22"/>
          <w:szCs w:val="22"/>
        </w:rPr>
        <w:t>támogatás</w:t>
      </w:r>
      <w:r w:rsidR="00986FC4">
        <w:rPr>
          <w:rFonts w:ascii="Arial" w:hAnsi="Arial" w:cs="Arial"/>
          <w:sz w:val="22"/>
          <w:szCs w:val="22"/>
        </w:rPr>
        <w:t>t kapott az Önkormányzat.</w:t>
      </w:r>
    </w:p>
    <w:p w14:paraId="5CFAD2C8" w14:textId="4D109CBA" w:rsidR="005F4C2B" w:rsidRPr="005F4C2B" w:rsidRDefault="005F4C2B" w:rsidP="0063354B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  <w:r w:rsidRPr="00C90B7B">
        <w:rPr>
          <w:rFonts w:ascii="Arial" w:hAnsi="Arial" w:cs="Arial"/>
          <w:sz w:val="22"/>
          <w:szCs w:val="22"/>
        </w:rPr>
        <w:t>A Közös Hivatal működtetésére tervezett bevétel</w:t>
      </w:r>
      <w:r w:rsidR="003B3D7F" w:rsidRPr="00C90B7B">
        <w:rPr>
          <w:rFonts w:ascii="Arial" w:hAnsi="Arial" w:cs="Arial"/>
          <w:sz w:val="22"/>
          <w:szCs w:val="22"/>
        </w:rPr>
        <w:t>ből 19 737 728 Ft összeg</w:t>
      </w:r>
      <w:r w:rsidRPr="00C90B7B">
        <w:rPr>
          <w:rFonts w:ascii="Arial" w:hAnsi="Arial" w:cs="Arial"/>
          <w:sz w:val="22"/>
          <w:szCs w:val="22"/>
        </w:rPr>
        <w:t xml:space="preserve"> teljesült. </w:t>
      </w:r>
    </w:p>
    <w:p w14:paraId="21BD4B10" w14:textId="718184A5" w:rsidR="00362DFA" w:rsidRPr="0031470D" w:rsidRDefault="00362DFA" w:rsidP="0063354B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</w:p>
    <w:p w14:paraId="20043B22" w14:textId="5B5D7D8F" w:rsidR="00FA05FB" w:rsidRDefault="009F5030" w:rsidP="00473B71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  <w:r w:rsidRPr="0031470D">
        <w:rPr>
          <w:rFonts w:ascii="Arial" w:hAnsi="Arial" w:cs="Arial"/>
          <w:sz w:val="22"/>
          <w:szCs w:val="22"/>
          <w:u w:val="single"/>
        </w:rPr>
        <w:t>Felhalmozási célú támogatások államháztartáson belülről</w:t>
      </w:r>
      <w:r w:rsidRPr="0031470D">
        <w:rPr>
          <w:rFonts w:ascii="Arial" w:hAnsi="Arial" w:cs="Arial"/>
          <w:sz w:val="22"/>
          <w:szCs w:val="22"/>
        </w:rPr>
        <w:t xml:space="preserve"> </w:t>
      </w:r>
      <w:r w:rsidR="00277BE8">
        <w:rPr>
          <w:rFonts w:ascii="Arial" w:hAnsi="Arial" w:cs="Arial"/>
          <w:sz w:val="22"/>
          <w:szCs w:val="22"/>
        </w:rPr>
        <w:t xml:space="preserve">jogcím módosított </w:t>
      </w:r>
      <w:r w:rsidR="006D0DDD">
        <w:rPr>
          <w:rFonts w:ascii="Arial" w:hAnsi="Arial" w:cs="Arial"/>
          <w:sz w:val="22"/>
          <w:szCs w:val="22"/>
        </w:rPr>
        <w:t>előirányzat</w:t>
      </w:r>
      <w:r w:rsidR="00277BE8">
        <w:rPr>
          <w:rFonts w:ascii="Arial" w:hAnsi="Arial" w:cs="Arial"/>
          <w:sz w:val="22"/>
          <w:szCs w:val="22"/>
        </w:rPr>
        <w:t>a</w:t>
      </w:r>
      <w:r w:rsidR="002B3BF9" w:rsidRPr="0031470D">
        <w:rPr>
          <w:rFonts w:ascii="Arial" w:hAnsi="Arial" w:cs="Arial"/>
          <w:sz w:val="22"/>
          <w:szCs w:val="22"/>
        </w:rPr>
        <w:t xml:space="preserve"> </w:t>
      </w:r>
      <w:r w:rsidR="00FA05FB">
        <w:rPr>
          <w:rFonts w:ascii="Arial" w:hAnsi="Arial" w:cs="Arial"/>
          <w:sz w:val="22"/>
          <w:szCs w:val="22"/>
        </w:rPr>
        <w:t>273 739 249</w:t>
      </w:r>
      <w:r w:rsidR="0081259B">
        <w:rPr>
          <w:rFonts w:ascii="Arial" w:hAnsi="Arial" w:cs="Arial"/>
          <w:sz w:val="22"/>
          <w:szCs w:val="22"/>
        </w:rPr>
        <w:t xml:space="preserve"> </w:t>
      </w:r>
      <w:r w:rsidR="00E23801">
        <w:rPr>
          <w:rFonts w:ascii="Arial" w:hAnsi="Arial" w:cs="Arial"/>
          <w:sz w:val="22"/>
          <w:szCs w:val="22"/>
        </w:rPr>
        <w:t xml:space="preserve">Ft, </w:t>
      </w:r>
      <w:r w:rsidR="00FA05FB">
        <w:rPr>
          <w:rFonts w:ascii="Arial" w:hAnsi="Arial" w:cs="Arial"/>
          <w:sz w:val="22"/>
          <w:szCs w:val="22"/>
        </w:rPr>
        <w:t xml:space="preserve">amely </w:t>
      </w:r>
      <w:r w:rsidR="003B3D7F">
        <w:rPr>
          <w:rFonts w:ascii="Arial" w:hAnsi="Arial" w:cs="Arial"/>
          <w:sz w:val="22"/>
          <w:szCs w:val="22"/>
        </w:rPr>
        <w:t>bevétele 85,6 % mértéknek megfelelően 234 377 044 Ft összeggel teljesült.</w:t>
      </w:r>
      <w:r w:rsidR="00FA05FB">
        <w:rPr>
          <w:rFonts w:ascii="Arial" w:hAnsi="Arial" w:cs="Arial"/>
          <w:sz w:val="22"/>
          <w:szCs w:val="22"/>
        </w:rPr>
        <w:t xml:space="preserve"> A TOP Plusz pályázati forrásból a Konyha és a Bezerédj u. felújításához kapcsolódóan 228 940 944 Ft támogatási összeg folyt be. A Tolna Vármegyei Önkormányzat 3 136 100 Ft fejlesztési támogatást nyújtott, a Számvevőségi épület felújításának II. ütemének II. részlete is realizálódott bevételként az Önkormányzat számláján. </w:t>
      </w:r>
    </w:p>
    <w:p w14:paraId="5BCE11F5" w14:textId="7CA2655B" w:rsidR="005124A2" w:rsidRPr="0031470D" w:rsidRDefault="002B3BF9" w:rsidP="00980746">
      <w:pPr>
        <w:pStyle w:val="Cmsor1"/>
        <w:rPr>
          <w:rFonts w:ascii="Arial" w:hAnsi="Arial" w:cs="Arial"/>
          <w:color w:val="auto"/>
          <w:sz w:val="22"/>
          <w:szCs w:val="22"/>
        </w:rPr>
      </w:pPr>
      <w:r w:rsidRPr="0031470D">
        <w:rPr>
          <w:rFonts w:ascii="Arial" w:hAnsi="Arial" w:cs="Arial"/>
          <w:color w:val="auto"/>
          <w:sz w:val="22"/>
          <w:szCs w:val="22"/>
          <w:lang w:val="hu-HU"/>
        </w:rPr>
        <w:t>S</w:t>
      </w:r>
      <w:r w:rsidR="005124A2" w:rsidRPr="0031470D">
        <w:rPr>
          <w:rFonts w:ascii="Arial" w:hAnsi="Arial" w:cs="Arial"/>
          <w:color w:val="auto"/>
          <w:sz w:val="22"/>
          <w:szCs w:val="22"/>
        </w:rPr>
        <w:t>a</w:t>
      </w:r>
      <w:r w:rsidR="0092610C" w:rsidRPr="0031470D">
        <w:rPr>
          <w:rFonts w:ascii="Arial" w:hAnsi="Arial" w:cs="Arial"/>
          <w:color w:val="auto"/>
          <w:sz w:val="22"/>
          <w:szCs w:val="22"/>
          <w:lang w:val="hu-HU"/>
        </w:rPr>
        <w:t>j</w:t>
      </w:r>
      <w:r w:rsidR="005124A2" w:rsidRPr="0031470D">
        <w:rPr>
          <w:rFonts w:ascii="Arial" w:hAnsi="Arial" w:cs="Arial"/>
          <w:color w:val="auto"/>
          <w:sz w:val="22"/>
          <w:szCs w:val="22"/>
        </w:rPr>
        <w:t>át bevételek</w:t>
      </w:r>
    </w:p>
    <w:p w14:paraId="0B93D73F" w14:textId="77777777" w:rsidR="005124A2" w:rsidRPr="0031470D" w:rsidRDefault="005124A2" w:rsidP="00980746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</w:p>
    <w:p w14:paraId="41B54D4D" w14:textId="32BF2F73" w:rsidR="0088446D" w:rsidRPr="00686B3F" w:rsidRDefault="0033255F" w:rsidP="0088446D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  <w:r w:rsidRPr="0031470D">
        <w:rPr>
          <w:rFonts w:ascii="Arial" w:hAnsi="Arial" w:cs="Arial"/>
          <w:sz w:val="22"/>
          <w:szCs w:val="22"/>
        </w:rPr>
        <w:t xml:space="preserve">A saját bevételeken belül a legnagyobb mértékű forrást jelentő </w:t>
      </w:r>
      <w:r w:rsidRPr="0031470D">
        <w:rPr>
          <w:rFonts w:ascii="Arial" w:hAnsi="Arial" w:cs="Arial"/>
          <w:sz w:val="22"/>
          <w:szCs w:val="22"/>
          <w:u w:val="single"/>
        </w:rPr>
        <w:t>k</w:t>
      </w:r>
      <w:r w:rsidR="002B3BF9" w:rsidRPr="0031470D">
        <w:rPr>
          <w:rFonts w:ascii="Arial" w:hAnsi="Arial" w:cs="Arial"/>
          <w:sz w:val="22"/>
          <w:szCs w:val="22"/>
          <w:u w:val="single"/>
        </w:rPr>
        <w:t>özhatalmi bevételeink</w:t>
      </w:r>
      <w:r w:rsidR="002B3BF9" w:rsidRPr="0031470D">
        <w:rPr>
          <w:rFonts w:ascii="Arial" w:hAnsi="Arial" w:cs="Arial"/>
          <w:sz w:val="22"/>
          <w:szCs w:val="22"/>
        </w:rPr>
        <w:t xml:space="preserve"> tervezésén</w:t>
      </w:r>
      <w:r w:rsidR="0088446D" w:rsidRPr="0031470D">
        <w:rPr>
          <w:rFonts w:ascii="Arial" w:hAnsi="Arial" w:cs="Arial"/>
          <w:sz w:val="22"/>
          <w:szCs w:val="22"/>
        </w:rPr>
        <w:t>él az év elején 32 millió Ft került számbavételre magánszemélyek ko</w:t>
      </w:r>
      <w:r w:rsidR="00A715E2">
        <w:rPr>
          <w:rFonts w:ascii="Arial" w:hAnsi="Arial" w:cs="Arial"/>
          <w:sz w:val="22"/>
          <w:szCs w:val="22"/>
        </w:rPr>
        <w:t xml:space="preserve">mmunális adója címen. </w:t>
      </w:r>
      <w:r w:rsidR="000D0ADF" w:rsidRPr="00686B3F">
        <w:rPr>
          <w:rFonts w:ascii="Arial" w:hAnsi="Arial" w:cs="Arial"/>
          <w:sz w:val="22"/>
          <w:szCs w:val="22"/>
        </w:rPr>
        <w:t>Az első félév</w:t>
      </w:r>
      <w:r w:rsidR="00686B3F">
        <w:rPr>
          <w:rFonts w:ascii="Arial" w:hAnsi="Arial" w:cs="Arial"/>
          <w:sz w:val="22"/>
          <w:szCs w:val="22"/>
        </w:rPr>
        <w:t>ben</w:t>
      </w:r>
      <w:r w:rsidR="00A715E2">
        <w:rPr>
          <w:rFonts w:ascii="Arial" w:hAnsi="Arial" w:cs="Arial"/>
          <w:sz w:val="22"/>
          <w:szCs w:val="22"/>
        </w:rPr>
        <w:t xml:space="preserve"> </w:t>
      </w:r>
      <w:r w:rsidR="00C90B7B">
        <w:rPr>
          <w:rFonts w:ascii="Arial" w:hAnsi="Arial" w:cs="Arial"/>
          <w:sz w:val="22"/>
          <w:szCs w:val="22"/>
        </w:rPr>
        <w:t xml:space="preserve">ebből </w:t>
      </w:r>
      <w:r w:rsidR="00FA05FB">
        <w:rPr>
          <w:rFonts w:ascii="Arial" w:hAnsi="Arial" w:cs="Arial"/>
          <w:sz w:val="22"/>
          <w:szCs w:val="22"/>
        </w:rPr>
        <w:t>15 957 311</w:t>
      </w:r>
      <w:r w:rsidR="000D0ADF" w:rsidRPr="00686B3F">
        <w:rPr>
          <w:rFonts w:ascii="Arial" w:hAnsi="Arial" w:cs="Arial"/>
          <w:sz w:val="22"/>
          <w:szCs w:val="22"/>
        </w:rPr>
        <w:t xml:space="preserve"> Ft </w:t>
      </w:r>
      <w:r w:rsidR="00FA05FB">
        <w:rPr>
          <w:rFonts w:ascii="Arial" w:hAnsi="Arial" w:cs="Arial"/>
          <w:sz w:val="22"/>
          <w:szCs w:val="22"/>
        </w:rPr>
        <w:t>folyt be az Ö</w:t>
      </w:r>
      <w:r w:rsidR="00686B3F" w:rsidRPr="00686B3F">
        <w:rPr>
          <w:rFonts w:ascii="Arial" w:hAnsi="Arial" w:cs="Arial"/>
          <w:sz w:val="22"/>
          <w:szCs w:val="22"/>
        </w:rPr>
        <w:t>nkormányzathoz</w:t>
      </w:r>
      <w:r w:rsidR="00A715E2">
        <w:rPr>
          <w:rFonts w:ascii="Arial" w:hAnsi="Arial" w:cs="Arial"/>
          <w:sz w:val="22"/>
          <w:szCs w:val="22"/>
        </w:rPr>
        <w:t>, ami a</w:t>
      </w:r>
      <w:r w:rsidR="007F5336">
        <w:rPr>
          <w:rFonts w:ascii="Arial" w:hAnsi="Arial" w:cs="Arial"/>
          <w:sz w:val="22"/>
          <w:szCs w:val="22"/>
        </w:rPr>
        <w:t xml:space="preserve">z </w:t>
      </w:r>
      <w:r w:rsidR="00A715E2">
        <w:rPr>
          <w:rFonts w:ascii="Arial" w:hAnsi="Arial" w:cs="Arial"/>
          <w:sz w:val="22"/>
          <w:szCs w:val="22"/>
        </w:rPr>
        <w:t xml:space="preserve">előirányzathoz képest </w:t>
      </w:r>
      <w:r w:rsidR="007F5336">
        <w:rPr>
          <w:rFonts w:ascii="Arial" w:hAnsi="Arial" w:cs="Arial"/>
          <w:sz w:val="22"/>
          <w:szCs w:val="22"/>
        </w:rPr>
        <w:t xml:space="preserve">közel </w:t>
      </w:r>
      <w:r w:rsidR="00FA05FB">
        <w:rPr>
          <w:rFonts w:ascii="Arial" w:hAnsi="Arial" w:cs="Arial"/>
          <w:sz w:val="22"/>
          <w:szCs w:val="22"/>
        </w:rPr>
        <w:t>49,8</w:t>
      </w:r>
      <w:r w:rsidR="00A715E2">
        <w:rPr>
          <w:rFonts w:ascii="Arial" w:hAnsi="Arial" w:cs="Arial"/>
          <w:sz w:val="22"/>
          <w:szCs w:val="22"/>
        </w:rPr>
        <w:t xml:space="preserve"> %-os teljesítést jelent.</w:t>
      </w:r>
    </w:p>
    <w:p w14:paraId="069417AC" w14:textId="77777777" w:rsidR="009035D2" w:rsidRPr="0031470D" w:rsidRDefault="009035D2" w:rsidP="0088446D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</w:p>
    <w:p w14:paraId="63634C67" w14:textId="15E5E46C" w:rsidR="0088446D" w:rsidRDefault="00A715E2" w:rsidP="00BE4E7E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88446D" w:rsidRPr="0031470D">
        <w:rPr>
          <w:rFonts w:ascii="Arial" w:hAnsi="Arial" w:cs="Arial"/>
          <w:sz w:val="22"/>
          <w:szCs w:val="22"/>
        </w:rPr>
        <w:t>parűzési adó</w:t>
      </w:r>
      <w:r w:rsidR="00EF5AC3">
        <w:rPr>
          <w:rFonts w:ascii="Arial" w:hAnsi="Arial" w:cs="Arial"/>
          <w:sz w:val="22"/>
          <w:szCs w:val="22"/>
        </w:rPr>
        <w:t xml:space="preserve">bevételként </w:t>
      </w:r>
      <w:r w:rsidR="00FA05FB">
        <w:rPr>
          <w:rFonts w:ascii="Arial" w:hAnsi="Arial" w:cs="Arial"/>
          <w:sz w:val="22"/>
          <w:szCs w:val="22"/>
        </w:rPr>
        <w:t xml:space="preserve">425 </w:t>
      </w:r>
      <w:r w:rsidR="00B61A4C" w:rsidRPr="0031470D">
        <w:rPr>
          <w:rFonts w:ascii="Arial" w:hAnsi="Arial" w:cs="Arial"/>
          <w:sz w:val="22"/>
          <w:szCs w:val="22"/>
        </w:rPr>
        <w:t>millió Ft-ot te</w:t>
      </w:r>
      <w:r w:rsidR="00EF5AC3">
        <w:rPr>
          <w:rFonts w:ascii="Arial" w:hAnsi="Arial" w:cs="Arial"/>
          <w:sz w:val="22"/>
          <w:szCs w:val="22"/>
        </w:rPr>
        <w:t>rveztünk az előző évi teljesítési adatok alapján.</w:t>
      </w:r>
      <w:r w:rsidR="00C90B7B">
        <w:rPr>
          <w:rFonts w:ascii="Arial" w:hAnsi="Arial" w:cs="Arial"/>
          <w:sz w:val="22"/>
          <w:szCs w:val="22"/>
        </w:rPr>
        <w:t xml:space="preserve"> E</w:t>
      </w:r>
      <w:r w:rsidR="00920E39">
        <w:rPr>
          <w:rFonts w:ascii="Arial" w:hAnsi="Arial" w:cs="Arial"/>
          <w:sz w:val="22"/>
          <w:szCs w:val="22"/>
        </w:rPr>
        <w:t>lső félévi teljesítés</w:t>
      </w:r>
      <w:r w:rsidR="0094536C">
        <w:rPr>
          <w:rFonts w:ascii="Arial" w:hAnsi="Arial" w:cs="Arial"/>
          <w:sz w:val="22"/>
          <w:szCs w:val="22"/>
        </w:rPr>
        <w:t>ként</w:t>
      </w:r>
      <w:r>
        <w:rPr>
          <w:rFonts w:ascii="Arial" w:hAnsi="Arial" w:cs="Arial"/>
          <w:sz w:val="22"/>
          <w:szCs w:val="22"/>
        </w:rPr>
        <w:t xml:space="preserve"> </w:t>
      </w:r>
      <w:r w:rsidR="00FA05FB">
        <w:rPr>
          <w:rFonts w:ascii="Arial" w:hAnsi="Arial" w:cs="Arial"/>
          <w:sz w:val="22"/>
          <w:szCs w:val="22"/>
        </w:rPr>
        <w:t>238 628 718</w:t>
      </w:r>
      <w:r w:rsidR="0094536C">
        <w:rPr>
          <w:rFonts w:ascii="Arial" w:hAnsi="Arial" w:cs="Arial"/>
          <w:sz w:val="22"/>
          <w:szCs w:val="22"/>
        </w:rPr>
        <w:t xml:space="preserve"> Ft realizálódott, ami az előirányzat </w:t>
      </w:r>
      <w:r w:rsidR="00FA05FB">
        <w:rPr>
          <w:rFonts w:ascii="Arial" w:hAnsi="Arial" w:cs="Arial"/>
          <w:sz w:val="22"/>
          <w:szCs w:val="22"/>
        </w:rPr>
        <w:t>56,1</w:t>
      </w:r>
      <w:r w:rsidR="0094536C">
        <w:rPr>
          <w:rFonts w:ascii="Arial" w:hAnsi="Arial" w:cs="Arial"/>
          <w:sz w:val="22"/>
          <w:szCs w:val="22"/>
        </w:rPr>
        <w:t xml:space="preserve"> %-a. </w:t>
      </w:r>
    </w:p>
    <w:p w14:paraId="05CFCEB8" w14:textId="77777777" w:rsidR="00BE4E7E" w:rsidRPr="00BE4E7E" w:rsidRDefault="00BE4E7E" w:rsidP="00BE4E7E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</w:p>
    <w:p w14:paraId="7376E58E" w14:textId="72D5D5CD" w:rsidR="0033255F" w:rsidRPr="0031470D" w:rsidRDefault="0033255F" w:rsidP="0088446D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  <w:r w:rsidRPr="0031470D">
        <w:rPr>
          <w:rFonts w:ascii="Arial" w:hAnsi="Arial" w:cs="Arial"/>
          <w:sz w:val="22"/>
          <w:szCs w:val="22"/>
        </w:rPr>
        <w:lastRenderedPageBreak/>
        <w:t xml:space="preserve">Talajterhelési díjként </w:t>
      </w:r>
      <w:r w:rsidR="00FA05FB">
        <w:rPr>
          <w:rFonts w:ascii="Arial" w:hAnsi="Arial" w:cs="Arial"/>
          <w:sz w:val="22"/>
          <w:szCs w:val="22"/>
        </w:rPr>
        <w:t>3</w:t>
      </w:r>
      <w:r w:rsidRPr="0031470D">
        <w:rPr>
          <w:rFonts w:ascii="Arial" w:hAnsi="Arial" w:cs="Arial"/>
          <w:sz w:val="22"/>
          <w:szCs w:val="22"/>
        </w:rPr>
        <w:t xml:space="preserve">00 000 Ft, egyéb közhatalmi bevételként </w:t>
      </w:r>
      <w:r w:rsidR="00A620A9" w:rsidRPr="0031470D">
        <w:rPr>
          <w:rFonts w:ascii="Arial" w:hAnsi="Arial" w:cs="Arial"/>
          <w:sz w:val="22"/>
          <w:szCs w:val="22"/>
        </w:rPr>
        <w:t xml:space="preserve">(pótlék, bírság) </w:t>
      </w:r>
      <w:r w:rsidR="0094536C">
        <w:rPr>
          <w:rFonts w:ascii="Arial" w:hAnsi="Arial" w:cs="Arial"/>
          <w:sz w:val="22"/>
          <w:szCs w:val="22"/>
        </w:rPr>
        <w:t>2</w:t>
      </w:r>
      <w:r w:rsidR="00FA05FB">
        <w:rPr>
          <w:rFonts w:ascii="Arial" w:hAnsi="Arial" w:cs="Arial"/>
          <w:sz w:val="22"/>
          <w:szCs w:val="22"/>
        </w:rPr>
        <w:t> 3</w:t>
      </w:r>
      <w:r w:rsidRPr="0031470D">
        <w:rPr>
          <w:rFonts w:ascii="Arial" w:hAnsi="Arial" w:cs="Arial"/>
          <w:sz w:val="22"/>
          <w:szCs w:val="22"/>
        </w:rPr>
        <w:t>00 000 Ft forrással számoltunk</w:t>
      </w:r>
      <w:r w:rsidR="00686B3F">
        <w:rPr>
          <w:rFonts w:ascii="Arial" w:hAnsi="Arial" w:cs="Arial"/>
          <w:sz w:val="22"/>
          <w:szCs w:val="22"/>
        </w:rPr>
        <w:t xml:space="preserve">, melyből </w:t>
      </w:r>
      <w:r w:rsidR="00FA05FB">
        <w:rPr>
          <w:rFonts w:ascii="Arial" w:hAnsi="Arial" w:cs="Arial"/>
          <w:sz w:val="22"/>
          <w:szCs w:val="22"/>
        </w:rPr>
        <w:t>264 300</w:t>
      </w:r>
      <w:r w:rsidR="00686B3F">
        <w:rPr>
          <w:rFonts w:ascii="Arial" w:hAnsi="Arial" w:cs="Arial"/>
          <w:sz w:val="22"/>
          <w:szCs w:val="22"/>
        </w:rPr>
        <w:t xml:space="preserve"> Ft teljesült a talajterhelési díj tekintetében, míg egyé</w:t>
      </w:r>
      <w:r w:rsidR="004C17F6">
        <w:rPr>
          <w:rFonts w:ascii="Arial" w:hAnsi="Arial" w:cs="Arial"/>
          <w:sz w:val="22"/>
          <w:szCs w:val="22"/>
        </w:rPr>
        <w:t xml:space="preserve">b közhatalmi bevételként </w:t>
      </w:r>
      <w:r w:rsidR="00FA05FB">
        <w:rPr>
          <w:rFonts w:ascii="Arial" w:hAnsi="Arial" w:cs="Arial"/>
          <w:sz w:val="22"/>
          <w:szCs w:val="22"/>
        </w:rPr>
        <w:t>687 629</w:t>
      </w:r>
      <w:r w:rsidR="00686B3F">
        <w:rPr>
          <w:rFonts w:ascii="Arial" w:hAnsi="Arial" w:cs="Arial"/>
          <w:sz w:val="22"/>
          <w:szCs w:val="22"/>
        </w:rPr>
        <w:t xml:space="preserve"> Ft folyt be az első félévben.</w:t>
      </w:r>
    </w:p>
    <w:p w14:paraId="33516622" w14:textId="77777777" w:rsidR="00B61A4C" w:rsidRPr="0031470D" w:rsidRDefault="00B61A4C" w:rsidP="0088446D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</w:p>
    <w:p w14:paraId="54C7EF68" w14:textId="16EC0DE0" w:rsidR="002B3BF9" w:rsidRPr="0031470D" w:rsidRDefault="007B6CC9" w:rsidP="0088446D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Összességében a k</w:t>
      </w:r>
      <w:r w:rsidR="00C1696A" w:rsidRPr="0031470D">
        <w:rPr>
          <w:rFonts w:ascii="Arial" w:hAnsi="Arial" w:cs="Arial"/>
          <w:sz w:val="22"/>
          <w:szCs w:val="22"/>
        </w:rPr>
        <w:t>özhatalmi bevételeink a</w:t>
      </w:r>
      <w:r w:rsidR="0094536C">
        <w:rPr>
          <w:rFonts w:ascii="Arial" w:hAnsi="Arial" w:cs="Arial"/>
          <w:sz w:val="22"/>
          <w:szCs w:val="22"/>
        </w:rPr>
        <w:t xml:space="preserve"> június 30-i állapot szerint a </w:t>
      </w:r>
      <w:r w:rsidR="00FA05FB">
        <w:rPr>
          <w:rFonts w:ascii="Arial" w:hAnsi="Arial" w:cs="Arial"/>
          <w:sz w:val="22"/>
          <w:szCs w:val="22"/>
        </w:rPr>
        <w:t>459 6</w:t>
      </w:r>
      <w:r w:rsidRPr="007B6CC9">
        <w:rPr>
          <w:rFonts w:ascii="Arial" w:hAnsi="Arial" w:cs="Arial"/>
          <w:sz w:val="22"/>
          <w:szCs w:val="22"/>
        </w:rPr>
        <w:t>00 000</w:t>
      </w:r>
      <w:r w:rsidR="00920E39">
        <w:rPr>
          <w:rFonts w:ascii="Arial" w:hAnsi="Arial" w:cs="Arial"/>
          <w:sz w:val="22"/>
          <w:szCs w:val="22"/>
        </w:rPr>
        <w:t xml:space="preserve"> </w:t>
      </w:r>
      <w:r w:rsidR="00C1696A" w:rsidRPr="0031470D">
        <w:rPr>
          <w:rFonts w:ascii="Arial" w:hAnsi="Arial" w:cs="Arial"/>
          <w:sz w:val="22"/>
          <w:szCs w:val="22"/>
        </w:rPr>
        <w:t xml:space="preserve"> Ft összegű módosított előirányzat </w:t>
      </w:r>
      <w:r w:rsidR="00FA05FB">
        <w:rPr>
          <w:rFonts w:ascii="Arial" w:hAnsi="Arial" w:cs="Arial"/>
          <w:sz w:val="22"/>
          <w:szCs w:val="22"/>
        </w:rPr>
        <w:t>55,6</w:t>
      </w:r>
      <w:r w:rsidR="0094536C">
        <w:rPr>
          <w:rFonts w:ascii="Arial" w:hAnsi="Arial" w:cs="Arial"/>
          <w:sz w:val="22"/>
          <w:szCs w:val="22"/>
        </w:rPr>
        <w:t xml:space="preserve"> </w:t>
      </w:r>
      <w:r w:rsidR="00A5102E" w:rsidRPr="00A5102E">
        <w:rPr>
          <w:rFonts w:ascii="Arial" w:hAnsi="Arial" w:cs="Arial"/>
          <w:sz w:val="22"/>
          <w:szCs w:val="22"/>
        </w:rPr>
        <w:t>%</w:t>
      </w:r>
      <w:r w:rsidR="00A5102E">
        <w:rPr>
          <w:rFonts w:ascii="Arial" w:hAnsi="Arial" w:cs="Arial"/>
          <w:sz w:val="22"/>
          <w:szCs w:val="22"/>
        </w:rPr>
        <w:t>-á</w:t>
      </w:r>
      <w:r w:rsidR="00A5102E" w:rsidRPr="0031470D">
        <w:rPr>
          <w:rFonts w:ascii="Arial" w:hAnsi="Arial" w:cs="Arial"/>
          <w:sz w:val="22"/>
          <w:szCs w:val="22"/>
        </w:rPr>
        <w:t>ban</w:t>
      </w:r>
      <w:r w:rsidR="00A5102E">
        <w:rPr>
          <w:rFonts w:ascii="Arial" w:hAnsi="Arial" w:cs="Arial"/>
          <w:sz w:val="22"/>
          <w:szCs w:val="22"/>
        </w:rPr>
        <w:t xml:space="preserve"> teljesültek,</w:t>
      </w:r>
      <w:r w:rsidR="00A5102E" w:rsidRPr="00A5102E">
        <w:t xml:space="preserve"> </w:t>
      </w:r>
      <w:r w:rsidR="00FA05FB">
        <w:rPr>
          <w:rFonts w:ascii="Arial" w:hAnsi="Arial" w:cs="Arial"/>
          <w:sz w:val="22"/>
          <w:szCs w:val="22"/>
        </w:rPr>
        <w:t>255 537 958</w:t>
      </w:r>
      <w:r w:rsidR="00A5102E">
        <w:rPr>
          <w:rFonts w:ascii="Arial" w:hAnsi="Arial" w:cs="Arial"/>
          <w:sz w:val="22"/>
          <w:szCs w:val="22"/>
        </w:rPr>
        <w:t xml:space="preserve"> </w:t>
      </w:r>
      <w:r w:rsidR="00C1696A" w:rsidRPr="0031470D">
        <w:rPr>
          <w:rFonts w:ascii="Arial" w:hAnsi="Arial" w:cs="Arial"/>
          <w:sz w:val="22"/>
          <w:szCs w:val="22"/>
        </w:rPr>
        <w:t xml:space="preserve"> Ft </w:t>
      </w:r>
      <w:r w:rsidR="00920E39">
        <w:rPr>
          <w:rFonts w:ascii="Arial" w:hAnsi="Arial" w:cs="Arial"/>
          <w:sz w:val="22"/>
          <w:szCs w:val="22"/>
        </w:rPr>
        <w:t xml:space="preserve">adóbevétel </w:t>
      </w:r>
      <w:r w:rsidR="00C1696A" w:rsidRPr="0031470D">
        <w:rPr>
          <w:rFonts w:ascii="Arial" w:hAnsi="Arial" w:cs="Arial"/>
          <w:sz w:val="22"/>
          <w:szCs w:val="22"/>
        </w:rPr>
        <w:t xml:space="preserve">realizálódott az első félévben. </w:t>
      </w:r>
      <w:r w:rsidR="00BE4E7E" w:rsidRPr="003D5770">
        <w:rPr>
          <w:rFonts w:ascii="Arial" w:hAnsi="Arial" w:cs="Arial"/>
          <w:sz w:val="22"/>
          <w:szCs w:val="22"/>
        </w:rPr>
        <w:t>A</w:t>
      </w:r>
      <w:r w:rsidR="00C1696A" w:rsidRPr="003D5770">
        <w:rPr>
          <w:rFonts w:ascii="Arial" w:hAnsi="Arial" w:cs="Arial"/>
          <w:sz w:val="22"/>
          <w:szCs w:val="22"/>
        </w:rPr>
        <w:t xml:space="preserve"> jelenlegi információk alapján </w:t>
      </w:r>
      <w:r w:rsidR="00920E39" w:rsidRPr="003D5770">
        <w:rPr>
          <w:rFonts w:ascii="Arial" w:hAnsi="Arial" w:cs="Arial"/>
          <w:sz w:val="22"/>
          <w:szCs w:val="22"/>
        </w:rPr>
        <w:t xml:space="preserve">az </w:t>
      </w:r>
      <w:r w:rsidR="00C1696A" w:rsidRPr="003D5770">
        <w:rPr>
          <w:rFonts w:ascii="Arial" w:hAnsi="Arial" w:cs="Arial"/>
          <w:sz w:val="22"/>
          <w:szCs w:val="22"/>
        </w:rPr>
        <w:t>pr</w:t>
      </w:r>
      <w:r w:rsidR="00BE4E7E" w:rsidRPr="003D5770">
        <w:rPr>
          <w:rFonts w:ascii="Arial" w:hAnsi="Arial" w:cs="Arial"/>
          <w:sz w:val="22"/>
          <w:szCs w:val="22"/>
        </w:rPr>
        <w:t xml:space="preserve">ognosztizálható, hogy </w:t>
      </w:r>
      <w:r w:rsidR="00EA72F2" w:rsidRPr="003D5770">
        <w:rPr>
          <w:rFonts w:ascii="Arial" w:hAnsi="Arial" w:cs="Arial"/>
          <w:sz w:val="22"/>
          <w:szCs w:val="22"/>
        </w:rPr>
        <w:t xml:space="preserve">a legnagyobb bevételi forrásnak számító iparűzési adó nagy valószínűséggel teljesülni fog, esetlegesen túlteljesítés is várható. </w:t>
      </w:r>
      <w:r w:rsidR="00986FC4" w:rsidRPr="001B1B32">
        <w:rPr>
          <w:rFonts w:ascii="Arial" w:hAnsi="Arial" w:cs="Arial"/>
          <w:b/>
          <w:sz w:val="22"/>
          <w:szCs w:val="22"/>
        </w:rPr>
        <w:t>Az iparűzési adóból származó többletbevétel jelentős részével azonban nem tervezhetünk, mivel a novemberi finanszírozás keretében az összeg elvonásra kerül Magyarország 2025. évi központi költségvetésének megalapozásáról szóló 2024. évi LXXIV. törvény 247. §-a alapján</w:t>
      </w:r>
      <w:r w:rsidR="00986FC4">
        <w:rPr>
          <w:rFonts w:ascii="Arial" w:hAnsi="Arial" w:cs="Arial"/>
          <w:sz w:val="22"/>
          <w:szCs w:val="22"/>
        </w:rPr>
        <w:t xml:space="preserve">.  </w:t>
      </w:r>
      <w:r w:rsidR="004910EE" w:rsidRPr="003D5770">
        <w:rPr>
          <w:rFonts w:ascii="Arial" w:hAnsi="Arial" w:cs="Arial"/>
          <w:sz w:val="22"/>
          <w:szCs w:val="22"/>
        </w:rPr>
        <w:t>A kommunális adó</w:t>
      </w:r>
      <w:r w:rsidR="008C445C" w:rsidRPr="003D5770">
        <w:rPr>
          <w:rFonts w:ascii="Arial" w:hAnsi="Arial" w:cs="Arial"/>
          <w:sz w:val="22"/>
          <w:szCs w:val="22"/>
        </w:rPr>
        <w:t>bevételre</w:t>
      </w:r>
      <w:r w:rsidR="004910EE" w:rsidRPr="003D5770">
        <w:rPr>
          <w:rFonts w:ascii="Arial" w:hAnsi="Arial" w:cs="Arial"/>
          <w:sz w:val="22"/>
          <w:szCs w:val="22"/>
        </w:rPr>
        <w:t xml:space="preserve"> is a számba vett összeg szerint </w:t>
      </w:r>
      <w:r w:rsidR="008C445C" w:rsidRPr="003D5770">
        <w:rPr>
          <w:rFonts w:ascii="Arial" w:hAnsi="Arial" w:cs="Arial"/>
          <w:sz w:val="22"/>
          <w:szCs w:val="22"/>
        </w:rPr>
        <w:t>számíthatunk</w:t>
      </w:r>
      <w:r w:rsidR="004910EE" w:rsidRPr="003D5770">
        <w:rPr>
          <w:rFonts w:ascii="Arial" w:hAnsi="Arial" w:cs="Arial"/>
          <w:sz w:val="22"/>
          <w:szCs w:val="22"/>
        </w:rPr>
        <w:t xml:space="preserve">. </w:t>
      </w:r>
    </w:p>
    <w:p w14:paraId="15384672" w14:textId="77777777" w:rsidR="00B61A4C" w:rsidRPr="0031470D" w:rsidRDefault="00B61A4C" w:rsidP="0088446D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</w:p>
    <w:p w14:paraId="5D11A8E1" w14:textId="413C738B" w:rsidR="0010524B" w:rsidRDefault="00497BF0" w:rsidP="00980746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  <w:r w:rsidRPr="008E0CBF">
        <w:rPr>
          <w:rFonts w:ascii="Arial" w:hAnsi="Arial" w:cs="Arial"/>
          <w:sz w:val="22"/>
          <w:szCs w:val="22"/>
          <w:u w:val="single"/>
        </w:rPr>
        <w:t>Működés</w:t>
      </w:r>
      <w:r w:rsidRPr="0031470D">
        <w:rPr>
          <w:rFonts w:ascii="Arial" w:hAnsi="Arial" w:cs="Arial"/>
          <w:sz w:val="22"/>
          <w:szCs w:val="22"/>
          <w:u w:val="single"/>
        </w:rPr>
        <w:t>i bevételeink</w:t>
      </w:r>
      <w:r w:rsidR="00811468" w:rsidRPr="0031470D">
        <w:rPr>
          <w:rFonts w:ascii="Arial" w:hAnsi="Arial" w:cs="Arial"/>
          <w:sz w:val="22"/>
          <w:szCs w:val="22"/>
        </w:rPr>
        <w:t xml:space="preserve"> </w:t>
      </w:r>
      <w:r w:rsidR="003706FB">
        <w:rPr>
          <w:rFonts w:ascii="Arial" w:hAnsi="Arial" w:cs="Arial"/>
          <w:sz w:val="22"/>
          <w:szCs w:val="22"/>
        </w:rPr>
        <w:t xml:space="preserve">alapvetően </w:t>
      </w:r>
      <w:r w:rsidRPr="0031470D">
        <w:rPr>
          <w:rFonts w:ascii="Arial" w:hAnsi="Arial" w:cs="Arial"/>
          <w:sz w:val="22"/>
          <w:szCs w:val="22"/>
        </w:rPr>
        <w:t>a</w:t>
      </w:r>
      <w:r w:rsidR="00F267F3" w:rsidRPr="0031470D">
        <w:rPr>
          <w:rFonts w:ascii="Arial" w:hAnsi="Arial" w:cs="Arial"/>
          <w:sz w:val="22"/>
          <w:szCs w:val="22"/>
        </w:rPr>
        <w:t>z ingatlan</w:t>
      </w:r>
      <w:r w:rsidRPr="0031470D">
        <w:rPr>
          <w:rFonts w:ascii="Arial" w:hAnsi="Arial" w:cs="Arial"/>
          <w:sz w:val="22"/>
          <w:szCs w:val="22"/>
        </w:rPr>
        <w:t xml:space="preserve"> bérle</w:t>
      </w:r>
      <w:r w:rsidR="0010524B">
        <w:rPr>
          <w:rFonts w:ascii="Arial" w:hAnsi="Arial" w:cs="Arial"/>
          <w:sz w:val="22"/>
          <w:szCs w:val="22"/>
        </w:rPr>
        <w:t>t</w:t>
      </w:r>
      <w:r w:rsidRPr="0031470D">
        <w:rPr>
          <w:rFonts w:ascii="Arial" w:hAnsi="Arial" w:cs="Arial"/>
          <w:sz w:val="22"/>
          <w:szCs w:val="22"/>
        </w:rPr>
        <w:t xml:space="preserve">i díjakat, a közvetített </w:t>
      </w:r>
      <w:r w:rsidR="00F267F3" w:rsidRPr="0031470D">
        <w:rPr>
          <w:rFonts w:ascii="Arial" w:hAnsi="Arial" w:cs="Arial"/>
          <w:sz w:val="22"/>
          <w:szCs w:val="22"/>
        </w:rPr>
        <w:t xml:space="preserve">szolgáltatásokat, </w:t>
      </w:r>
      <w:r w:rsidR="009B7D34">
        <w:rPr>
          <w:rFonts w:ascii="Arial" w:hAnsi="Arial" w:cs="Arial"/>
          <w:sz w:val="22"/>
          <w:szCs w:val="22"/>
        </w:rPr>
        <w:t xml:space="preserve">a szolgáltatások bevételét, </w:t>
      </w:r>
      <w:r w:rsidR="00F267F3" w:rsidRPr="0031470D">
        <w:rPr>
          <w:rFonts w:ascii="Arial" w:hAnsi="Arial" w:cs="Arial"/>
          <w:sz w:val="22"/>
          <w:szCs w:val="22"/>
        </w:rPr>
        <w:t>valamint az ÁFA</w:t>
      </w:r>
      <w:r w:rsidRPr="0031470D">
        <w:rPr>
          <w:rFonts w:ascii="Arial" w:hAnsi="Arial" w:cs="Arial"/>
          <w:sz w:val="22"/>
          <w:szCs w:val="22"/>
        </w:rPr>
        <w:t xml:space="preserve"> elszámolásokat</w:t>
      </w:r>
      <w:r w:rsidR="009B7D34">
        <w:rPr>
          <w:rFonts w:ascii="Arial" w:hAnsi="Arial" w:cs="Arial"/>
          <w:sz w:val="22"/>
          <w:szCs w:val="22"/>
        </w:rPr>
        <w:t xml:space="preserve"> tartalmazzák. A</w:t>
      </w:r>
      <w:r w:rsidR="00ED292A">
        <w:rPr>
          <w:rFonts w:ascii="Arial" w:hAnsi="Arial" w:cs="Arial"/>
          <w:sz w:val="22"/>
          <w:szCs w:val="22"/>
        </w:rPr>
        <w:t xml:space="preserve">z első félévben </w:t>
      </w:r>
      <w:r w:rsidR="003706FB">
        <w:rPr>
          <w:rFonts w:ascii="Arial" w:hAnsi="Arial" w:cs="Arial"/>
          <w:sz w:val="22"/>
          <w:szCs w:val="22"/>
        </w:rPr>
        <w:t xml:space="preserve">a működési bevételek a módosított előirányzat </w:t>
      </w:r>
      <w:r w:rsidR="0010524B">
        <w:rPr>
          <w:rFonts w:ascii="Arial" w:hAnsi="Arial" w:cs="Arial"/>
          <w:sz w:val="22"/>
          <w:szCs w:val="22"/>
        </w:rPr>
        <w:t>27</w:t>
      </w:r>
      <w:r w:rsidR="00B61A4C" w:rsidRPr="0031470D">
        <w:rPr>
          <w:rFonts w:ascii="Arial" w:hAnsi="Arial" w:cs="Arial"/>
          <w:sz w:val="22"/>
          <w:szCs w:val="22"/>
        </w:rPr>
        <w:t xml:space="preserve"> %-</w:t>
      </w:r>
      <w:r w:rsidR="00C90B7B">
        <w:rPr>
          <w:rFonts w:ascii="Arial" w:hAnsi="Arial" w:cs="Arial"/>
          <w:sz w:val="22"/>
          <w:szCs w:val="22"/>
        </w:rPr>
        <w:t>á</w:t>
      </w:r>
      <w:r w:rsidR="00B61A4C" w:rsidRPr="0031470D">
        <w:rPr>
          <w:rFonts w:ascii="Arial" w:hAnsi="Arial" w:cs="Arial"/>
          <w:sz w:val="22"/>
          <w:szCs w:val="22"/>
        </w:rPr>
        <w:t>ban realizálódta</w:t>
      </w:r>
      <w:r w:rsidR="00A620A9" w:rsidRPr="0031470D">
        <w:rPr>
          <w:rFonts w:ascii="Arial" w:hAnsi="Arial" w:cs="Arial"/>
          <w:sz w:val="22"/>
          <w:szCs w:val="22"/>
        </w:rPr>
        <w:t>k</w:t>
      </w:r>
      <w:r w:rsidR="00BD3687">
        <w:rPr>
          <w:rFonts w:ascii="Arial" w:hAnsi="Arial" w:cs="Arial"/>
          <w:sz w:val="22"/>
          <w:szCs w:val="22"/>
        </w:rPr>
        <w:t xml:space="preserve">, ez </w:t>
      </w:r>
      <w:r w:rsidR="0010524B">
        <w:rPr>
          <w:rFonts w:ascii="Arial" w:hAnsi="Arial" w:cs="Arial"/>
          <w:sz w:val="22"/>
          <w:szCs w:val="22"/>
        </w:rPr>
        <w:t>26 668 913</w:t>
      </w:r>
      <w:r w:rsidR="00ED292A">
        <w:rPr>
          <w:rFonts w:ascii="Arial" w:hAnsi="Arial" w:cs="Arial"/>
          <w:sz w:val="22"/>
          <w:szCs w:val="22"/>
        </w:rPr>
        <w:t xml:space="preserve"> </w:t>
      </w:r>
      <w:r w:rsidR="00BD3687">
        <w:rPr>
          <w:rFonts w:ascii="Arial" w:hAnsi="Arial" w:cs="Arial"/>
          <w:sz w:val="22"/>
          <w:szCs w:val="22"/>
        </w:rPr>
        <w:t>Ft forrást jelent.</w:t>
      </w:r>
      <w:r w:rsidR="009B7D34">
        <w:rPr>
          <w:rFonts w:ascii="Arial" w:hAnsi="Arial" w:cs="Arial"/>
          <w:sz w:val="22"/>
          <w:szCs w:val="22"/>
        </w:rPr>
        <w:t xml:space="preserve"> </w:t>
      </w:r>
      <w:r w:rsidR="0010524B">
        <w:rPr>
          <w:rFonts w:ascii="Arial" w:hAnsi="Arial" w:cs="Arial"/>
          <w:sz w:val="22"/>
          <w:szCs w:val="22"/>
        </w:rPr>
        <w:t>A</w:t>
      </w:r>
      <w:r w:rsidR="00FD61F4">
        <w:rPr>
          <w:rFonts w:ascii="Arial" w:hAnsi="Arial" w:cs="Arial"/>
          <w:sz w:val="22"/>
          <w:szCs w:val="22"/>
        </w:rPr>
        <w:t>z alacsony teljesítés arány oka, hogy a</w:t>
      </w:r>
      <w:r w:rsidR="0010524B">
        <w:rPr>
          <w:rFonts w:ascii="Arial" w:hAnsi="Arial" w:cs="Arial"/>
          <w:sz w:val="22"/>
          <w:szCs w:val="22"/>
        </w:rPr>
        <w:t xml:space="preserve"> működési bevételek között a Konyha beruházáshoz kapcsolódó ÁFA visszatérítés is be lett tervezve, amely összeg a beruházá</w:t>
      </w:r>
      <w:r w:rsidR="00D36160">
        <w:rPr>
          <w:rFonts w:ascii="Arial" w:hAnsi="Arial" w:cs="Arial"/>
          <w:sz w:val="22"/>
          <w:szCs w:val="22"/>
        </w:rPr>
        <w:t>s megvalósítása során fog majd várhatóan a</w:t>
      </w:r>
      <w:r w:rsidR="0010524B">
        <w:rPr>
          <w:rFonts w:ascii="Arial" w:hAnsi="Arial" w:cs="Arial"/>
          <w:sz w:val="22"/>
          <w:szCs w:val="22"/>
        </w:rPr>
        <w:t xml:space="preserve"> második félévben realizálódni. A szolgáltatásokból, a közvetített szolgáltatásokból és az ehhez kapcsolódó ÁFA-ból származó bevételek </w:t>
      </w:r>
      <w:r w:rsidR="00C90B7B">
        <w:rPr>
          <w:rFonts w:ascii="Arial" w:hAnsi="Arial" w:cs="Arial"/>
          <w:sz w:val="22"/>
          <w:szCs w:val="22"/>
        </w:rPr>
        <w:t xml:space="preserve">a tervezetthez képest </w:t>
      </w:r>
      <w:r w:rsidR="0010524B">
        <w:rPr>
          <w:rFonts w:ascii="Arial" w:hAnsi="Arial" w:cs="Arial"/>
          <w:sz w:val="22"/>
          <w:szCs w:val="22"/>
        </w:rPr>
        <w:t xml:space="preserve">jelentősen meghaladják az időarányos mértéket. </w:t>
      </w:r>
    </w:p>
    <w:p w14:paraId="2AF338D7" w14:textId="76B340AC" w:rsidR="00497BF0" w:rsidRDefault="009B7D34" w:rsidP="00980746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Szolgáltatási díjbevételként </w:t>
      </w:r>
      <w:r w:rsidR="00FD61F4">
        <w:rPr>
          <w:rFonts w:ascii="Arial" w:hAnsi="Arial" w:cs="Arial"/>
          <w:sz w:val="22"/>
          <w:szCs w:val="22"/>
        </w:rPr>
        <w:t xml:space="preserve">Bátaszék Város Önkormányzatánál </w:t>
      </w:r>
      <w:r w:rsidR="00587726">
        <w:rPr>
          <w:rFonts w:ascii="Arial" w:hAnsi="Arial" w:cs="Arial"/>
          <w:sz w:val="22"/>
          <w:szCs w:val="22"/>
        </w:rPr>
        <w:t xml:space="preserve">(köztemető fenntartás elszámolása révén) </w:t>
      </w:r>
      <w:r w:rsidR="00C90B7B">
        <w:rPr>
          <w:rFonts w:ascii="Arial" w:hAnsi="Arial" w:cs="Arial"/>
          <w:sz w:val="22"/>
          <w:szCs w:val="22"/>
        </w:rPr>
        <w:t>2 478 709</w:t>
      </w:r>
      <w:r>
        <w:rPr>
          <w:rFonts w:ascii="Arial" w:hAnsi="Arial" w:cs="Arial"/>
          <w:sz w:val="22"/>
          <w:szCs w:val="22"/>
        </w:rPr>
        <w:t xml:space="preserve"> Ft, a KÖH-nél </w:t>
      </w:r>
      <w:r w:rsidRPr="00A65F4C">
        <w:rPr>
          <w:rFonts w:ascii="Arial" w:hAnsi="Arial" w:cs="Arial"/>
          <w:sz w:val="22"/>
          <w:szCs w:val="22"/>
        </w:rPr>
        <w:t>(házasságkötési díj</w:t>
      </w:r>
      <w:r>
        <w:rPr>
          <w:rFonts w:ascii="Arial" w:hAnsi="Arial" w:cs="Arial"/>
          <w:sz w:val="22"/>
          <w:szCs w:val="22"/>
        </w:rPr>
        <w:t xml:space="preserve">) </w:t>
      </w:r>
      <w:r w:rsidR="00C90B7B">
        <w:rPr>
          <w:rFonts w:ascii="Arial" w:hAnsi="Arial" w:cs="Arial"/>
          <w:sz w:val="22"/>
          <w:szCs w:val="22"/>
        </w:rPr>
        <w:t>132 600</w:t>
      </w:r>
      <w:r>
        <w:rPr>
          <w:rFonts w:ascii="Arial" w:hAnsi="Arial" w:cs="Arial"/>
          <w:sz w:val="22"/>
          <w:szCs w:val="22"/>
        </w:rPr>
        <w:t xml:space="preserve"> Ft, a Keresztély Gyula Városi Könyvtárnál (fénymásolás, beiratkozási díj, internethasználati díj, nyomtatás díjaként) </w:t>
      </w:r>
      <w:r w:rsidR="00C90B7B">
        <w:rPr>
          <w:rFonts w:ascii="Arial" w:hAnsi="Arial" w:cs="Arial"/>
          <w:sz w:val="22"/>
          <w:szCs w:val="22"/>
        </w:rPr>
        <w:t>392 350</w:t>
      </w:r>
      <w:r>
        <w:rPr>
          <w:rFonts w:ascii="Arial" w:hAnsi="Arial" w:cs="Arial"/>
          <w:sz w:val="22"/>
          <w:szCs w:val="22"/>
        </w:rPr>
        <w:t xml:space="preserve"> Ft bevétel teljesült.</w:t>
      </w:r>
    </w:p>
    <w:p w14:paraId="49A781A0" w14:textId="3A24A2BA" w:rsidR="004265D5" w:rsidRDefault="004265D5" w:rsidP="000043D8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</w:p>
    <w:p w14:paraId="4BBB243D" w14:textId="0DDAD50A" w:rsidR="00163724" w:rsidRDefault="007A0B49" w:rsidP="00163724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  <w:r w:rsidRPr="007A0B49">
        <w:rPr>
          <w:rFonts w:ascii="Arial" w:hAnsi="Arial" w:cs="Arial"/>
          <w:sz w:val="22"/>
          <w:szCs w:val="22"/>
          <w:u w:val="single"/>
        </w:rPr>
        <w:t>Felhalmozási bevételek</w:t>
      </w:r>
      <w:r>
        <w:rPr>
          <w:rFonts w:ascii="Arial" w:hAnsi="Arial" w:cs="Arial"/>
          <w:sz w:val="22"/>
          <w:szCs w:val="22"/>
        </w:rPr>
        <w:t xml:space="preserve"> a módosí</w:t>
      </w:r>
      <w:r w:rsidR="000C5F3E">
        <w:rPr>
          <w:rFonts w:ascii="Arial" w:hAnsi="Arial" w:cs="Arial"/>
          <w:sz w:val="22"/>
          <w:szCs w:val="22"/>
        </w:rPr>
        <w:t>tott előirányzathoz képest 9 %-os mértékkel</w:t>
      </w:r>
      <w:r>
        <w:rPr>
          <w:rFonts w:ascii="Arial" w:hAnsi="Arial" w:cs="Arial"/>
          <w:sz w:val="22"/>
          <w:szCs w:val="22"/>
        </w:rPr>
        <w:t xml:space="preserve"> teljesültek az első félévben. A költségvetési egyensúly megteremtése érdekében 2025. évi költségvetés összeállításakor 131 987 333 Ft összegű ingatlan értékesítésből származó </w:t>
      </w:r>
      <w:r w:rsidR="001F0B76">
        <w:rPr>
          <w:rFonts w:ascii="Arial" w:hAnsi="Arial" w:cs="Arial"/>
          <w:sz w:val="22"/>
          <w:szCs w:val="22"/>
        </w:rPr>
        <w:t>bevétellel tervezett</w:t>
      </w:r>
      <w:r>
        <w:rPr>
          <w:rFonts w:ascii="Arial" w:hAnsi="Arial" w:cs="Arial"/>
          <w:sz w:val="22"/>
          <w:szCs w:val="22"/>
        </w:rPr>
        <w:t xml:space="preserve"> az Önkormányzat, amelyet 42 183 231 Ft összegre módosított a bevételek és a takarékossági intézkedések eredményeként. Ingatlan értékesítésből 3 837 333 Ft összegű bevétel </w:t>
      </w:r>
      <w:r w:rsidR="001F0B76">
        <w:rPr>
          <w:rFonts w:ascii="Arial" w:hAnsi="Arial" w:cs="Arial"/>
          <w:sz w:val="22"/>
          <w:szCs w:val="22"/>
        </w:rPr>
        <w:t>folyt be</w:t>
      </w:r>
      <w:r>
        <w:rPr>
          <w:rFonts w:ascii="Arial" w:hAnsi="Arial" w:cs="Arial"/>
          <w:sz w:val="22"/>
          <w:szCs w:val="22"/>
        </w:rPr>
        <w:t xml:space="preserve"> 2025. első félévében.</w:t>
      </w:r>
      <w:r w:rsidR="00163724">
        <w:rPr>
          <w:rFonts w:ascii="Arial" w:hAnsi="Arial" w:cs="Arial"/>
          <w:sz w:val="22"/>
          <w:szCs w:val="22"/>
        </w:rPr>
        <w:t xml:space="preserve"> </w:t>
      </w:r>
      <w:r w:rsidR="00163724" w:rsidRPr="00163724">
        <w:rPr>
          <w:rFonts w:ascii="Arial" w:hAnsi="Arial" w:cs="Arial"/>
          <w:sz w:val="22"/>
          <w:szCs w:val="22"/>
        </w:rPr>
        <w:t>A fennmaradó összeg megteremtése érdekében az év hátralévő</w:t>
      </w:r>
      <w:r w:rsidR="000C5F3E">
        <w:rPr>
          <w:rFonts w:ascii="Arial" w:hAnsi="Arial" w:cs="Arial"/>
          <w:sz w:val="22"/>
          <w:szCs w:val="22"/>
        </w:rPr>
        <w:t xml:space="preserve"> részében</w:t>
      </w:r>
      <w:r w:rsidR="00163724" w:rsidRPr="00163724">
        <w:rPr>
          <w:rFonts w:ascii="Arial" w:hAnsi="Arial" w:cs="Arial"/>
          <w:sz w:val="22"/>
          <w:szCs w:val="22"/>
        </w:rPr>
        <w:t xml:space="preserve"> </w:t>
      </w:r>
      <w:r w:rsidR="000C5F3E">
        <w:rPr>
          <w:rFonts w:ascii="Arial" w:hAnsi="Arial" w:cs="Arial"/>
          <w:sz w:val="22"/>
          <w:szCs w:val="22"/>
        </w:rPr>
        <w:t xml:space="preserve">javasolt továbbra is további bevételi forrás keresése, illetve a takarékos gazdálkodás. </w:t>
      </w:r>
    </w:p>
    <w:p w14:paraId="2A839DFA" w14:textId="14AC0A7F" w:rsidR="004265D5" w:rsidRDefault="004265D5" w:rsidP="000043D8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</w:p>
    <w:p w14:paraId="4FD85723" w14:textId="2FFB50B2" w:rsidR="00F267F3" w:rsidRDefault="00AD0A8E" w:rsidP="00980746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  <w:r w:rsidRPr="00163724">
        <w:rPr>
          <w:rFonts w:ascii="Arial" w:hAnsi="Arial" w:cs="Arial"/>
          <w:sz w:val="22"/>
          <w:szCs w:val="22"/>
          <w:u w:val="single"/>
        </w:rPr>
        <w:t>Működési célú átvett pénzeszközzel</w:t>
      </w:r>
      <w:r w:rsidRPr="00163724">
        <w:rPr>
          <w:rFonts w:ascii="Arial" w:hAnsi="Arial" w:cs="Arial"/>
          <w:sz w:val="22"/>
          <w:szCs w:val="22"/>
        </w:rPr>
        <w:t xml:space="preserve"> nem számolt</w:t>
      </w:r>
      <w:r w:rsidR="000C5F3E">
        <w:rPr>
          <w:rFonts w:ascii="Arial" w:hAnsi="Arial" w:cs="Arial"/>
          <w:sz w:val="22"/>
          <w:szCs w:val="22"/>
        </w:rPr>
        <w:t xml:space="preserve">unk eredeti előirányzatként, azonban adományokból és térítésekből </w:t>
      </w:r>
      <w:r w:rsidR="000C5F3E" w:rsidRPr="003D5770">
        <w:rPr>
          <w:rFonts w:ascii="Arial" w:hAnsi="Arial" w:cs="Arial"/>
          <w:sz w:val="22"/>
          <w:szCs w:val="22"/>
        </w:rPr>
        <w:t>4 378 669</w:t>
      </w:r>
      <w:r w:rsidRPr="003D5770">
        <w:rPr>
          <w:rFonts w:ascii="Arial" w:hAnsi="Arial" w:cs="Arial"/>
          <w:sz w:val="22"/>
          <w:szCs w:val="22"/>
        </w:rPr>
        <w:t xml:space="preserve"> </w:t>
      </w:r>
      <w:r w:rsidR="001F0B76" w:rsidRPr="003D5770">
        <w:rPr>
          <w:rFonts w:ascii="Arial" w:hAnsi="Arial" w:cs="Arial"/>
          <w:sz w:val="22"/>
          <w:szCs w:val="22"/>
        </w:rPr>
        <w:t>Ft bevétel</w:t>
      </w:r>
      <w:r w:rsidR="00163724" w:rsidRPr="003D5770">
        <w:rPr>
          <w:rFonts w:ascii="Arial" w:hAnsi="Arial" w:cs="Arial"/>
          <w:sz w:val="22"/>
          <w:szCs w:val="22"/>
        </w:rPr>
        <w:t xml:space="preserve"> kel</w:t>
      </w:r>
      <w:r w:rsidR="000C5F3E" w:rsidRPr="003D5770">
        <w:rPr>
          <w:rFonts w:ascii="Arial" w:hAnsi="Arial" w:cs="Arial"/>
          <w:sz w:val="22"/>
          <w:szCs w:val="22"/>
        </w:rPr>
        <w:t>etkezett, amelyből 4 055 436</w:t>
      </w:r>
      <w:r w:rsidR="00163724" w:rsidRPr="003D5770">
        <w:rPr>
          <w:rFonts w:ascii="Arial" w:hAnsi="Arial" w:cs="Arial"/>
          <w:sz w:val="22"/>
          <w:szCs w:val="22"/>
        </w:rPr>
        <w:t xml:space="preserve"> Ft</w:t>
      </w:r>
      <w:r w:rsidR="00163724" w:rsidRPr="00163724">
        <w:rPr>
          <w:rFonts w:ascii="Arial" w:hAnsi="Arial" w:cs="Arial"/>
          <w:sz w:val="22"/>
          <w:szCs w:val="22"/>
        </w:rPr>
        <w:t xml:space="preserve"> az ünnepekhez, az óvoda épületének klimatizálásához, a Számvevőségi épület kiállítóterméhez kapcsolódóan adományként </w:t>
      </w:r>
      <w:r w:rsidRPr="00163724">
        <w:rPr>
          <w:rFonts w:ascii="Arial" w:hAnsi="Arial" w:cs="Arial"/>
          <w:sz w:val="22"/>
          <w:szCs w:val="22"/>
        </w:rPr>
        <w:t>folyt be</w:t>
      </w:r>
      <w:r w:rsidR="00163724" w:rsidRPr="00163724">
        <w:rPr>
          <w:rFonts w:ascii="Arial" w:hAnsi="Arial" w:cs="Arial"/>
          <w:sz w:val="22"/>
          <w:szCs w:val="22"/>
        </w:rPr>
        <w:t>, 323 233 Ft pedig közteme</w:t>
      </w:r>
      <w:r w:rsidR="007E7EB9">
        <w:rPr>
          <w:rFonts w:ascii="Arial" w:hAnsi="Arial" w:cs="Arial"/>
          <w:sz w:val="22"/>
          <w:szCs w:val="22"/>
        </w:rPr>
        <w:t xml:space="preserve">tés megtérítéséből, agyhártyagyulladás </w:t>
      </w:r>
      <w:r w:rsidR="00163724" w:rsidRPr="00163724">
        <w:rPr>
          <w:rFonts w:ascii="Arial" w:hAnsi="Arial" w:cs="Arial"/>
          <w:sz w:val="22"/>
          <w:szCs w:val="22"/>
        </w:rPr>
        <w:t xml:space="preserve">elleni oltás térítéséből származik. </w:t>
      </w:r>
      <w:r w:rsidRPr="00163724">
        <w:rPr>
          <w:rFonts w:ascii="Arial" w:hAnsi="Arial" w:cs="Arial"/>
          <w:sz w:val="22"/>
          <w:szCs w:val="22"/>
        </w:rPr>
        <w:t xml:space="preserve"> </w:t>
      </w:r>
    </w:p>
    <w:p w14:paraId="71F2886A" w14:textId="00684D44" w:rsidR="00AD0A8E" w:rsidRDefault="00AD0A8E" w:rsidP="00980746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</w:p>
    <w:p w14:paraId="3C68CC65" w14:textId="3C62C638" w:rsidR="00AD0A8E" w:rsidRDefault="00AD0A8E" w:rsidP="00980746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Összességében</w:t>
      </w:r>
      <w:r w:rsidR="00B52D5C">
        <w:rPr>
          <w:rFonts w:ascii="Arial" w:hAnsi="Arial" w:cs="Arial"/>
          <w:sz w:val="22"/>
          <w:szCs w:val="22"/>
        </w:rPr>
        <w:t xml:space="preserve"> </w:t>
      </w:r>
      <w:r w:rsidR="007E7EB9">
        <w:rPr>
          <w:rFonts w:ascii="Arial" w:hAnsi="Arial" w:cs="Arial"/>
          <w:sz w:val="22"/>
          <w:szCs w:val="22"/>
        </w:rPr>
        <w:t>1 248 092 878</w:t>
      </w:r>
      <w:r w:rsidR="00B52D5C">
        <w:rPr>
          <w:rFonts w:ascii="Arial" w:hAnsi="Arial" w:cs="Arial"/>
          <w:sz w:val="22"/>
          <w:szCs w:val="22"/>
        </w:rPr>
        <w:t xml:space="preserve"> Ft költségvetési bevétel teljesült az első félévben, a</w:t>
      </w:r>
      <w:r w:rsidR="0035667A">
        <w:rPr>
          <w:rFonts w:ascii="Arial" w:hAnsi="Arial" w:cs="Arial"/>
          <w:sz w:val="22"/>
          <w:szCs w:val="22"/>
        </w:rPr>
        <w:t>m</w:t>
      </w:r>
      <w:r w:rsidR="0043420B">
        <w:rPr>
          <w:rFonts w:ascii="Arial" w:hAnsi="Arial" w:cs="Arial"/>
          <w:sz w:val="22"/>
          <w:szCs w:val="22"/>
        </w:rPr>
        <w:t xml:space="preserve">i a módosított előirányzat </w:t>
      </w:r>
      <w:r w:rsidR="00C71688">
        <w:rPr>
          <w:rFonts w:ascii="Arial" w:hAnsi="Arial" w:cs="Arial"/>
          <w:sz w:val="22"/>
          <w:szCs w:val="22"/>
        </w:rPr>
        <w:t>59,4</w:t>
      </w:r>
      <w:r w:rsidR="0035667A">
        <w:rPr>
          <w:rFonts w:ascii="Arial" w:hAnsi="Arial" w:cs="Arial"/>
          <w:sz w:val="22"/>
          <w:szCs w:val="22"/>
        </w:rPr>
        <w:t xml:space="preserve"> </w:t>
      </w:r>
      <w:r w:rsidR="00B52D5C">
        <w:rPr>
          <w:rFonts w:ascii="Arial" w:hAnsi="Arial" w:cs="Arial"/>
          <w:sz w:val="22"/>
          <w:szCs w:val="22"/>
        </w:rPr>
        <w:t>%-a.</w:t>
      </w:r>
    </w:p>
    <w:p w14:paraId="66CFBA6E" w14:textId="39C8D59E" w:rsidR="002B3BF9" w:rsidRPr="0031470D" w:rsidRDefault="002B3BF9" w:rsidP="00980746">
      <w:pPr>
        <w:tabs>
          <w:tab w:val="left" w:pos="851"/>
          <w:tab w:val="decimal" w:pos="6237"/>
        </w:tabs>
        <w:jc w:val="both"/>
        <w:rPr>
          <w:rFonts w:ascii="Arial" w:hAnsi="Arial" w:cs="Arial"/>
          <w:sz w:val="22"/>
          <w:szCs w:val="22"/>
        </w:rPr>
      </w:pPr>
    </w:p>
    <w:p w14:paraId="4A3001BA" w14:textId="77777777" w:rsidR="0092610C" w:rsidRPr="0031470D" w:rsidRDefault="0092610C" w:rsidP="00980746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b/>
          <w:sz w:val="22"/>
          <w:szCs w:val="22"/>
        </w:rPr>
      </w:pPr>
      <w:r w:rsidRPr="0031470D">
        <w:rPr>
          <w:rFonts w:ascii="Arial" w:hAnsi="Arial" w:cs="Arial"/>
          <w:b/>
          <w:sz w:val="22"/>
          <w:szCs w:val="22"/>
        </w:rPr>
        <w:t>Finanszírozási bevételek</w:t>
      </w:r>
    </w:p>
    <w:p w14:paraId="2EBF0866" w14:textId="77777777" w:rsidR="0092610C" w:rsidRPr="0031470D" w:rsidRDefault="0092610C" w:rsidP="00980746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</w:p>
    <w:p w14:paraId="71B203FF" w14:textId="098A11C8" w:rsidR="0092610C" w:rsidRPr="0031470D" w:rsidRDefault="0092610C" w:rsidP="00980746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  <w:r w:rsidRPr="0031470D">
        <w:rPr>
          <w:rFonts w:ascii="Arial" w:hAnsi="Arial" w:cs="Arial"/>
          <w:sz w:val="22"/>
          <w:szCs w:val="22"/>
        </w:rPr>
        <w:t>A már említett előző évi pénzmaradvány</w:t>
      </w:r>
      <w:r w:rsidR="00B6243B">
        <w:rPr>
          <w:rFonts w:ascii="Arial" w:hAnsi="Arial" w:cs="Arial"/>
          <w:sz w:val="22"/>
          <w:szCs w:val="22"/>
        </w:rPr>
        <w:t xml:space="preserve"> </w:t>
      </w:r>
      <w:r w:rsidR="00C71688">
        <w:rPr>
          <w:rFonts w:ascii="Arial" w:hAnsi="Arial" w:cs="Arial"/>
          <w:sz w:val="22"/>
          <w:szCs w:val="22"/>
        </w:rPr>
        <w:t>706 728 624</w:t>
      </w:r>
      <w:r w:rsidRPr="0031470D">
        <w:rPr>
          <w:rFonts w:ascii="Arial" w:hAnsi="Arial" w:cs="Arial"/>
          <w:sz w:val="22"/>
          <w:szCs w:val="22"/>
        </w:rPr>
        <w:t xml:space="preserve"> </w:t>
      </w:r>
      <w:r w:rsidR="00090580">
        <w:rPr>
          <w:rFonts w:ascii="Arial" w:hAnsi="Arial" w:cs="Arial"/>
          <w:sz w:val="22"/>
          <w:szCs w:val="22"/>
        </w:rPr>
        <w:t xml:space="preserve">Ft összegű </w:t>
      </w:r>
      <w:r w:rsidRPr="0031470D">
        <w:rPr>
          <w:rFonts w:ascii="Arial" w:hAnsi="Arial" w:cs="Arial"/>
          <w:sz w:val="22"/>
          <w:szCs w:val="22"/>
        </w:rPr>
        <w:t>felhasználás</w:t>
      </w:r>
      <w:r w:rsidR="00090580">
        <w:rPr>
          <w:rFonts w:ascii="Arial" w:hAnsi="Arial" w:cs="Arial"/>
          <w:sz w:val="22"/>
          <w:szCs w:val="22"/>
        </w:rPr>
        <w:t>a</w:t>
      </w:r>
      <w:r w:rsidRPr="0031470D">
        <w:rPr>
          <w:rFonts w:ascii="Arial" w:hAnsi="Arial" w:cs="Arial"/>
          <w:sz w:val="22"/>
          <w:szCs w:val="22"/>
        </w:rPr>
        <w:t xml:space="preserve"> jelentkezik itt, mely </w:t>
      </w:r>
      <w:r w:rsidR="00090580">
        <w:rPr>
          <w:rFonts w:ascii="Arial" w:hAnsi="Arial" w:cs="Arial"/>
          <w:sz w:val="22"/>
          <w:szCs w:val="22"/>
        </w:rPr>
        <w:t>jelentős része</w:t>
      </w:r>
      <w:r w:rsidRPr="0031470D">
        <w:rPr>
          <w:rFonts w:ascii="Arial" w:hAnsi="Arial" w:cs="Arial"/>
          <w:sz w:val="22"/>
          <w:szCs w:val="22"/>
        </w:rPr>
        <w:t xml:space="preserve"> pályázati forrásból </w:t>
      </w:r>
      <w:r w:rsidR="00986FC4">
        <w:rPr>
          <w:rFonts w:ascii="Arial" w:hAnsi="Arial" w:cs="Arial"/>
          <w:sz w:val="22"/>
          <w:szCs w:val="22"/>
        </w:rPr>
        <w:t>szárma</w:t>
      </w:r>
      <w:r w:rsidR="001B1B32">
        <w:rPr>
          <w:rFonts w:ascii="Arial" w:hAnsi="Arial" w:cs="Arial"/>
          <w:sz w:val="22"/>
          <w:szCs w:val="22"/>
        </w:rPr>
        <w:t>z</w:t>
      </w:r>
      <w:r w:rsidR="00986FC4">
        <w:rPr>
          <w:rFonts w:ascii="Arial" w:hAnsi="Arial" w:cs="Arial"/>
          <w:sz w:val="22"/>
          <w:szCs w:val="22"/>
        </w:rPr>
        <w:t>ó</w:t>
      </w:r>
      <w:r w:rsidRPr="0031470D">
        <w:rPr>
          <w:rFonts w:ascii="Arial" w:hAnsi="Arial" w:cs="Arial"/>
          <w:sz w:val="22"/>
          <w:szCs w:val="22"/>
        </w:rPr>
        <w:t>, kötö</w:t>
      </w:r>
      <w:r w:rsidR="00090580">
        <w:rPr>
          <w:rFonts w:ascii="Arial" w:hAnsi="Arial" w:cs="Arial"/>
          <w:sz w:val="22"/>
          <w:szCs w:val="22"/>
        </w:rPr>
        <w:t>tt felhasználású összeg, továbbá</w:t>
      </w:r>
      <w:r w:rsidRPr="0031470D">
        <w:rPr>
          <w:rFonts w:ascii="Arial" w:hAnsi="Arial" w:cs="Arial"/>
          <w:sz w:val="22"/>
          <w:szCs w:val="22"/>
        </w:rPr>
        <w:t xml:space="preserve"> egyéb </w:t>
      </w:r>
      <w:r w:rsidRPr="007E7EB9">
        <w:rPr>
          <w:rFonts w:ascii="Arial" w:hAnsi="Arial" w:cs="Arial"/>
          <w:sz w:val="22"/>
          <w:szCs w:val="22"/>
        </w:rPr>
        <w:t>feladattal terhelt maradvány, mely teljes egészében a megjelölt célokra került felhasználásra.</w:t>
      </w:r>
      <w:r w:rsidR="00090580" w:rsidRPr="007E7EB9">
        <w:rPr>
          <w:rFonts w:ascii="Arial" w:hAnsi="Arial" w:cs="Arial"/>
          <w:sz w:val="22"/>
          <w:szCs w:val="22"/>
        </w:rPr>
        <w:t xml:space="preserve"> A szabadon fe</w:t>
      </w:r>
      <w:r w:rsidR="00B6243B" w:rsidRPr="007E7EB9">
        <w:rPr>
          <w:rFonts w:ascii="Arial" w:hAnsi="Arial" w:cs="Arial"/>
          <w:sz w:val="22"/>
          <w:szCs w:val="22"/>
        </w:rPr>
        <w:t xml:space="preserve">lhasználható rész mintegy </w:t>
      </w:r>
      <w:r w:rsidR="007E7EB9" w:rsidRPr="007E7EB9">
        <w:rPr>
          <w:rFonts w:ascii="Arial" w:hAnsi="Arial" w:cs="Arial"/>
          <w:sz w:val="22"/>
          <w:szCs w:val="22"/>
        </w:rPr>
        <w:t>32</w:t>
      </w:r>
      <w:r w:rsidR="00B6243B" w:rsidRPr="007E7EB9">
        <w:rPr>
          <w:rFonts w:ascii="Arial" w:hAnsi="Arial" w:cs="Arial"/>
          <w:sz w:val="22"/>
          <w:szCs w:val="22"/>
        </w:rPr>
        <w:t xml:space="preserve"> millió Ft volt.</w:t>
      </w:r>
      <w:r w:rsidR="007E7EB9">
        <w:rPr>
          <w:rFonts w:ascii="Arial" w:hAnsi="Arial" w:cs="Arial"/>
          <w:sz w:val="22"/>
          <w:szCs w:val="22"/>
        </w:rPr>
        <w:t xml:space="preserve"> Az év első felében l</w:t>
      </w:r>
      <w:r w:rsidR="00C71688" w:rsidRPr="007E7EB9">
        <w:rPr>
          <w:rFonts w:ascii="Arial" w:hAnsi="Arial" w:cs="Arial"/>
          <w:sz w:val="22"/>
          <w:szCs w:val="22"/>
        </w:rPr>
        <w:t>ikviditási</w:t>
      </w:r>
      <w:r w:rsidR="00C71688">
        <w:rPr>
          <w:rFonts w:ascii="Arial" w:hAnsi="Arial" w:cs="Arial"/>
          <w:sz w:val="22"/>
          <w:szCs w:val="22"/>
        </w:rPr>
        <w:t xml:space="preserve"> célú hitelfelvételre került sor</w:t>
      </w:r>
      <w:r w:rsidR="00986FC4">
        <w:rPr>
          <w:rFonts w:ascii="Arial" w:hAnsi="Arial" w:cs="Arial"/>
          <w:sz w:val="22"/>
          <w:szCs w:val="22"/>
        </w:rPr>
        <w:t xml:space="preserve"> </w:t>
      </w:r>
      <w:r w:rsidR="007E7EB9">
        <w:rPr>
          <w:rFonts w:ascii="Arial" w:hAnsi="Arial" w:cs="Arial"/>
          <w:sz w:val="22"/>
          <w:szCs w:val="22"/>
        </w:rPr>
        <w:t xml:space="preserve">96 022 372 Ft összegben, amely visszafizetése megtörtént. </w:t>
      </w:r>
    </w:p>
    <w:p w14:paraId="7532756B" w14:textId="77777777" w:rsidR="008165C1" w:rsidRDefault="008165C1" w:rsidP="00090580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</w:p>
    <w:p w14:paraId="6AF7948C" w14:textId="77777777" w:rsidR="001B1B32" w:rsidRDefault="001B1B32" w:rsidP="001F0B76">
      <w:pPr>
        <w:tabs>
          <w:tab w:val="decimal" w:pos="1843"/>
          <w:tab w:val="decimal" w:pos="3969"/>
          <w:tab w:val="decimal" w:pos="6521"/>
        </w:tabs>
        <w:jc w:val="center"/>
        <w:rPr>
          <w:rFonts w:ascii="Arial" w:hAnsi="Arial" w:cs="Arial"/>
          <w:b/>
          <w:sz w:val="22"/>
          <w:szCs w:val="22"/>
        </w:rPr>
      </w:pPr>
    </w:p>
    <w:p w14:paraId="2E3769D7" w14:textId="77777777" w:rsidR="001B1B32" w:rsidRDefault="001B1B32" w:rsidP="001F0B76">
      <w:pPr>
        <w:tabs>
          <w:tab w:val="decimal" w:pos="1843"/>
          <w:tab w:val="decimal" w:pos="3969"/>
          <w:tab w:val="decimal" w:pos="6521"/>
        </w:tabs>
        <w:jc w:val="center"/>
        <w:rPr>
          <w:rFonts w:ascii="Arial" w:hAnsi="Arial" w:cs="Arial"/>
          <w:b/>
          <w:sz w:val="22"/>
          <w:szCs w:val="22"/>
        </w:rPr>
      </w:pPr>
    </w:p>
    <w:p w14:paraId="2E824729" w14:textId="370AA3B7" w:rsidR="005124A2" w:rsidRPr="00090580" w:rsidRDefault="00CA0F39" w:rsidP="001F0B76">
      <w:pPr>
        <w:tabs>
          <w:tab w:val="decimal" w:pos="1843"/>
          <w:tab w:val="decimal" w:pos="3969"/>
          <w:tab w:val="decimal" w:pos="6521"/>
        </w:tabs>
        <w:jc w:val="center"/>
        <w:rPr>
          <w:rFonts w:ascii="Arial" w:hAnsi="Arial" w:cs="Arial"/>
          <w:b/>
          <w:sz w:val="22"/>
          <w:szCs w:val="22"/>
        </w:rPr>
      </w:pPr>
      <w:r w:rsidRPr="00023DBD">
        <w:rPr>
          <w:rFonts w:ascii="Arial" w:hAnsi="Arial" w:cs="Arial"/>
          <w:b/>
          <w:sz w:val="22"/>
          <w:szCs w:val="22"/>
        </w:rPr>
        <w:t>K</w:t>
      </w:r>
      <w:r w:rsidR="005124A2" w:rsidRPr="00023DBD">
        <w:rPr>
          <w:rFonts w:ascii="Arial" w:hAnsi="Arial" w:cs="Arial"/>
          <w:b/>
          <w:sz w:val="22"/>
          <w:szCs w:val="22"/>
        </w:rPr>
        <w:t>iadások</w:t>
      </w:r>
    </w:p>
    <w:p w14:paraId="56F0C47D" w14:textId="77777777" w:rsidR="00414382" w:rsidRPr="0031470D" w:rsidRDefault="00414382" w:rsidP="00980746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6DAECC05" w14:textId="6B9E3373" w:rsidR="00BA367A" w:rsidRPr="0031470D" w:rsidRDefault="000F3419" w:rsidP="00980746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  <w:r w:rsidRPr="0031470D">
        <w:rPr>
          <w:rFonts w:ascii="Arial" w:hAnsi="Arial" w:cs="Arial"/>
          <w:sz w:val="22"/>
          <w:szCs w:val="22"/>
          <w:u w:val="single"/>
        </w:rPr>
        <w:t xml:space="preserve">A </w:t>
      </w:r>
      <w:r w:rsidR="00302BA0">
        <w:rPr>
          <w:rFonts w:ascii="Arial" w:hAnsi="Arial" w:cs="Arial"/>
          <w:sz w:val="22"/>
          <w:szCs w:val="22"/>
          <w:u w:val="single"/>
        </w:rPr>
        <w:t xml:space="preserve">konszolidált költségvetés </w:t>
      </w:r>
      <w:r w:rsidRPr="0031470D">
        <w:rPr>
          <w:rFonts w:ascii="Arial" w:hAnsi="Arial" w:cs="Arial"/>
          <w:sz w:val="22"/>
          <w:szCs w:val="22"/>
          <w:u w:val="single"/>
        </w:rPr>
        <w:t xml:space="preserve">működési </w:t>
      </w:r>
      <w:r w:rsidR="00842D50">
        <w:rPr>
          <w:rFonts w:ascii="Arial" w:hAnsi="Arial" w:cs="Arial"/>
          <w:sz w:val="22"/>
          <w:szCs w:val="22"/>
          <w:u w:val="single"/>
        </w:rPr>
        <w:t>költségvetés kiadásai</w:t>
      </w:r>
      <w:r w:rsidR="0092610C" w:rsidRPr="0031470D">
        <w:rPr>
          <w:rFonts w:ascii="Arial" w:hAnsi="Arial" w:cs="Arial"/>
          <w:sz w:val="22"/>
          <w:szCs w:val="22"/>
        </w:rPr>
        <w:t xml:space="preserve"> a 202</w:t>
      </w:r>
      <w:r w:rsidR="007E7EB9">
        <w:rPr>
          <w:rFonts w:ascii="Arial" w:hAnsi="Arial" w:cs="Arial"/>
          <w:sz w:val="22"/>
          <w:szCs w:val="22"/>
        </w:rPr>
        <w:t>5</w:t>
      </w:r>
      <w:r w:rsidR="0092610C" w:rsidRPr="0031470D">
        <w:rPr>
          <w:rFonts w:ascii="Arial" w:hAnsi="Arial" w:cs="Arial"/>
          <w:sz w:val="22"/>
          <w:szCs w:val="22"/>
        </w:rPr>
        <w:t>. évi módosított előirányzathoz képest</w:t>
      </w:r>
      <w:r w:rsidR="00CB2C67">
        <w:rPr>
          <w:rFonts w:ascii="Arial" w:hAnsi="Arial" w:cs="Arial"/>
          <w:sz w:val="22"/>
          <w:szCs w:val="22"/>
        </w:rPr>
        <w:t xml:space="preserve"> </w:t>
      </w:r>
      <w:r w:rsidR="007E7EB9">
        <w:rPr>
          <w:rFonts w:ascii="Arial" w:hAnsi="Arial" w:cs="Arial"/>
          <w:sz w:val="22"/>
          <w:szCs w:val="22"/>
        </w:rPr>
        <w:t>közel 47,6</w:t>
      </w:r>
      <w:r w:rsidR="00302BA0">
        <w:rPr>
          <w:rFonts w:ascii="Arial" w:hAnsi="Arial" w:cs="Arial"/>
          <w:sz w:val="22"/>
          <w:szCs w:val="22"/>
        </w:rPr>
        <w:t>%</w:t>
      </w:r>
      <w:r w:rsidR="00C6788F" w:rsidRPr="0031470D">
        <w:rPr>
          <w:rFonts w:ascii="Arial" w:hAnsi="Arial" w:cs="Arial"/>
          <w:sz w:val="22"/>
          <w:szCs w:val="22"/>
        </w:rPr>
        <w:t>-ban</w:t>
      </w:r>
      <w:r w:rsidR="0092610C" w:rsidRPr="0031470D">
        <w:rPr>
          <w:rFonts w:ascii="Arial" w:hAnsi="Arial" w:cs="Arial"/>
          <w:sz w:val="22"/>
          <w:szCs w:val="22"/>
        </w:rPr>
        <w:t xml:space="preserve"> teljesültek. </w:t>
      </w:r>
      <w:r w:rsidR="002B68BC" w:rsidRPr="0031470D">
        <w:rPr>
          <w:rFonts w:ascii="Arial" w:hAnsi="Arial" w:cs="Arial"/>
          <w:sz w:val="22"/>
          <w:szCs w:val="22"/>
        </w:rPr>
        <w:t xml:space="preserve">Ezen a címen belül </w:t>
      </w:r>
      <w:r w:rsidR="0092610C" w:rsidRPr="0031470D">
        <w:rPr>
          <w:rFonts w:ascii="Arial" w:hAnsi="Arial" w:cs="Arial"/>
          <w:sz w:val="22"/>
          <w:szCs w:val="22"/>
        </w:rPr>
        <w:t xml:space="preserve">a </w:t>
      </w:r>
      <w:r w:rsidR="0092610C" w:rsidRPr="0031470D">
        <w:rPr>
          <w:rFonts w:ascii="Arial" w:hAnsi="Arial" w:cs="Arial"/>
          <w:sz w:val="22"/>
          <w:szCs w:val="22"/>
          <w:u w:val="single"/>
        </w:rPr>
        <w:t xml:space="preserve">személyi </w:t>
      </w:r>
      <w:r w:rsidR="0066273F" w:rsidRPr="0031470D">
        <w:rPr>
          <w:rFonts w:ascii="Arial" w:hAnsi="Arial" w:cs="Arial"/>
          <w:sz w:val="22"/>
          <w:szCs w:val="22"/>
          <w:u w:val="single"/>
        </w:rPr>
        <w:t xml:space="preserve">juttatások </w:t>
      </w:r>
      <w:r w:rsidR="0066273F">
        <w:rPr>
          <w:rFonts w:ascii="Arial" w:hAnsi="Arial" w:cs="Arial"/>
          <w:sz w:val="22"/>
          <w:szCs w:val="22"/>
          <w:u w:val="single"/>
        </w:rPr>
        <w:t>46</w:t>
      </w:r>
      <w:r w:rsidR="00474EDE" w:rsidRPr="00471A76">
        <w:rPr>
          <w:rFonts w:ascii="Arial" w:hAnsi="Arial" w:cs="Arial"/>
          <w:sz w:val="22"/>
          <w:szCs w:val="22"/>
        </w:rPr>
        <w:t xml:space="preserve"> %,</w:t>
      </w:r>
      <w:r w:rsidR="00302BA0">
        <w:rPr>
          <w:rFonts w:ascii="Arial" w:hAnsi="Arial" w:cs="Arial"/>
          <w:sz w:val="22"/>
          <w:szCs w:val="22"/>
          <w:u w:val="single"/>
        </w:rPr>
        <w:t xml:space="preserve"> a</w:t>
      </w:r>
      <w:r w:rsidR="0092610C" w:rsidRPr="0031470D">
        <w:rPr>
          <w:rFonts w:ascii="Arial" w:hAnsi="Arial" w:cs="Arial"/>
          <w:sz w:val="22"/>
          <w:szCs w:val="22"/>
          <w:u w:val="single"/>
        </w:rPr>
        <w:t xml:space="preserve"> járulékok</w:t>
      </w:r>
      <w:r w:rsidR="00CB2C67">
        <w:rPr>
          <w:rFonts w:ascii="Arial" w:hAnsi="Arial" w:cs="Arial"/>
          <w:sz w:val="22"/>
          <w:szCs w:val="22"/>
        </w:rPr>
        <w:t xml:space="preserve"> </w:t>
      </w:r>
      <w:r w:rsidR="00474EDE">
        <w:rPr>
          <w:rFonts w:ascii="Arial" w:hAnsi="Arial" w:cs="Arial"/>
          <w:sz w:val="22"/>
          <w:szCs w:val="22"/>
        </w:rPr>
        <w:t>44,7</w:t>
      </w:r>
      <w:r w:rsidR="00302BA0">
        <w:rPr>
          <w:rFonts w:ascii="Arial" w:hAnsi="Arial" w:cs="Arial"/>
          <w:sz w:val="22"/>
          <w:szCs w:val="22"/>
        </w:rPr>
        <w:t xml:space="preserve"> </w:t>
      </w:r>
      <w:r w:rsidR="00CB2C67" w:rsidRPr="00CB2C67">
        <w:rPr>
          <w:rFonts w:ascii="Arial" w:hAnsi="Arial" w:cs="Arial"/>
          <w:sz w:val="22"/>
          <w:szCs w:val="22"/>
        </w:rPr>
        <w:t>%</w:t>
      </w:r>
      <w:r w:rsidR="002B68BC" w:rsidRPr="0031470D">
        <w:rPr>
          <w:rFonts w:ascii="Arial" w:hAnsi="Arial" w:cs="Arial"/>
          <w:sz w:val="22"/>
          <w:szCs w:val="22"/>
        </w:rPr>
        <w:t>,</w:t>
      </w:r>
      <w:r w:rsidR="0092610C" w:rsidRPr="0031470D">
        <w:rPr>
          <w:rFonts w:ascii="Arial" w:hAnsi="Arial" w:cs="Arial"/>
          <w:sz w:val="22"/>
          <w:szCs w:val="22"/>
        </w:rPr>
        <w:t xml:space="preserve"> a </w:t>
      </w:r>
      <w:r w:rsidR="0092610C" w:rsidRPr="0031470D">
        <w:rPr>
          <w:rFonts w:ascii="Arial" w:hAnsi="Arial" w:cs="Arial"/>
          <w:sz w:val="22"/>
          <w:szCs w:val="22"/>
          <w:u w:val="single"/>
        </w:rPr>
        <w:t>dologi kiadások</w:t>
      </w:r>
      <w:r w:rsidR="00CB2C67">
        <w:rPr>
          <w:rFonts w:ascii="Arial" w:hAnsi="Arial" w:cs="Arial"/>
          <w:sz w:val="22"/>
          <w:szCs w:val="22"/>
        </w:rPr>
        <w:t xml:space="preserve"> </w:t>
      </w:r>
      <w:r w:rsidR="00474EDE">
        <w:rPr>
          <w:rFonts w:ascii="Arial" w:hAnsi="Arial" w:cs="Arial"/>
          <w:sz w:val="22"/>
          <w:szCs w:val="22"/>
        </w:rPr>
        <w:t>35,5</w:t>
      </w:r>
      <w:r w:rsidR="00D8480D" w:rsidRPr="0031470D">
        <w:rPr>
          <w:rFonts w:ascii="Arial" w:hAnsi="Arial" w:cs="Arial"/>
          <w:sz w:val="22"/>
          <w:szCs w:val="22"/>
        </w:rPr>
        <w:t xml:space="preserve"> %</w:t>
      </w:r>
      <w:r w:rsidR="005E5835" w:rsidRPr="0031470D">
        <w:rPr>
          <w:rFonts w:ascii="Arial" w:hAnsi="Arial" w:cs="Arial"/>
          <w:sz w:val="22"/>
          <w:szCs w:val="22"/>
        </w:rPr>
        <w:t xml:space="preserve">, </w:t>
      </w:r>
      <w:r w:rsidR="002B68BC" w:rsidRPr="0031470D">
        <w:rPr>
          <w:rFonts w:ascii="Arial" w:hAnsi="Arial" w:cs="Arial"/>
          <w:sz w:val="22"/>
          <w:szCs w:val="22"/>
        </w:rPr>
        <w:t xml:space="preserve">az </w:t>
      </w:r>
      <w:r w:rsidR="002B68BC" w:rsidRPr="0031470D">
        <w:rPr>
          <w:rFonts w:ascii="Arial" w:hAnsi="Arial" w:cs="Arial"/>
          <w:sz w:val="22"/>
          <w:szCs w:val="22"/>
          <w:u w:val="single"/>
        </w:rPr>
        <w:t>egyéb működési célú kiadások</w:t>
      </w:r>
      <w:r w:rsidR="00CB2C67">
        <w:rPr>
          <w:rFonts w:ascii="Arial" w:hAnsi="Arial" w:cs="Arial"/>
          <w:sz w:val="22"/>
          <w:szCs w:val="22"/>
        </w:rPr>
        <w:t xml:space="preserve"> </w:t>
      </w:r>
      <w:r w:rsidR="00474EDE">
        <w:rPr>
          <w:rFonts w:ascii="Arial" w:hAnsi="Arial" w:cs="Arial"/>
          <w:sz w:val="22"/>
          <w:szCs w:val="22"/>
        </w:rPr>
        <w:t>51,1</w:t>
      </w:r>
      <w:r w:rsidR="00302BA0">
        <w:rPr>
          <w:rFonts w:ascii="Arial" w:hAnsi="Arial" w:cs="Arial"/>
          <w:sz w:val="22"/>
          <w:szCs w:val="22"/>
        </w:rPr>
        <w:t xml:space="preserve"> </w:t>
      </w:r>
      <w:r w:rsidR="00CB2C67" w:rsidRPr="00CB2C67">
        <w:rPr>
          <w:rFonts w:ascii="Arial" w:hAnsi="Arial" w:cs="Arial"/>
          <w:sz w:val="22"/>
          <w:szCs w:val="22"/>
        </w:rPr>
        <w:t>%</w:t>
      </w:r>
      <w:r w:rsidR="002B68BC" w:rsidRPr="0031470D">
        <w:rPr>
          <w:rFonts w:ascii="Arial" w:hAnsi="Arial" w:cs="Arial"/>
          <w:sz w:val="22"/>
          <w:szCs w:val="22"/>
        </w:rPr>
        <w:t xml:space="preserve">-os teljesítést mutatnak, az </w:t>
      </w:r>
      <w:r w:rsidR="002B68BC" w:rsidRPr="0031470D">
        <w:rPr>
          <w:rFonts w:ascii="Arial" w:hAnsi="Arial" w:cs="Arial"/>
          <w:sz w:val="22"/>
          <w:szCs w:val="22"/>
          <w:u w:val="single"/>
        </w:rPr>
        <w:t>ellátottak pénzbeli juttatásai</w:t>
      </w:r>
      <w:r w:rsidR="00317A26">
        <w:rPr>
          <w:rFonts w:ascii="Arial" w:hAnsi="Arial" w:cs="Arial"/>
          <w:sz w:val="22"/>
          <w:szCs w:val="22"/>
          <w:u w:val="single"/>
        </w:rPr>
        <w:t>ra</w:t>
      </w:r>
      <w:r w:rsidR="00CB2C67">
        <w:rPr>
          <w:rFonts w:ascii="Arial" w:hAnsi="Arial" w:cs="Arial"/>
          <w:sz w:val="22"/>
          <w:szCs w:val="22"/>
        </w:rPr>
        <w:t xml:space="preserve"> pedig </w:t>
      </w:r>
      <w:r w:rsidR="00317A26">
        <w:rPr>
          <w:rFonts w:ascii="Arial" w:hAnsi="Arial" w:cs="Arial"/>
          <w:sz w:val="22"/>
          <w:szCs w:val="22"/>
        </w:rPr>
        <w:t xml:space="preserve">a módosított előirányzat </w:t>
      </w:r>
      <w:r w:rsidR="00474EDE">
        <w:rPr>
          <w:rFonts w:ascii="Arial" w:hAnsi="Arial" w:cs="Arial"/>
          <w:sz w:val="22"/>
          <w:szCs w:val="22"/>
        </w:rPr>
        <w:t>30,3</w:t>
      </w:r>
      <w:r w:rsidR="00302BA0">
        <w:rPr>
          <w:rFonts w:ascii="Arial" w:hAnsi="Arial" w:cs="Arial"/>
          <w:sz w:val="22"/>
          <w:szCs w:val="22"/>
        </w:rPr>
        <w:t xml:space="preserve"> </w:t>
      </w:r>
      <w:r w:rsidR="00CB2C67" w:rsidRPr="00CB2C67">
        <w:rPr>
          <w:rFonts w:ascii="Arial" w:hAnsi="Arial" w:cs="Arial"/>
          <w:sz w:val="22"/>
          <w:szCs w:val="22"/>
        </w:rPr>
        <w:t>%</w:t>
      </w:r>
      <w:r w:rsidR="002B68BC" w:rsidRPr="0031470D">
        <w:rPr>
          <w:rFonts w:ascii="Arial" w:hAnsi="Arial" w:cs="Arial"/>
          <w:sz w:val="22"/>
          <w:szCs w:val="22"/>
        </w:rPr>
        <w:t>-</w:t>
      </w:r>
      <w:r w:rsidR="00317A26">
        <w:rPr>
          <w:rFonts w:ascii="Arial" w:hAnsi="Arial" w:cs="Arial"/>
          <w:sz w:val="22"/>
          <w:szCs w:val="22"/>
        </w:rPr>
        <w:t>át használtuk fel az év első felében.</w:t>
      </w:r>
    </w:p>
    <w:p w14:paraId="65D5C923" w14:textId="77777777" w:rsidR="00BA367A" w:rsidRPr="0031470D" w:rsidRDefault="00BA367A" w:rsidP="00980746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</w:p>
    <w:p w14:paraId="678307BA" w14:textId="793C2A61" w:rsidR="00D513AB" w:rsidRDefault="002B68BC" w:rsidP="00A64F86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  <w:r w:rsidRPr="0031470D">
        <w:rPr>
          <w:rFonts w:ascii="Arial" w:hAnsi="Arial" w:cs="Arial"/>
          <w:sz w:val="22"/>
          <w:szCs w:val="22"/>
        </w:rPr>
        <w:t xml:space="preserve">Az </w:t>
      </w:r>
      <w:r w:rsidRPr="0031470D">
        <w:rPr>
          <w:rFonts w:ascii="Arial" w:hAnsi="Arial" w:cs="Arial"/>
          <w:sz w:val="22"/>
          <w:szCs w:val="22"/>
          <w:u w:val="single"/>
        </w:rPr>
        <w:t xml:space="preserve">egyéb működési célú </w:t>
      </w:r>
      <w:r w:rsidR="00474EDE">
        <w:rPr>
          <w:rFonts w:ascii="Arial" w:hAnsi="Arial" w:cs="Arial"/>
          <w:sz w:val="22"/>
          <w:szCs w:val="22"/>
          <w:u w:val="single"/>
        </w:rPr>
        <w:t>kiadások</w:t>
      </w:r>
      <w:r w:rsidRPr="0031470D">
        <w:rPr>
          <w:rFonts w:ascii="Arial" w:hAnsi="Arial" w:cs="Arial"/>
          <w:sz w:val="22"/>
          <w:szCs w:val="22"/>
        </w:rPr>
        <w:t xml:space="preserve"> keretén belül jelenik meg az államháztartáson belülre és kívülre átadott mű</w:t>
      </w:r>
      <w:r w:rsidR="00D513AB">
        <w:rPr>
          <w:rFonts w:ascii="Arial" w:hAnsi="Arial" w:cs="Arial"/>
          <w:sz w:val="22"/>
          <w:szCs w:val="22"/>
        </w:rPr>
        <w:t>ködési célú támogatások összege</w:t>
      </w:r>
      <w:r w:rsidR="00986FC4">
        <w:rPr>
          <w:rFonts w:ascii="Arial" w:hAnsi="Arial" w:cs="Arial"/>
          <w:sz w:val="22"/>
          <w:szCs w:val="22"/>
        </w:rPr>
        <w:t>.</w:t>
      </w:r>
      <w:r w:rsidR="00CB2C67">
        <w:rPr>
          <w:rFonts w:ascii="Arial" w:hAnsi="Arial" w:cs="Arial"/>
          <w:sz w:val="22"/>
          <w:szCs w:val="22"/>
        </w:rPr>
        <w:t xml:space="preserve"> </w:t>
      </w:r>
    </w:p>
    <w:p w14:paraId="6533FEB9" w14:textId="66703207" w:rsidR="009A69EE" w:rsidRDefault="00CB2C67" w:rsidP="009A69EE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</w:t>
      </w:r>
      <w:r w:rsidR="00474EDE">
        <w:rPr>
          <w:rFonts w:ascii="Arial" w:hAnsi="Arial" w:cs="Arial"/>
          <w:sz w:val="22"/>
          <w:szCs w:val="22"/>
        </w:rPr>
        <w:t xml:space="preserve">államháztartáson belülre átadásra kerülő </w:t>
      </w:r>
      <w:r>
        <w:rPr>
          <w:rFonts w:ascii="Arial" w:hAnsi="Arial" w:cs="Arial"/>
          <w:sz w:val="22"/>
          <w:szCs w:val="22"/>
        </w:rPr>
        <w:t>e</w:t>
      </w:r>
      <w:r w:rsidRPr="00CB2C67">
        <w:rPr>
          <w:rFonts w:ascii="Arial" w:hAnsi="Arial" w:cs="Arial"/>
          <w:sz w:val="22"/>
          <w:szCs w:val="22"/>
        </w:rPr>
        <w:t>gy</w:t>
      </w:r>
      <w:r>
        <w:rPr>
          <w:rFonts w:ascii="Arial" w:hAnsi="Arial" w:cs="Arial"/>
          <w:sz w:val="22"/>
          <w:szCs w:val="22"/>
        </w:rPr>
        <w:t xml:space="preserve">éb működési célú támogatások </w:t>
      </w:r>
      <w:r w:rsidR="00474EDE">
        <w:rPr>
          <w:rFonts w:ascii="Arial" w:hAnsi="Arial" w:cs="Arial"/>
          <w:sz w:val="22"/>
          <w:szCs w:val="22"/>
        </w:rPr>
        <w:t xml:space="preserve">módosított </w:t>
      </w:r>
      <w:r>
        <w:rPr>
          <w:rFonts w:ascii="Arial" w:hAnsi="Arial" w:cs="Arial"/>
          <w:sz w:val="22"/>
          <w:szCs w:val="22"/>
        </w:rPr>
        <w:t>előirányzat</w:t>
      </w:r>
      <w:r w:rsidR="00474ED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474EDE">
        <w:rPr>
          <w:rFonts w:ascii="Arial" w:hAnsi="Arial" w:cs="Arial"/>
          <w:sz w:val="22"/>
          <w:szCs w:val="22"/>
        </w:rPr>
        <w:t>758 108 205</w:t>
      </w:r>
      <w:r>
        <w:rPr>
          <w:rFonts w:ascii="Arial" w:hAnsi="Arial" w:cs="Arial"/>
          <w:sz w:val="22"/>
          <w:szCs w:val="22"/>
        </w:rPr>
        <w:t xml:space="preserve"> Ft, mely</w:t>
      </w:r>
      <w:r w:rsidR="006D1756">
        <w:rPr>
          <w:rFonts w:ascii="Arial" w:hAnsi="Arial" w:cs="Arial"/>
          <w:sz w:val="22"/>
          <w:szCs w:val="22"/>
        </w:rPr>
        <w:t>ből az első félévben</w:t>
      </w:r>
      <w:r>
        <w:rPr>
          <w:rFonts w:ascii="Arial" w:hAnsi="Arial" w:cs="Arial"/>
          <w:sz w:val="22"/>
          <w:szCs w:val="22"/>
        </w:rPr>
        <w:t xml:space="preserve"> </w:t>
      </w:r>
      <w:r w:rsidR="00474EDE">
        <w:rPr>
          <w:rFonts w:ascii="Arial" w:hAnsi="Arial" w:cs="Arial"/>
          <w:sz w:val="22"/>
          <w:szCs w:val="22"/>
        </w:rPr>
        <w:t>394 721 463</w:t>
      </w:r>
      <w:r>
        <w:rPr>
          <w:rFonts w:ascii="Arial" w:hAnsi="Arial" w:cs="Arial"/>
          <w:sz w:val="22"/>
          <w:szCs w:val="22"/>
        </w:rPr>
        <w:t xml:space="preserve"> Ft </w:t>
      </w:r>
      <w:r w:rsidR="006D1756">
        <w:rPr>
          <w:rFonts w:ascii="Arial" w:hAnsi="Arial" w:cs="Arial"/>
          <w:sz w:val="22"/>
          <w:szCs w:val="22"/>
        </w:rPr>
        <w:t xml:space="preserve">került felhasználásra, ez </w:t>
      </w:r>
      <w:r w:rsidR="00474EDE">
        <w:rPr>
          <w:rFonts w:ascii="Arial" w:hAnsi="Arial" w:cs="Arial"/>
          <w:sz w:val="22"/>
          <w:szCs w:val="22"/>
        </w:rPr>
        <w:t>52</w:t>
      </w:r>
      <w:r w:rsidR="00911E8A">
        <w:rPr>
          <w:rFonts w:ascii="Arial" w:hAnsi="Arial" w:cs="Arial"/>
          <w:sz w:val="22"/>
          <w:szCs w:val="22"/>
        </w:rPr>
        <w:t xml:space="preserve"> </w:t>
      </w:r>
      <w:r w:rsidRPr="00CB2C67">
        <w:rPr>
          <w:rFonts w:ascii="Arial" w:hAnsi="Arial" w:cs="Arial"/>
          <w:sz w:val="22"/>
          <w:szCs w:val="22"/>
        </w:rPr>
        <w:t>%</w:t>
      </w:r>
      <w:r w:rsidR="00911E8A">
        <w:rPr>
          <w:rFonts w:ascii="Arial" w:hAnsi="Arial" w:cs="Arial"/>
          <w:sz w:val="22"/>
          <w:szCs w:val="22"/>
        </w:rPr>
        <w:t>-os</w:t>
      </w:r>
      <w:r w:rsidRPr="00CB2C67">
        <w:rPr>
          <w:rFonts w:ascii="Arial" w:hAnsi="Arial" w:cs="Arial"/>
          <w:sz w:val="22"/>
          <w:szCs w:val="22"/>
        </w:rPr>
        <w:t xml:space="preserve"> </w:t>
      </w:r>
      <w:r w:rsidR="00050C7E">
        <w:rPr>
          <w:rFonts w:ascii="Arial" w:hAnsi="Arial" w:cs="Arial"/>
          <w:sz w:val="22"/>
          <w:szCs w:val="22"/>
        </w:rPr>
        <w:t>teljesítést jelent.</w:t>
      </w:r>
      <w:r w:rsidR="009A69EE" w:rsidRPr="0031470D">
        <w:rPr>
          <w:rFonts w:ascii="Arial" w:hAnsi="Arial" w:cs="Arial"/>
          <w:sz w:val="22"/>
          <w:szCs w:val="22"/>
        </w:rPr>
        <w:t xml:space="preserve"> </w:t>
      </w:r>
      <w:r w:rsidR="009A69EE">
        <w:rPr>
          <w:rFonts w:ascii="Arial" w:hAnsi="Arial" w:cs="Arial"/>
          <w:sz w:val="22"/>
          <w:szCs w:val="22"/>
        </w:rPr>
        <w:t>Ez</w:t>
      </w:r>
      <w:r w:rsidR="009A69EE" w:rsidRPr="0031470D">
        <w:rPr>
          <w:rFonts w:ascii="Arial" w:hAnsi="Arial" w:cs="Arial"/>
          <w:sz w:val="22"/>
          <w:szCs w:val="22"/>
        </w:rPr>
        <w:t xml:space="preserve"> </w:t>
      </w:r>
      <w:r w:rsidR="009A69EE">
        <w:rPr>
          <w:rFonts w:ascii="Arial" w:hAnsi="Arial" w:cs="Arial"/>
          <w:sz w:val="22"/>
          <w:szCs w:val="22"/>
        </w:rPr>
        <w:t>alapvetően az Ö</w:t>
      </w:r>
      <w:r w:rsidR="009A69EE" w:rsidRPr="0031470D">
        <w:rPr>
          <w:rFonts w:ascii="Arial" w:hAnsi="Arial" w:cs="Arial"/>
          <w:sz w:val="22"/>
          <w:szCs w:val="22"/>
        </w:rPr>
        <w:t xml:space="preserve">nkormányzat által alapított társulások részére, valamint a </w:t>
      </w:r>
      <w:r w:rsidR="009A69EE">
        <w:rPr>
          <w:rFonts w:ascii="Arial" w:hAnsi="Arial" w:cs="Arial"/>
          <w:sz w:val="22"/>
          <w:szCs w:val="22"/>
        </w:rPr>
        <w:t>100 %-os Ö</w:t>
      </w:r>
      <w:r w:rsidR="009A69EE" w:rsidRPr="0031470D">
        <w:rPr>
          <w:rFonts w:ascii="Arial" w:hAnsi="Arial" w:cs="Arial"/>
          <w:sz w:val="22"/>
          <w:szCs w:val="22"/>
        </w:rPr>
        <w:t xml:space="preserve">nkormányzati tulajdonú társaságok részére megállapított időarányos támogatási összeg átvezetését </w:t>
      </w:r>
      <w:r w:rsidR="009A69EE">
        <w:rPr>
          <w:rFonts w:ascii="Arial" w:hAnsi="Arial" w:cs="Arial"/>
          <w:sz w:val="22"/>
          <w:szCs w:val="22"/>
        </w:rPr>
        <w:t xml:space="preserve">tartalmazza, de itt jelenik meg a </w:t>
      </w:r>
      <w:r w:rsidR="009A69EE" w:rsidRPr="00A64F86">
        <w:rPr>
          <w:rFonts w:ascii="Arial" w:hAnsi="Arial" w:cs="Arial"/>
          <w:sz w:val="22"/>
          <w:szCs w:val="22"/>
        </w:rPr>
        <w:t>N</w:t>
      </w:r>
      <w:r w:rsidR="009A69EE">
        <w:rPr>
          <w:rFonts w:ascii="Arial" w:hAnsi="Arial" w:cs="Arial"/>
          <w:sz w:val="22"/>
          <w:szCs w:val="22"/>
        </w:rPr>
        <w:t xml:space="preserve">emzetiségi </w:t>
      </w:r>
      <w:r w:rsidR="00986FC4">
        <w:rPr>
          <w:rFonts w:ascii="Arial" w:hAnsi="Arial" w:cs="Arial"/>
          <w:sz w:val="22"/>
          <w:szCs w:val="22"/>
        </w:rPr>
        <w:t>ö</w:t>
      </w:r>
      <w:r w:rsidR="009A69EE" w:rsidRPr="00A64F86">
        <w:rPr>
          <w:rFonts w:ascii="Arial" w:hAnsi="Arial" w:cs="Arial"/>
          <w:sz w:val="22"/>
          <w:szCs w:val="22"/>
        </w:rPr>
        <w:t>nkormányzat</w:t>
      </w:r>
      <w:r w:rsidR="009A69EE">
        <w:rPr>
          <w:rFonts w:ascii="Arial" w:hAnsi="Arial" w:cs="Arial"/>
          <w:sz w:val="22"/>
          <w:szCs w:val="22"/>
        </w:rPr>
        <w:t>ok</w:t>
      </w:r>
      <w:r w:rsidR="009A69EE" w:rsidRPr="00A64F86">
        <w:rPr>
          <w:rFonts w:ascii="Arial" w:hAnsi="Arial" w:cs="Arial"/>
          <w:sz w:val="22"/>
          <w:szCs w:val="22"/>
        </w:rPr>
        <w:t xml:space="preserve"> támogatása</w:t>
      </w:r>
      <w:r w:rsidR="009A69EE">
        <w:rPr>
          <w:rFonts w:ascii="Arial" w:hAnsi="Arial" w:cs="Arial"/>
          <w:sz w:val="22"/>
          <w:szCs w:val="22"/>
        </w:rPr>
        <w:t xml:space="preserve">, az államháztartáson kívüli szervezetek támogatása, a </w:t>
      </w:r>
      <w:r w:rsidR="009A69EE" w:rsidRPr="00A64F86">
        <w:rPr>
          <w:rFonts w:ascii="Arial" w:hAnsi="Arial" w:cs="Arial"/>
          <w:sz w:val="22"/>
          <w:szCs w:val="22"/>
        </w:rPr>
        <w:t>Bursa Hungarica ösztöndíjak</w:t>
      </w:r>
      <w:r w:rsidR="009A69EE">
        <w:rPr>
          <w:rFonts w:ascii="Arial" w:hAnsi="Arial" w:cs="Arial"/>
          <w:sz w:val="22"/>
          <w:szCs w:val="22"/>
        </w:rPr>
        <w:t>ra adott összeg, valamint piac és a Számvevőségi épület felújítása</w:t>
      </w:r>
      <w:r w:rsidR="009A69EE" w:rsidRPr="00A64F86">
        <w:rPr>
          <w:rFonts w:ascii="Arial" w:hAnsi="Arial" w:cs="Arial"/>
          <w:sz w:val="22"/>
          <w:szCs w:val="22"/>
        </w:rPr>
        <w:t xml:space="preserve"> </w:t>
      </w:r>
      <w:r w:rsidR="009A69EE">
        <w:rPr>
          <w:rFonts w:ascii="Arial" w:hAnsi="Arial" w:cs="Arial"/>
          <w:sz w:val="22"/>
          <w:szCs w:val="22"/>
        </w:rPr>
        <w:t xml:space="preserve">projektekhez kapcsolódó </w:t>
      </w:r>
      <w:r w:rsidR="009A69EE" w:rsidRPr="00A64F86">
        <w:rPr>
          <w:rFonts w:ascii="Arial" w:hAnsi="Arial" w:cs="Arial"/>
          <w:sz w:val="22"/>
          <w:szCs w:val="22"/>
        </w:rPr>
        <w:t>visszafizetendő támogatás</w:t>
      </w:r>
      <w:r w:rsidR="009A69EE">
        <w:rPr>
          <w:rFonts w:ascii="Arial" w:hAnsi="Arial" w:cs="Arial"/>
          <w:sz w:val="22"/>
          <w:szCs w:val="22"/>
        </w:rPr>
        <w:t xml:space="preserve"> is. </w:t>
      </w:r>
    </w:p>
    <w:p w14:paraId="55921E27" w14:textId="752D6949" w:rsidR="0092610C" w:rsidRDefault="00D513AB" w:rsidP="00A64F86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á</w:t>
      </w:r>
      <w:r w:rsidR="009011E2">
        <w:rPr>
          <w:rFonts w:ascii="Arial" w:hAnsi="Arial" w:cs="Arial"/>
          <w:sz w:val="22"/>
          <w:szCs w:val="22"/>
        </w:rPr>
        <w:t>llamháztartáson kívülre</w:t>
      </w:r>
      <w:r>
        <w:rPr>
          <w:rFonts w:ascii="Arial" w:hAnsi="Arial" w:cs="Arial"/>
          <w:sz w:val="22"/>
          <w:szCs w:val="22"/>
        </w:rPr>
        <w:t xml:space="preserve"> – a ci</w:t>
      </w:r>
      <w:r w:rsidR="00471A76">
        <w:rPr>
          <w:rFonts w:ascii="Arial" w:hAnsi="Arial" w:cs="Arial"/>
          <w:sz w:val="22"/>
          <w:szCs w:val="22"/>
        </w:rPr>
        <w:t>vil szervezetek, a Panteon, az Ö</w:t>
      </w:r>
      <w:r>
        <w:rPr>
          <w:rFonts w:ascii="Arial" w:hAnsi="Arial" w:cs="Arial"/>
          <w:sz w:val="22"/>
          <w:szCs w:val="22"/>
        </w:rPr>
        <w:t xml:space="preserve">nkormányzat által alapított társaságok részére </w:t>
      </w:r>
      <w:r w:rsidR="0066273F">
        <w:rPr>
          <w:rFonts w:ascii="Arial" w:hAnsi="Arial" w:cs="Arial"/>
          <w:sz w:val="22"/>
          <w:szCs w:val="22"/>
        </w:rPr>
        <w:t>– történő</w:t>
      </w:r>
      <w:r w:rsidR="00474EDE">
        <w:rPr>
          <w:rFonts w:ascii="Arial" w:hAnsi="Arial" w:cs="Arial"/>
          <w:sz w:val="22"/>
          <w:szCs w:val="22"/>
        </w:rPr>
        <w:t xml:space="preserve"> </w:t>
      </w:r>
      <w:r w:rsidR="0066273F">
        <w:rPr>
          <w:rFonts w:ascii="Arial" w:hAnsi="Arial" w:cs="Arial"/>
          <w:sz w:val="22"/>
          <w:szCs w:val="22"/>
        </w:rPr>
        <w:t>pénzeszközátadás összege</w:t>
      </w:r>
      <w:r>
        <w:rPr>
          <w:rFonts w:ascii="Arial" w:hAnsi="Arial" w:cs="Arial"/>
          <w:sz w:val="22"/>
          <w:szCs w:val="22"/>
        </w:rPr>
        <w:t xml:space="preserve"> </w:t>
      </w:r>
      <w:r w:rsidR="00474EDE">
        <w:rPr>
          <w:rFonts w:ascii="Arial" w:hAnsi="Arial" w:cs="Arial"/>
          <w:sz w:val="22"/>
          <w:szCs w:val="22"/>
        </w:rPr>
        <w:t xml:space="preserve">161 502 049 Ft, </w:t>
      </w:r>
      <w:r w:rsidR="009011E2">
        <w:rPr>
          <w:rFonts w:ascii="Arial" w:hAnsi="Arial" w:cs="Arial"/>
          <w:sz w:val="22"/>
          <w:szCs w:val="22"/>
        </w:rPr>
        <w:t xml:space="preserve">ami a módosított előirányzat </w:t>
      </w:r>
      <w:r w:rsidR="00474EDE">
        <w:rPr>
          <w:rFonts w:ascii="Arial" w:hAnsi="Arial" w:cs="Arial"/>
          <w:sz w:val="22"/>
          <w:szCs w:val="22"/>
        </w:rPr>
        <w:t>52</w:t>
      </w:r>
      <w:r w:rsidR="005B14AB">
        <w:rPr>
          <w:rFonts w:ascii="Arial" w:hAnsi="Arial" w:cs="Arial"/>
          <w:sz w:val="22"/>
          <w:szCs w:val="22"/>
        </w:rPr>
        <w:t xml:space="preserve"> %-a.</w:t>
      </w:r>
      <w:r w:rsidR="004974A4">
        <w:rPr>
          <w:rFonts w:ascii="Arial" w:hAnsi="Arial" w:cs="Arial"/>
          <w:sz w:val="22"/>
          <w:szCs w:val="22"/>
        </w:rPr>
        <w:t xml:space="preserve"> </w:t>
      </w:r>
    </w:p>
    <w:p w14:paraId="0F35A8D9" w14:textId="77777777" w:rsidR="00D513AB" w:rsidRDefault="00D9046B" w:rsidP="00980746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</w:t>
      </w:r>
      <w:r w:rsidR="00474EDE">
        <w:rPr>
          <w:rFonts w:ascii="Arial" w:hAnsi="Arial" w:cs="Arial"/>
          <w:sz w:val="22"/>
          <w:szCs w:val="22"/>
        </w:rPr>
        <w:t>egyéb működési célú kiadások között szerepel a szolidaritási hozzájárulás</w:t>
      </w:r>
      <w:r w:rsidR="000D56FA">
        <w:rPr>
          <w:rFonts w:ascii="Arial" w:hAnsi="Arial" w:cs="Arial"/>
          <w:sz w:val="22"/>
          <w:szCs w:val="22"/>
        </w:rPr>
        <w:t xml:space="preserve"> </w:t>
      </w:r>
      <w:r w:rsidR="00D45C5A">
        <w:rPr>
          <w:rFonts w:ascii="Arial" w:hAnsi="Arial" w:cs="Arial"/>
          <w:sz w:val="22"/>
          <w:szCs w:val="22"/>
        </w:rPr>
        <w:t xml:space="preserve">éves szinten </w:t>
      </w:r>
      <w:r w:rsidR="00474EDE">
        <w:rPr>
          <w:rFonts w:ascii="Arial" w:hAnsi="Arial" w:cs="Arial"/>
          <w:sz w:val="22"/>
          <w:szCs w:val="22"/>
        </w:rPr>
        <w:t>52 878 323</w:t>
      </w:r>
      <w:r w:rsidR="00D45C5A">
        <w:rPr>
          <w:rFonts w:ascii="Arial" w:hAnsi="Arial" w:cs="Arial"/>
          <w:sz w:val="22"/>
          <w:szCs w:val="22"/>
        </w:rPr>
        <w:t xml:space="preserve"> </w:t>
      </w:r>
      <w:r w:rsidR="00474EDE">
        <w:rPr>
          <w:rFonts w:ascii="Arial" w:hAnsi="Arial" w:cs="Arial"/>
          <w:sz w:val="22"/>
          <w:szCs w:val="22"/>
        </w:rPr>
        <w:t xml:space="preserve">Ft és a helyi iparűzési adóbevétel többlete alapján fizetendő 8 449 626 Ft összege. </w:t>
      </w:r>
    </w:p>
    <w:p w14:paraId="4C0853E0" w14:textId="61591CA2" w:rsidR="000D56FA" w:rsidRDefault="000D56FA" w:rsidP="00980746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Június 30-ig </w:t>
      </w:r>
      <w:r w:rsidR="00D513AB">
        <w:rPr>
          <w:rFonts w:ascii="Arial" w:hAnsi="Arial" w:cs="Arial"/>
          <w:sz w:val="22"/>
          <w:szCs w:val="22"/>
        </w:rPr>
        <w:t xml:space="preserve">35 946 355 </w:t>
      </w:r>
      <w:r>
        <w:rPr>
          <w:rFonts w:ascii="Arial" w:hAnsi="Arial" w:cs="Arial"/>
          <w:sz w:val="22"/>
          <w:szCs w:val="22"/>
        </w:rPr>
        <w:t>Ft elszámolása történt meg</w:t>
      </w:r>
      <w:r w:rsidR="0066273F">
        <w:rPr>
          <w:rFonts w:ascii="Arial" w:hAnsi="Arial" w:cs="Arial"/>
          <w:sz w:val="22"/>
          <w:szCs w:val="22"/>
        </w:rPr>
        <w:t xml:space="preserve"> ezen a soron</w:t>
      </w:r>
      <w:r>
        <w:rPr>
          <w:rFonts w:ascii="Arial" w:hAnsi="Arial" w:cs="Arial"/>
          <w:sz w:val="22"/>
          <w:szCs w:val="22"/>
        </w:rPr>
        <w:t>,</w:t>
      </w:r>
      <w:r w:rsidR="00D513AB">
        <w:rPr>
          <w:rFonts w:ascii="Arial" w:hAnsi="Arial" w:cs="Arial"/>
          <w:sz w:val="22"/>
          <w:szCs w:val="22"/>
        </w:rPr>
        <w:t xml:space="preserve"> ami a módosított előirányzat 58,6</w:t>
      </w:r>
      <w:r>
        <w:rPr>
          <w:rFonts w:ascii="Arial" w:hAnsi="Arial" w:cs="Arial"/>
          <w:sz w:val="22"/>
          <w:szCs w:val="22"/>
        </w:rPr>
        <w:t xml:space="preserve"> %-a.</w:t>
      </w:r>
      <w:r w:rsidR="00AD5DEA">
        <w:rPr>
          <w:rFonts w:ascii="Arial" w:hAnsi="Arial" w:cs="Arial"/>
          <w:sz w:val="22"/>
          <w:szCs w:val="22"/>
        </w:rPr>
        <w:t xml:space="preserve"> Az előző évi normatív elszámolásból adódó</w:t>
      </w:r>
      <w:r w:rsidR="00D9046B">
        <w:rPr>
          <w:rFonts w:ascii="Arial" w:hAnsi="Arial" w:cs="Arial"/>
          <w:sz w:val="22"/>
          <w:szCs w:val="22"/>
        </w:rPr>
        <w:t xml:space="preserve"> </w:t>
      </w:r>
      <w:r w:rsidR="00D513AB">
        <w:rPr>
          <w:rFonts w:ascii="Arial" w:hAnsi="Arial" w:cs="Arial"/>
          <w:sz w:val="22"/>
          <w:szCs w:val="22"/>
        </w:rPr>
        <w:t xml:space="preserve">35 430 </w:t>
      </w:r>
      <w:r w:rsidR="00D9046B">
        <w:rPr>
          <w:rFonts w:ascii="Arial" w:hAnsi="Arial" w:cs="Arial"/>
          <w:sz w:val="22"/>
          <w:szCs w:val="22"/>
        </w:rPr>
        <w:t>Ft összegű</w:t>
      </w:r>
      <w:r w:rsidR="00D45C5A">
        <w:rPr>
          <w:rFonts w:ascii="Arial" w:hAnsi="Arial" w:cs="Arial"/>
          <w:sz w:val="22"/>
          <w:szCs w:val="22"/>
        </w:rPr>
        <w:t xml:space="preserve"> </w:t>
      </w:r>
      <w:r w:rsidR="00AD5DEA">
        <w:rPr>
          <w:rFonts w:ascii="Arial" w:hAnsi="Arial" w:cs="Arial"/>
          <w:sz w:val="22"/>
          <w:szCs w:val="22"/>
        </w:rPr>
        <w:t xml:space="preserve">visszafizetési kötelezettségünknek </w:t>
      </w:r>
      <w:r w:rsidR="00D45C5A">
        <w:rPr>
          <w:rFonts w:ascii="Arial" w:hAnsi="Arial" w:cs="Arial"/>
          <w:sz w:val="22"/>
          <w:szCs w:val="22"/>
        </w:rPr>
        <w:t xml:space="preserve">is </w:t>
      </w:r>
      <w:r w:rsidR="00AD5DEA">
        <w:rPr>
          <w:rFonts w:ascii="Arial" w:hAnsi="Arial" w:cs="Arial"/>
          <w:sz w:val="22"/>
          <w:szCs w:val="22"/>
        </w:rPr>
        <w:t xml:space="preserve">az első félévben eleget </w:t>
      </w:r>
      <w:r w:rsidR="00D45C5A">
        <w:rPr>
          <w:rFonts w:ascii="Arial" w:hAnsi="Arial" w:cs="Arial"/>
          <w:sz w:val="22"/>
          <w:szCs w:val="22"/>
        </w:rPr>
        <w:t xml:space="preserve">tettünk </w:t>
      </w:r>
      <w:r w:rsidR="00AD5DEA">
        <w:rPr>
          <w:rFonts w:ascii="Arial" w:hAnsi="Arial" w:cs="Arial"/>
          <w:sz w:val="22"/>
          <w:szCs w:val="22"/>
        </w:rPr>
        <w:t>e kiadási előirányzaton belül.</w:t>
      </w:r>
    </w:p>
    <w:p w14:paraId="443016B5" w14:textId="77777777" w:rsidR="00AD5DEA" w:rsidRPr="0031470D" w:rsidRDefault="00AD5DEA" w:rsidP="00980746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</w:p>
    <w:p w14:paraId="4A6313BF" w14:textId="174ED0BE" w:rsidR="00B90218" w:rsidRDefault="00D9046B" w:rsidP="00181CD9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  <w:r w:rsidRPr="00D9046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u w:val="single"/>
        </w:rPr>
        <w:t xml:space="preserve"> f</w:t>
      </w:r>
      <w:r w:rsidR="002B68BC" w:rsidRPr="0031470D">
        <w:rPr>
          <w:rFonts w:ascii="Arial" w:hAnsi="Arial" w:cs="Arial"/>
          <w:sz w:val="22"/>
          <w:szCs w:val="22"/>
          <w:u w:val="single"/>
        </w:rPr>
        <w:t>elhal</w:t>
      </w:r>
      <w:r w:rsidR="003621F8">
        <w:rPr>
          <w:rFonts w:ascii="Arial" w:hAnsi="Arial" w:cs="Arial"/>
          <w:sz w:val="22"/>
          <w:szCs w:val="22"/>
          <w:u w:val="single"/>
        </w:rPr>
        <w:t>mozási költségvetési kiadások</w:t>
      </w:r>
      <w:r w:rsidR="003621F8" w:rsidRPr="003621F8">
        <w:rPr>
          <w:rFonts w:ascii="Arial" w:hAnsi="Arial" w:cs="Arial"/>
          <w:sz w:val="22"/>
          <w:szCs w:val="22"/>
        </w:rPr>
        <w:t xml:space="preserve"> </w:t>
      </w:r>
      <w:r w:rsidR="003621F8">
        <w:rPr>
          <w:rFonts w:ascii="Arial" w:hAnsi="Arial" w:cs="Arial"/>
          <w:sz w:val="22"/>
          <w:szCs w:val="22"/>
        </w:rPr>
        <w:t>módosított előirányzata</w:t>
      </w:r>
      <w:r>
        <w:rPr>
          <w:rFonts w:ascii="Arial" w:hAnsi="Arial" w:cs="Arial"/>
          <w:sz w:val="22"/>
          <w:szCs w:val="22"/>
        </w:rPr>
        <w:t xml:space="preserve"> </w:t>
      </w:r>
      <w:r w:rsidR="00D513AB">
        <w:rPr>
          <w:rFonts w:ascii="Arial" w:hAnsi="Arial" w:cs="Arial"/>
          <w:sz w:val="22"/>
          <w:szCs w:val="22"/>
        </w:rPr>
        <w:t>971 389 205</w:t>
      </w:r>
      <w:r w:rsidR="003621F8">
        <w:rPr>
          <w:rFonts w:ascii="Arial" w:hAnsi="Arial" w:cs="Arial"/>
          <w:sz w:val="22"/>
          <w:szCs w:val="22"/>
        </w:rPr>
        <w:t xml:space="preserve"> Ft, melyből az első félévben </w:t>
      </w:r>
      <w:r>
        <w:rPr>
          <w:rFonts w:ascii="Arial" w:hAnsi="Arial" w:cs="Arial"/>
          <w:sz w:val="22"/>
          <w:szCs w:val="22"/>
        </w:rPr>
        <w:t xml:space="preserve">mindössze </w:t>
      </w:r>
      <w:r w:rsidR="00D513AB">
        <w:rPr>
          <w:rFonts w:ascii="Arial" w:hAnsi="Arial" w:cs="Arial"/>
          <w:sz w:val="22"/>
          <w:szCs w:val="22"/>
        </w:rPr>
        <w:t>76 584 176</w:t>
      </w:r>
      <w:r w:rsidR="003621F8" w:rsidRPr="003621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Ft kiadás merült fel, ez</w:t>
      </w:r>
      <w:r w:rsidR="003621F8">
        <w:rPr>
          <w:rFonts w:ascii="Arial" w:hAnsi="Arial" w:cs="Arial"/>
          <w:sz w:val="22"/>
          <w:szCs w:val="22"/>
        </w:rPr>
        <w:t xml:space="preserve"> </w:t>
      </w:r>
      <w:r w:rsidR="0066273F">
        <w:rPr>
          <w:rFonts w:ascii="Arial" w:hAnsi="Arial" w:cs="Arial"/>
          <w:sz w:val="22"/>
          <w:szCs w:val="22"/>
        </w:rPr>
        <w:t>7,</w:t>
      </w:r>
      <w:r w:rsidR="00D513AB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</w:t>
      </w:r>
      <w:r w:rsidR="004C278C" w:rsidRPr="004C278C">
        <w:rPr>
          <w:rFonts w:ascii="Arial" w:hAnsi="Arial" w:cs="Arial"/>
          <w:sz w:val="22"/>
          <w:szCs w:val="22"/>
        </w:rPr>
        <w:t>%</w:t>
      </w:r>
      <w:r w:rsidR="004C278C">
        <w:rPr>
          <w:rFonts w:ascii="Arial" w:hAnsi="Arial" w:cs="Arial"/>
          <w:sz w:val="22"/>
          <w:szCs w:val="22"/>
        </w:rPr>
        <w:t xml:space="preserve">-os teljesítést jelent. A </w:t>
      </w:r>
      <w:r w:rsidR="00B4716E" w:rsidRPr="0066273F">
        <w:rPr>
          <w:rFonts w:ascii="Arial" w:hAnsi="Arial" w:cs="Arial"/>
          <w:sz w:val="22"/>
          <w:szCs w:val="22"/>
        </w:rPr>
        <w:t xml:space="preserve">beruházások, felújítások </w:t>
      </w:r>
      <w:r w:rsidR="00696741" w:rsidRPr="0066273F">
        <w:rPr>
          <w:rFonts w:ascii="Arial" w:hAnsi="Arial" w:cs="Arial"/>
          <w:sz w:val="22"/>
          <w:szCs w:val="22"/>
        </w:rPr>
        <w:t>kiadásai</w:t>
      </w:r>
      <w:r w:rsidR="00696741" w:rsidRPr="0031470D">
        <w:rPr>
          <w:rFonts w:ascii="Arial" w:hAnsi="Arial" w:cs="Arial"/>
          <w:sz w:val="22"/>
          <w:szCs w:val="22"/>
        </w:rPr>
        <w:t xml:space="preserve"> a kivitelezés </w:t>
      </w:r>
      <w:r w:rsidR="00B4716E" w:rsidRPr="0031470D">
        <w:rPr>
          <w:rFonts w:ascii="Arial" w:hAnsi="Arial" w:cs="Arial"/>
          <w:sz w:val="22"/>
          <w:szCs w:val="22"/>
        </w:rPr>
        <w:t>ütemezés</w:t>
      </w:r>
      <w:r w:rsidR="00696741" w:rsidRPr="0031470D">
        <w:rPr>
          <w:rFonts w:ascii="Arial" w:hAnsi="Arial" w:cs="Arial"/>
          <w:sz w:val="22"/>
          <w:szCs w:val="22"/>
        </w:rPr>
        <w:t>éhez kapcsolódóan merülnek fel.</w:t>
      </w:r>
    </w:p>
    <w:p w14:paraId="51699EFE" w14:textId="77777777" w:rsidR="00B90218" w:rsidRDefault="00B90218" w:rsidP="00181CD9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</w:p>
    <w:p w14:paraId="52833E58" w14:textId="0FB04D40" w:rsidR="00B90218" w:rsidRDefault="00696741" w:rsidP="00181CD9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  <w:r w:rsidRPr="0031470D">
        <w:rPr>
          <w:rFonts w:ascii="Arial" w:hAnsi="Arial" w:cs="Arial"/>
          <w:sz w:val="22"/>
          <w:szCs w:val="22"/>
        </w:rPr>
        <w:t xml:space="preserve"> </w:t>
      </w:r>
      <w:r w:rsidR="00B90218">
        <w:rPr>
          <w:rFonts w:ascii="Arial" w:hAnsi="Arial" w:cs="Arial"/>
          <w:sz w:val="22"/>
          <w:szCs w:val="22"/>
        </w:rPr>
        <w:t xml:space="preserve">A vizsgált időszakban 52 976 729 Ft összegű </w:t>
      </w:r>
      <w:r w:rsidR="00B90218" w:rsidRPr="00FE26E3">
        <w:rPr>
          <w:rFonts w:ascii="Arial" w:hAnsi="Arial" w:cs="Arial"/>
          <w:sz w:val="22"/>
          <w:szCs w:val="22"/>
          <w:u w:val="single"/>
        </w:rPr>
        <w:t>beruházást</w:t>
      </w:r>
      <w:r w:rsidR="00B90218">
        <w:rPr>
          <w:rFonts w:ascii="Arial" w:hAnsi="Arial" w:cs="Arial"/>
          <w:sz w:val="22"/>
          <w:szCs w:val="22"/>
        </w:rPr>
        <w:t xml:space="preserve"> valósított meg Bátaszék Város Önkormányzata, amely a módosított előirányzathoz képest 5.6 %-os teljesítést eredményezett. 2025. első félévében többek között a </w:t>
      </w:r>
      <w:r w:rsidR="0066273F">
        <w:rPr>
          <w:rFonts w:ascii="Arial" w:hAnsi="Arial" w:cs="Arial"/>
          <w:sz w:val="22"/>
          <w:szCs w:val="22"/>
        </w:rPr>
        <w:t>Wienerberger</w:t>
      </w:r>
      <w:r w:rsidR="00B90218">
        <w:rPr>
          <w:rFonts w:ascii="Arial" w:hAnsi="Arial" w:cs="Arial"/>
          <w:sz w:val="22"/>
          <w:szCs w:val="22"/>
        </w:rPr>
        <w:t xml:space="preserve"> területek adásvétele, a </w:t>
      </w:r>
      <w:r w:rsidR="0066273F">
        <w:rPr>
          <w:rFonts w:ascii="Arial" w:hAnsi="Arial" w:cs="Arial"/>
          <w:sz w:val="22"/>
          <w:szCs w:val="22"/>
        </w:rPr>
        <w:t>közvilágítási</w:t>
      </w:r>
      <w:r w:rsidR="00B90218">
        <w:rPr>
          <w:rFonts w:ascii="Arial" w:hAnsi="Arial" w:cs="Arial"/>
          <w:sz w:val="22"/>
          <w:szCs w:val="22"/>
        </w:rPr>
        <w:t xml:space="preserve"> lámpák cseréje, a Szabadság u. parkoló befejez</w:t>
      </w:r>
      <w:r w:rsidR="0066273F">
        <w:rPr>
          <w:rFonts w:ascii="Arial" w:hAnsi="Arial" w:cs="Arial"/>
          <w:sz w:val="22"/>
          <w:szCs w:val="22"/>
        </w:rPr>
        <w:t>ő munkái, a Kossuth utcában</w:t>
      </w:r>
      <w:r w:rsidR="00B90218">
        <w:rPr>
          <w:rFonts w:ascii="Arial" w:hAnsi="Arial" w:cs="Arial"/>
          <w:sz w:val="22"/>
          <w:szCs w:val="22"/>
        </w:rPr>
        <w:t xml:space="preserve"> ideig</w:t>
      </w:r>
      <w:r w:rsidR="0066273F">
        <w:rPr>
          <w:rFonts w:ascii="Arial" w:hAnsi="Arial" w:cs="Arial"/>
          <w:sz w:val="22"/>
          <w:szCs w:val="22"/>
        </w:rPr>
        <w:t>lenes parkoló kialakítása, klímák</w:t>
      </w:r>
      <w:r w:rsidR="00B90218">
        <w:rPr>
          <w:rFonts w:ascii="Arial" w:hAnsi="Arial" w:cs="Arial"/>
          <w:sz w:val="22"/>
          <w:szCs w:val="22"/>
        </w:rPr>
        <w:t xml:space="preserve"> beszerelés</w:t>
      </w:r>
      <w:r w:rsidR="0066273F">
        <w:rPr>
          <w:rFonts w:ascii="Arial" w:hAnsi="Arial" w:cs="Arial"/>
          <w:sz w:val="22"/>
          <w:szCs w:val="22"/>
        </w:rPr>
        <w:t>e</w:t>
      </w:r>
      <w:r w:rsidR="00B90218">
        <w:rPr>
          <w:rFonts w:ascii="Arial" w:hAnsi="Arial" w:cs="Arial"/>
          <w:sz w:val="22"/>
          <w:szCs w:val="22"/>
        </w:rPr>
        <w:t xml:space="preserve">, orvos rendelőbe eszköz beszerzés történt. </w:t>
      </w:r>
    </w:p>
    <w:p w14:paraId="6CB06FA2" w14:textId="47D624B8" w:rsidR="00FE26E3" w:rsidRPr="0031470D" w:rsidRDefault="00FE26E3" w:rsidP="00FE26E3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  <w:r w:rsidRPr="00FE26E3">
        <w:rPr>
          <w:rFonts w:ascii="Arial" w:hAnsi="Arial" w:cs="Arial"/>
          <w:sz w:val="22"/>
          <w:szCs w:val="22"/>
        </w:rPr>
        <w:t>A Keresztély Gyula Könyvtárnál könyvtári könyv beszerzésre 637 913 Ft-ot, a KÖH-nél 2 db monitor és 1 db szünetmentes tápegység vásárlására 202 800 Ft-ot fordítottunk.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DD5C15D" w14:textId="77777777" w:rsidR="00FE26E3" w:rsidRDefault="00FE26E3" w:rsidP="00181CD9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</w:p>
    <w:p w14:paraId="7B7CB197" w14:textId="5B453CEF" w:rsidR="00B90218" w:rsidRDefault="00696741" w:rsidP="00181CD9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  <w:r w:rsidRPr="0031470D">
        <w:rPr>
          <w:rFonts w:ascii="Arial" w:hAnsi="Arial" w:cs="Arial"/>
          <w:sz w:val="22"/>
          <w:szCs w:val="22"/>
        </w:rPr>
        <w:t xml:space="preserve">A </w:t>
      </w:r>
      <w:r w:rsidR="004C278C">
        <w:rPr>
          <w:rFonts w:ascii="Arial" w:hAnsi="Arial" w:cs="Arial"/>
          <w:sz w:val="22"/>
          <w:szCs w:val="22"/>
        </w:rPr>
        <w:t xml:space="preserve">vizsgált időszakban </w:t>
      </w:r>
      <w:r w:rsidR="00D513AB">
        <w:rPr>
          <w:rFonts w:ascii="Arial" w:hAnsi="Arial" w:cs="Arial"/>
          <w:sz w:val="22"/>
          <w:szCs w:val="22"/>
        </w:rPr>
        <w:t>21 207 447</w:t>
      </w:r>
      <w:r w:rsidR="00A57E26">
        <w:rPr>
          <w:rFonts w:ascii="Arial" w:hAnsi="Arial" w:cs="Arial"/>
          <w:sz w:val="22"/>
          <w:szCs w:val="22"/>
        </w:rPr>
        <w:t xml:space="preserve"> Ft összegű </w:t>
      </w:r>
      <w:r w:rsidR="00A57E26" w:rsidRPr="00FE26E3">
        <w:rPr>
          <w:rFonts w:ascii="Arial" w:hAnsi="Arial" w:cs="Arial"/>
          <w:sz w:val="22"/>
          <w:szCs w:val="22"/>
          <w:u w:val="single"/>
        </w:rPr>
        <w:t>felújítás</w:t>
      </w:r>
      <w:r w:rsidR="00A57E26">
        <w:rPr>
          <w:rFonts w:ascii="Arial" w:hAnsi="Arial" w:cs="Arial"/>
          <w:sz w:val="22"/>
          <w:szCs w:val="22"/>
        </w:rPr>
        <w:t xml:space="preserve"> történt, mely </w:t>
      </w:r>
      <w:r w:rsidR="00B90218">
        <w:rPr>
          <w:rFonts w:ascii="Arial" w:hAnsi="Arial" w:cs="Arial"/>
          <w:sz w:val="22"/>
          <w:szCs w:val="22"/>
        </w:rPr>
        <w:t xml:space="preserve">84,3 %-os teljesítést jelent a módosított előirányzathoz képest. Ezen időszakban  Top Plusz szociális alapszolgáltatások fejlesztése  projekt I. üteméhez kapcsolódóan az ellátást biztosító ideiglenes épület kialakítási költsége jelent meg 20 947 732 Ft összeggel, valamint a Hunyadi u. 2/A épületében melegpadló felújítása történt 259 715 Ft összegben. </w:t>
      </w:r>
    </w:p>
    <w:p w14:paraId="0A3F8547" w14:textId="41E8B036" w:rsidR="00FE26E3" w:rsidRDefault="00FE26E3" w:rsidP="00181CD9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</w:p>
    <w:p w14:paraId="478B40FF" w14:textId="77777777" w:rsidR="007B184B" w:rsidRPr="0031470D" w:rsidRDefault="007B184B" w:rsidP="00980746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</w:rPr>
      </w:pPr>
    </w:p>
    <w:p w14:paraId="44494C94" w14:textId="39230108" w:rsidR="00004E7F" w:rsidRPr="0031470D" w:rsidRDefault="00AE3EE8" w:rsidP="002575D7">
      <w:pPr>
        <w:jc w:val="both"/>
        <w:rPr>
          <w:rFonts w:ascii="Arial" w:hAnsi="Arial" w:cs="Arial"/>
          <w:sz w:val="22"/>
          <w:szCs w:val="22"/>
        </w:rPr>
      </w:pPr>
      <w:r w:rsidRPr="0031470D">
        <w:rPr>
          <w:rFonts w:ascii="Arial" w:hAnsi="Arial" w:cs="Arial"/>
          <w:sz w:val="22"/>
          <w:szCs w:val="22"/>
        </w:rPr>
        <w:t xml:space="preserve">Összességében a </w:t>
      </w:r>
      <w:r w:rsidRPr="0031470D">
        <w:rPr>
          <w:rFonts w:ascii="Arial" w:hAnsi="Arial" w:cs="Arial"/>
          <w:sz w:val="22"/>
          <w:szCs w:val="22"/>
          <w:u w:val="single"/>
        </w:rPr>
        <w:t>költségvetési kiadások</w:t>
      </w:r>
      <w:r w:rsidRPr="0031470D">
        <w:rPr>
          <w:rFonts w:ascii="Arial" w:hAnsi="Arial" w:cs="Arial"/>
          <w:sz w:val="22"/>
          <w:szCs w:val="22"/>
        </w:rPr>
        <w:t xml:space="preserve"> </w:t>
      </w:r>
      <w:r w:rsidR="00201185">
        <w:rPr>
          <w:rFonts w:ascii="Arial" w:hAnsi="Arial" w:cs="Arial"/>
          <w:sz w:val="22"/>
          <w:szCs w:val="22"/>
        </w:rPr>
        <w:t xml:space="preserve">tekintetében </w:t>
      </w:r>
      <w:r w:rsidRPr="0031470D">
        <w:rPr>
          <w:rFonts w:ascii="Arial" w:hAnsi="Arial" w:cs="Arial"/>
          <w:sz w:val="22"/>
          <w:szCs w:val="22"/>
        </w:rPr>
        <w:t>a módosított előirányzat</w:t>
      </w:r>
      <w:r w:rsidR="00EB42AF">
        <w:rPr>
          <w:rFonts w:ascii="Arial" w:hAnsi="Arial" w:cs="Arial"/>
          <w:sz w:val="22"/>
          <w:szCs w:val="22"/>
        </w:rPr>
        <w:t xml:space="preserve"> </w:t>
      </w:r>
      <w:r w:rsidR="00FE26E3">
        <w:rPr>
          <w:rFonts w:ascii="Arial" w:hAnsi="Arial" w:cs="Arial"/>
          <w:sz w:val="22"/>
          <w:szCs w:val="22"/>
        </w:rPr>
        <w:t xml:space="preserve">33,7 </w:t>
      </w:r>
      <w:r w:rsidR="000640A2">
        <w:rPr>
          <w:rFonts w:ascii="Arial" w:hAnsi="Arial" w:cs="Arial"/>
          <w:sz w:val="22"/>
          <w:szCs w:val="22"/>
        </w:rPr>
        <w:t>%</w:t>
      </w:r>
      <w:r w:rsidR="00515782">
        <w:rPr>
          <w:rFonts w:ascii="Arial" w:hAnsi="Arial" w:cs="Arial"/>
          <w:sz w:val="22"/>
          <w:szCs w:val="22"/>
        </w:rPr>
        <w:t>-a került felhasználásr</w:t>
      </w:r>
      <w:r w:rsidR="00201185">
        <w:rPr>
          <w:rFonts w:ascii="Arial" w:hAnsi="Arial" w:cs="Arial"/>
          <w:sz w:val="22"/>
          <w:szCs w:val="22"/>
        </w:rPr>
        <w:t>a</w:t>
      </w:r>
      <w:r w:rsidR="00EB42AF">
        <w:rPr>
          <w:rFonts w:ascii="Arial" w:hAnsi="Arial" w:cs="Arial"/>
          <w:sz w:val="22"/>
          <w:szCs w:val="22"/>
        </w:rPr>
        <w:t xml:space="preserve">. </w:t>
      </w:r>
      <w:r w:rsidR="00805C91" w:rsidRPr="0031470D">
        <w:rPr>
          <w:rFonts w:ascii="Arial" w:hAnsi="Arial" w:cs="Arial"/>
          <w:sz w:val="22"/>
          <w:szCs w:val="22"/>
        </w:rPr>
        <w:t xml:space="preserve">A működési kiadások tekintetében az első félévben </w:t>
      </w:r>
      <w:r w:rsidR="00A60933">
        <w:rPr>
          <w:rFonts w:ascii="Arial" w:hAnsi="Arial" w:cs="Arial"/>
          <w:sz w:val="22"/>
          <w:szCs w:val="22"/>
        </w:rPr>
        <w:t xml:space="preserve">is az előző évekhez hasonlóan </w:t>
      </w:r>
      <w:r w:rsidR="00805C91" w:rsidRPr="0031470D">
        <w:rPr>
          <w:rFonts w:ascii="Arial" w:hAnsi="Arial" w:cs="Arial"/>
          <w:sz w:val="22"/>
          <w:szCs w:val="22"/>
        </w:rPr>
        <w:t>egy visszafogott, takarékos gazdálkodás valósult meg.</w:t>
      </w:r>
      <w:r w:rsidR="009D21EA" w:rsidRPr="0031470D">
        <w:rPr>
          <w:rFonts w:ascii="Arial" w:hAnsi="Arial" w:cs="Arial"/>
          <w:sz w:val="22"/>
          <w:szCs w:val="22"/>
        </w:rPr>
        <w:t xml:space="preserve"> </w:t>
      </w:r>
    </w:p>
    <w:p w14:paraId="4B0BB0B7" w14:textId="77777777" w:rsidR="00004E7F" w:rsidRPr="0031470D" w:rsidRDefault="00004E7F" w:rsidP="002575D7">
      <w:pPr>
        <w:jc w:val="both"/>
        <w:rPr>
          <w:rFonts w:ascii="Arial" w:hAnsi="Arial" w:cs="Arial"/>
          <w:sz w:val="22"/>
          <w:szCs w:val="22"/>
        </w:rPr>
      </w:pPr>
    </w:p>
    <w:p w14:paraId="1A874C5A" w14:textId="17B5FC3E" w:rsidR="00004E7F" w:rsidRPr="0031470D" w:rsidRDefault="00004E7F" w:rsidP="00806C20">
      <w:pPr>
        <w:jc w:val="both"/>
        <w:rPr>
          <w:rFonts w:ascii="Arial" w:hAnsi="Arial" w:cs="Arial"/>
          <w:sz w:val="22"/>
          <w:szCs w:val="22"/>
        </w:rPr>
      </w:pPr>
      <w:r w:rsidRPr="0031470D">
        <w:rPr>
          <w:rFonts w:ascii="Arial" w:hAnsi="Arial" w:cs="Arial"/>
          <w:sz w:val="22"/>
          <w:szCs w:val="22"/>
        </w:rPr>
        <w:t xml:space="preserve">A </w:t>
      </w:r>
      <w:r w:rsidRPr="0031470D">
        <w:rPr>
          <w:rFonts w:ascii="Arial" w:hAnsi="Arial" w:cs="Arial"/>
          <w:sz w:val="22"/>
          <w:szCs w:val="22"/>
          <w:u w:val="single"/>
        </w:rPr>
        <w:t>finanszírozási kiadások</w:t>
      </w:r>
      <w:r w:rsidR="00A97DA6">
        <w:rPr>
          <w:rFonts w:ascii="Arial" w:hAnsi="Arial" w:cs="Arial"/>
          <w:sz w:val="22"/>
          <w:szCs w:val="22"/>
        </w:rPr>
        <w:t xml:space="preserve"> </w:t>
      </w:r>
      <w:r w:rsidR="00FE26E3">
        <w:rPr>
          <w:rFonts w:ascii="Arial" w:hAnsi="Arial" w:cs="Arial"/>
          <w:sz w:val="22"/>
          <w:szCs w:val="22"/>
        </w:rPr>
        <w:t>127 110 974</w:t>
      </w:r>
      <w:r w:rsidRPr="0031470D">
        <w:rPr>
          <w:rFonts w:ascii="Arial" w:hAnsi="Arial" w:cs="Arial"/>
          <w:sz w:val="22"/>
          <w:szCs w:val="22"/>
        </w:rPr>
        <w:t xml:space="preserve"> Ft </w:t>
      </w:r>
      <w:r w:rsidR="00806C20" w:rsidRPr="0031470D">
        <w:rPr>
          <w:rFonts w:ascii="Arial" w:hAnsi="Arial" w:cs="Arial"/>
          <w:sz w:val="22"/>
          <w:szCs w:val="22"/>
        </w:rPr>
        <w:t>összeg</w:t>
      </w:r>
      <w:r w:rsidR="00A97DA6">
        <w:rPr>
          <w:rFonts w:ascii="Arial" w:hAnsi="Arial" w:cs="Arial"/>
          <w:sz w:val="22"/>
          <w:szCs w:val="22"/>
        </w:rPr>
        <w:t>ben merültek fel, melynek</w:t>
      </w:r>
      <w:r w:rsidRPr="0031470D">
        <w:rPr>
          <w:rFonts w:ascii="Arial" w:hAnsi="Arial" w:cs="Arial"/>
          <w:sz w:val="22"/>
          <w:szCs w:val="22"/>
        </w:rPr>
        <w:t xml:space="preserve"> részeként az államháztartáson belüli megelőlegezések visszafizetésével összefüggő kötelezettségünknek teljes mértékben ele</w:t>
      </w:r>
      <w:r w:rsidR="00EB42AF">
        <w:rPr>
          <w:rFonts w:ascii="Arial" w:hAnsi="Arial" w:cs="Arial"/>
          <w:sz w:val="22"/>
          <w:szCs w:val="22"/>
        </w:rPr>
        <w:t xml:space="preserve">get tettünk, </w:t>
      </w:r>
      <w:r w:rsidR="00FE26E3">
        <w:rPr>
          <w:rFonts w:ascii="Arial" w:hAnsi="Arial" w:cs="Arial"/>
          <w:sz w:val="22"/>
          <w:szCs w:val="22"/>
        </w:rPr>
        <w:t>valamint a likviditási célú hitel teljes összege visszafizetésre került.</w:t>
      </w:r>
    </w:p>
    <w:p w14:paraId="5388D370" w14:textId="77777777" w:rsidR="00004E7F" w:rsidRPr="0031470D" w:rsidRDefault="00004E7F" w:rsidP="002575D7">
      <w:pPr>
        <w:jc w:val="both"/>
        <w:rPr>
          <w:rFonts w:ascii="Arial" w:hAnsi="Arial" w:cs="Arial"/>
          <w:sz w:val="22"/>
          <w:szCs w:val="22"/>
        </w:rPr>
      </w:pPr>
    </w:p>
    <w:p w14:paraId="4324591D" w14:textId="18D25EA6" w:rsidR="00B4716E" w:rsidRPr="0031470D" w:rsidRDefault="009D21EA" w:rsidP="002575D7">
      <w:pPr>
        <w:jc w:val="both"/>
        <w:rPr>
          <w:rFonts w:ascii="Arial" w:hAnsi="Arial" w:cs="Arial"/>
          <w:sz w:val="22"/>
          <w:szCs w:val="22"/>
        </w:rPr>
      </w:pPr>
      <w:r w:rsidRPr="0031470D">
        <w:rPr>
          <w:rFonts w:ascii="Arial" w:hAnsi="Arial" w:cs="Arial"/>
          <w:sz w:val="22"/>
          <w:szCs w:val="22"/>
        </w:rPr>
        <w:t>A kiadások fő összegét tekintve</w:t>
      </w:r>
      <w:r w:rsidR="00AB142F">
        <w:rPr>
          <w:rFonts w:ascii="Arial" w:hAnsi="Arial" w:cs="Arial"/>
          <w:sz w:val="22"/>
          <w:szCs w:val="22"/>
        </w:rPr>
        <w:t xml:space="preserve"> a módosított előirányzat </w:t>
      </w:r>
      <w:r w:rsidR="00FE26E3">
        <w:rPr>
          <w:rFonts w:ascii="Arial" w:hAnsi="Arial" w:cs="Arial"/>
          <w:sz w:val="22"/>
          <w:szCs w:val="22"/>
        </w:rPr>
        <w:t>36,6</w:t>
      </w:r>
      <w:r w:rsidR="00BD3714">
        <w:rPr>
          <w:rFonts w:ascii="Arial" w:hAnsi="Arial" w:cs="Arial"/>
          <w:sz w:val="22"/>
          <w:szCs w:val="22"/>
        </w:rPr>
        <w:t xml:space="preserve"> </w:t>
      </w:r>
      <w:r w:rsidR="00AB142F" w:rsidRPr="00AB142F">
        <w:rPr>
          <w:rFonts w:ascii="Arial" w:hAnsi="Arial" w:cs="Arial"/>
          <w:sz w:val="22"/>
          <w:szCs w:val="22"/>
        </w:rPr>
        <w:t>%</w:t>
      </w:r>
      <w:r w:rsidR="00AB142F">
        <w:rPr>
          <w:rFonts w:ascii="Arial" w:hAnsi="Arial" w:cs="Arial"/>
          <w:sz w:val="22"/>
          <w:szCs w:val="22"/>
        </w:rPr>
        <w:t>-os felhasználása történt meg az első félévben.</w:t>
      </w:r>
    </w:p>
    <w:p w14:paraId="647B76D0" w14:textId="77777777" w:rsidR="009D21EA" w:rsidRPr="0031470D" w:rsidRDefault="009D21EA" w:rsidP="002575D7">
      <w:pPr>
        <w:jc w:val="both"/>
        <w:rPr>
          <w:rFonts w:ascii="Arial" w:hAnsi="Arial" w:cs="Arial"/>
          <w:sz w:val="22"/>
          <w:szCs w:val="22"/>
        </w:rPr>
      </w:pPr>
    </w:p>
    <w:p w14:paraId="6482031C" w14:textId="3BC22A09" w:rsidR="008B4F53" w:rsidRDefault="00FD1C1B" w:rsidP="002575D7">
      <w:pPr>
        <w:jc w:val="both"/>
        <w:rPr>
          <w:rFonts w:ascii="Arial" w:hAnsi="Arial" w:cs="Arial"/>
          <w:sz w:val="22"/>
          <w:szCs w:val="22"/>
        </w:rPr>
      </w:pPr>
      <w:r w:rsidRPr="0031470D">
        <w:rPr>
          <w:rFonts w:ascii="Arial" w:hAnsi="Arial" w:cs="Arial"/>
          <w:sz w:val="22"/>
          <w:szCs w:val="22"/>
        </w:rPr>
        <w:t>Önkormányzatunknak l</w:t>
      </w:r>
      <w:r w:rsidR="005124A2" w:rsidRPr="0031470D">
        <w:rPr>
          <w:rFonts w:ascii="Arial" w:hAnsi="Arial" w:cs="Arial"/>
          <w:sz w:val="22"/>
          <w:szCs w:val="22"/>
        </w:rPr>
        <w:t>ikviditási prob</w:t>
      </w:r>
      <w:r w:rsidRPr="0031470D">
        <w:rPr>
          <w:rFonts w:ascii="Arial" w:hAnsi="Arial" w:cs="Arial"/>
          <w:sz w:val="22"/>
          <w:szCs w:val="22"/>
        </w:rPr>
        <w:t>lémái</w:t>
      </w:r>
      <w:r w:rsidR="005124A2" w:rsidRPr="0031470D">
        <w:rPr>
          <w:rFonts w:ascii="Arial" w:hAnsi="Arial" w:cs="Arial"/>
          <w:sz w:val="22"/>
          <w:szCs w:val="22"/>
        </w:rPr>
        <w:t xml:space="preserve"> a félév során</w:t>
      </w:r>
      <w:r w:rsidR="00921531" w:rsidRPr="0031470D">
        <w:rPr>
          <w:rFonts w:ascii="Arial" w:hAnsi="Arial" w:cs="Arial"/>
          <w:sz w:val="22"/>
          <w:szCs w:val="22"/>
        </w:rPr>
        <w:t xml:space="preserve"> nem </w:t>
      </w:r>
      <w:r w:rsidR="00B4716E" w:rsidRPr="0031470D">
        <w:rPr>
          <w:rFonts w:ascii="Arial" w:hAnsi="Arial" w:cs="Arial"/>
          <w:sz w:val="22"/>
          <w:szCs w:val="22"/>
        </w:rPr>
        <w:t>merültek fel</w:t>
      </w:r>
      <w:r w:rsidR="007003A1" w:rsidRPr="0031470D">
        <w:rPr>
          <w:rFonts w:ascii="Arial" w:hAnsi="Arial" w:cs="Arial"/>
          <w:sz w:val="22"/>
          <w:szCs w:val="22"/>
        </w:rPr>
        <w:t xml:space="preserve">. </w:t>
      </w:r>
    </w:p>
    <w:p w14:paraId="22D36227" w14:textId="77777777" w:rsidR="008B4F53" w:rsidRDefault="008B4F53" w:rsidP="002575D7">
      <w:pPr>
        <w:jc w:val="both"/>
        <w:rPr>
          <w:rFonts w:ascii="Arial" w:hAnsi="Arial" w:cs="Arial"/>
          <w:sz w:val="22"/>
          <w:szCs w:val="22"/>
        </w:rPr>
      </w:pPr>
    </w:p>
    <w:p w14:paraId="3FCB8786" w14:textId="3442778A" w:rsidR="001241B6" w:rsidRDefault="00BC2AFF" w:rsidP="00BA25F7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Kérem a Tisztelt Képviselő-testületet, hogy </w:t>
      </w:r>
      <w:r w:rsidR="005124A2" w:rsidRPr="0031470D">
        <w:rPr>
          <w:rFonts w:ascii="Arial" w:hAnsi="Arial" w:cs="Arial"/>
          <w:sz w:val="22"/>
          <w:szCs w:val="22"/>
        </w:rPr>
        <w:t>a költségvetés végrehajtásáról szóló</w:t>
      </w:r>
      <w:r w:rsidR="00DF227E" w:rsidRPr="0031470D">
        <w:rPr>
          <w:rFonts w:ascii="Arial" w:hAnsi="Arial" w:cs="Arial"/>
          <w:sz w:val="22"/>
          <w:szCs w:val="22"/>
        </w:rPr>
        <w:t xml:space="preserve">, </w:t>
      </w:r>
      <w:r w:rsidR="003C03A5" w:rsidRPr="0031470D">
        <w:rPr>
          <w:rFonts w:ascii="Arial" w:hAnsi="Arial" w:cs="Arial"/>
          <w:sz w:val="22"/>
          <w:szCs w:val="22"/>
        </w:rPr>
        <w:t>az első félév tényleges pé</w:t>
      </w:r>
      <w:r w:rsidR="00DF227E" w:rsidRPr="0031470D">
        <w:rPr>
          <w:rFonts w:ascii="Arial" w:hAnsi="Arial" w:cs="Arial"/>
          <w:sz w:val="22"/>
          <w:szCs w:val="22"/>
        </w:rPr>
        <w:t xml:space="preserve">nzforgalmi adatait tartalmazó </w:t>
      </w:r>
      <w:r w:rsidR="005124A2" w:rsidRPr="0031470D">
        <w:rPr>
          <w:rFonts w:ascii="Arial" w:hAnsi="Arial" w:cs="Arial"/>
          <w:sz w:val="22"/>
          <w:szCs w:val="22"/>
        </w:rPr>
        <w:t>első</w:t>
      </w:r>
      <w:r w:rsidR="009D21EA" w:rsidRPr="0031470D">
        <w:rPr>
          <w:rFonts w:ascii="Arial" w:hAnsi="Arial" w:cs="Arial"/>
          <w:sz w:val="22"/>
          <w:szCs w:val="22"/>
        </w:rPr>
        <w:t xml:space="preserve"> féléves </w:t>
      </w:r>
      <w:r>
        <w:rPr>
          <w:rFonts w:ascii="Arial" w:hAnsi="Arial" w:cs="Arial"/>
          <w:sz w:val="22"/>
          <w:szCs w:val="22"/>
        </w:rPr>
        <w:t>beszámolót fogadja el.</w:t>
      </w:r>
    </w:p>
    <w:p w14:paraId="419FA96C" w14:textId="77777777" w:rsidR="00BC2AFF" w:rsidRDefault="00BC2AFF" w:rsidP="00BA25F7">
      <w:pPr>
        <w:tabs>
          <w:tab w:val="decimal" w:pos="1843"/>
          <w:tab w:val="decimal" w:pos="3969"/>
          <w:tab w:val="decimal" w:pos="6521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0F02220" w14:textId="77777777" w:rsidR="00BC2AFF" w:rsidRDefault="00BC2AFF" w:rsidP="00980746">
      <w:pPr>
        <w:tabs>
          <w:tab w:val="decimal" w:pos="1843"/>
          <w:tab w:val="decimal" w:pos="3969"/>
          <w:tab w:val="decimal" w:pos="6521"/>
        </w:tabs>
        <w:ind w:left="283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50360BD" w14:textId="77777777" w:rsidR="00B76255" w:rsidRDefault="00B76255" w:rsidP="00980746">
      <w:pPr>
        <w:tabs>
          <w:tab w:val="decimal" w:pos="1843"/>
          <w:tab w:val="decimal" w:pos="3969"/>
          <w:tab w:val="decimal" w:pos="6521"/>
        </w:tabs>
        <w:ind w:left="283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FB6A39E" w14:textId="77777777" w:rsidR="00B76255" w:rsidRDefault="00B76255" w:rsidP="00980746">
      <w:pPr>
        <w:tabs>
          <w:tab w:val="decimal" w:pos="1843"/>
          <w:tab w:val="decimal" w:pos="3969"/>
          <w:tab w:val="decimal" w:pos="6521"/>
        </w:tabs>
        <w:ind w:left="283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E1B068E" w14:textId="0DA2F5A6" w:rsidR="005124A2" w:rsidRPr="0031470D" w:rsidRDefault="005124A2" w:rsidP="00980746">
      <w:pPr>
        <w:tabs>
          <w:tab w:val="decimal" w:pos="1843"/>
          <w:tab w:val="decimal" w:pos="3969"/>
          <w:tab w:val="decimal" w:pos="6521"/>
        </w:tabs>
        <w:ind w:left="283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1470D">
        <w:rPr>
          <w:rFonts w:ascii="Arial" w:hAnsi="Arial" w:cs="Arial"/>
          <w:b/>
          <w:bCs/>
          <w:sz w:val="22"/>
          <w:szCs w:val="22"/>
          <w:u w:val="single"/>
        </w:rPr>
        <w:t>H a t á r o z a t i   j a v a s l a t :</w:t>
      </w:r>
    </w:p>
    <w:p w14:paraId="6DD75E7C" w14:textId="18182647" w:rsidR="005124A2" w:rsidRPr="0031470D" w:rsidRDefault="005124A2" w:rsidP="00980746">
      <w:pPr>
        <w:spacing w:before="240" w:after="240"/>
        <w:ind w:left="283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1470D">
        <w:rPr>
          <w:rFonts w:ascii="Arial" w:hAnsi="Arial" w:cs="Arial"/>
          <w:b/>
          <w:bCs/>
          <w:sz w:val="22"/>
          <w:szCs w:val="22"/>
          <w:u w:val="single"/>
        </w:rPr>
        <w:t xml:space="preserve">az önkormányzat </w:t>
      </w:r>
      <w:r w:rsidR="00914720" w:rsidRPr="0031470D">
        <w:rPr>
          <w:rFonts w:ascii="Arial" w:hAnsi="Arial" w:cs="Arial"/>
          <w:b/>
          <w:bCs/>
          <w:sz w:val="22"/>
          <w:szCs w:val="22"/>
          <w:u w:val="single"/>
        </w:rPr>
        <w:t>202</w:t>
      </w:r>
      <w:r w:rsidR="004D28E4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="00964C88" w:rsidRPr="0031470D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Pr="0031470D">
        <w:rPr>
          <w:rFonts w:ascii="Arial" w:hAnsi="Arial" w:cs="Arial"/>
          <w:b/>
          <w:bCs/>
          <w:sz w:val="22"/>
          <w:szCs w:val="22"/>
          <w:u w:val="single"/>
        </w:rPr>
        <w:t xml:space="preserve"> évi költségvetésének első féléves gazdálkodásár</w:t>
      </w:r>
      <w:r w:rsidR="00173632" w:rsidRPr="0031470D">
        <w:rPr>
          <w:rFonts w:ascii="Arial" w:hAnsi="Arial" w:cs="Arial"/>
          <w:b/>
          <w:bCs/>
          <w:sz w:val="22"/>
          <w:szCs w:val="22"/>
          <w:u w:val="single"/>
        </w:rPr>
        <w:t>ól szóló beszámoló elfogadására</w:t>
      </w:r>
    </w:p>
    <w:p w14:paraId="7A50A046" w14:textId="6C9ED4BE" w:rsidR="005124A2" w:rsidRPr="004D0D0A" w:rsidRDefault="005124A2" w:rsidP="005D3AA4">
      <w:pPr>
        <w:tabs>
          <w:tab w:val="decimal" w:pos="1843"/>
          <w:tab w:val="decimal" w:pos="3969"/>
          <w:tab w:val="decimal" w:pos="6521"/>
        </w:tabs>
        <w:ind w:left="2835"/>
        <w:jc w:val="both"/>
        <w:rPr>
          <w:rFonts w:ascii="Arial" w:hAnsi="Arial" w:cs="Arial"/>
          <w:sz w:val="22"/>
          <w:szCs w:val="22"/>
        </w:rPr>
      </w:pPr>
      <w:r w:rsidRPr="004D0D0A">
        <w:rPr>
          <w:rFonts w:ascii="Arial" w:hAnsi="Arial" w:cs="Arial"/>
          <w:sz w:val="22"/>
          <w:szCs w:val="22"/>
        </w:rPr>
        <w:t xml:space="preserve">Bátaszék Város Önkormányzatának Képviselő-testülete Bátaszék </w:t>
      </w:r>
      <w:r w:rsidR="0031470D" w:rsidRPr="004D0D0A">
        <w:rPr>
          <w:rFonts w:ascii="Arial" w:hAnsi="Arial" w:cs="Arial"/>
          <w:sz w:val="22"/>
          <w:szCs w:val="22"/>
        </w:rPr>
        <w:t>V</w:t>
      </w:r>
      <w:r w:rsidRPr="004D0D0A">
        <w:rPr>
          <w:rFonts w:ascii="Arial" w:hAnsi="Arial" w:cs="Arial"/>
          <w:sz w:val="22"/>
          <w:szCs w:val="22"/>
        </w:rPr>
        <w:t xml:space="preserve">áros </w:t>
      </w:r>
      <w:r w:rsidR="0031470D" w:rsidRPr="004D0D0A">
        <w:rPr>
          <w:rFonts w:ascii="Arial" w:hAnsi="Arial" w:cs="Arial"/>
          <w:sz w:val="22"/>
          <w:szCs w:val="22"/>
        </w:rPr>
        <w:t>Ö</w:t>
      </w:r>
      <w:r w:rsidRPr="004D0D0A">
        <w:rPr>
          <w:rFonts w:ascii="Arial" w:hAnsi="Arial" w:cs="Arial"/>
          <w:sz w:val="22"/>
          <w:szCs w:val="22"/>
        </w:rPr>
        <w:t xml:space="preserve">nkormányzata </w:t>
      </w:r>
      <w:r w:rsidR="004D28E4">
        <w:rPr>
          <w:rFonts w:ascii="Arial" w:hAnsi="Arial" w:cs="Arial"/>
          <w:sz w:val="22"/>
          <w:szCs w:val="22"/>
        </w:rPr>
        <w:t>2025</w:t>
      </w:r>
      <w:r w:rsidRPr="004D0D0A">
        <w:rPr>
          <w:rFonts w:ascii="Arial" w:hAnsi="Arial" w:cs="Arial"/>
          <w:sz w:val="22"/>
          <w:szCs w:val="22"/>
        </w:rPr>
        <w:t>. évi költségvetésének első féléves végrehajtásá</w:t>
      </w:r>
      <w:r w:rsidR="005D3AA4" w:rsidRPr="004D0D0A">
        <w:rPr>
          <w:rFonts w:ascii="Arial" w:hAnsi="Arial" w:cs="Arial"/>
          <w:sz w:val="22"/>
          <w:szCs w:val="22"/>
        </w:rPr>
        <w:t>ról szóló beszámolót elfogadja.</w:t>
      </w:r>
    </w:p>
    <w:p w14:paraId="0221868F" w14:textId="77777777" w:rsidR="005124A2" w:rsidRPr="004D0D0A" w:rsidRDefault="005124A2" w:rsidP="00980746">
      <w:pPr>
        <w:tabs>
          <w:tab w:val="decimal" w:pos="1843"/>
          <w:tab w:val="decimal" w:pos="3969"/>
          <w:tab w:val="decimal" w:pos="6521"/>
        </w:tabs>
        <w:ind w:left="2835"/>
        <w:jc w:val="both"/>
        <w:rPr>
          <w:rFonts w:ascii="Arial" w:hAnsi="Arial" w:cs="Arial"/>
          <w:sz w:val="22"/>
          <w:szCs w:val="22"/>
        </w:rPr>
      </w:pPr>
    </w:p>
    <w:p w14:paraId="5B33C96E" w14:textId="77777777" w:rsidR="005124A2" w:rsidRPr="004D0D0A" w:rsidRDefault="005124A2" w:rsidP="00980746">
      <w:pPr>
        <w:tabs>
          <w:tab w:val="decimal" w:pos="1843"/>
          <w:tab w:val="decimal" w:pos="3969"/>
          <w:tab w:val="decimal" w:pos="6521"/>
        </w:tabs>
        <w:ind w:left="2835"/>
        <w:jc w:val="both"/>
        <w:rPr>
          <w:rFonts w:ascii="Arial" w:hAnsi="Arial" w:cs="Arial"/>
          <w:sz w:val="22"/>
          <w:szCs w:val="22"/>
        </w:rPr>
      </w:pPr>
      <w:r w:rsidRPr="004D0D0A">
        <w:rPr>
          <w:rFonts w:ascii="Arial" w:hAnsi="Arial" w:cs="Arial"/>
          <w:i/>
          <w:iCs/>
          <w:sz w:val="22"/>
          <w:szCs w:val="22"/>
        </w:rPr>
        <w:t>Határidő:</w:t>
      </w:r>
      <w:r w:rsidR="005D3AA4" w:rsidRPr="004D0D0A">
        <w:rPr>
          <w:rFonts w:ascii="Arial" w:hAnsi="Arial" w:cs="Arial"/>
          <w:sz w:val="22"/>
          <w:szCs w:val="22"/>
        </w:rPr>
        <w:t xml:space="preserve"> azonnal</w:t>
      </w:r>
    </w:p>
    <w:p w14:paraId="6CC3649E" w14:textId="13F595FF" w:rsidR="005124A2" w:rsidRPr="004D0D0A" w:rsidRDefault="005124A2" w:rsidP="00980746">
      <w:pPr>
        <w:tabs>
          <w:tab w:val="decimal" w:pos="1843"/>
          <w:tab w:val="decimal" w:pos="3969"/>
          <w:tab w:val="decimal" w:pos="6521"/>
        </w:tabs>
        <w:ind w:left="2835"/>
        <w:jc w:val="both"/>
        <w:rPr>
          <w:rFonts w:ascii="Arial" w:hAnsi="Arial" w:cs="Arial"/>
          <w:sz w:val="22"/>
          <w:szCs w:val="22"/>
        </w:rPr>
      </w:pPr>
      <w:r w:rsidRPr="004D0D0A">
        <w:rPr>
          <w:rFonts w:ascii="Arial" w:hAnsi="Arial" w:cs="Arial"/>
          <w:i/>
          <w:iCs/>
          <w:sz w:val="22"/>
          <w:szCs w:val="22"/>
        </w:rPr>
        <w:t>Felelős:</w:t>
      </w:r>
      <w:r w:rsidR="00B76255">
        <w:rPr>
          <w:rFonts w:ascii="Arial" w:hAnsi="Arial" w:cs="Arial"/>
          <w:sz w:val="22"/>
          <w:szCs w:val="22"/>
        </w:rPr>
        <w:t xml:space="preserve"> </w:t>
      </w:r>
      <w:r w:rsidR="004D28E4">
        <w:rPr>
          <w:rFonts w:ascii="Arial" w:hAnsi="Arial" w:cs="Arial"/>
          <w:sz w:val="22"/>
          <w:szCs w:val="22"/>
        </w:rPr>
        <w:t>Kondriczné dr. Varga Erzsébet jegyző</w:t>
      </w:r>
    </w:p>
    <w:p w14:paraId="1EF7E235" w14:textId="77777777" w:rsidR="005124A2" w:rsidRPr="004D0D0A" w:rsidRDefault="005124A2" w:rsidP="005D3AA4">
      <w:pPr>
        <w:tabs>
          <w:tab w:val="decimal" w:pos="1843"/>
          <w:tab w:val="decimal" w:pos="3969"/>
          <w:tab w:val="decimal" w:pos="6521"/>
        </w:tabs>
        <w:ind w:left="2835"/>
        <w:jc w:val="both"/>
        <w:rPr>
          <w:rFonts w:ascii="Arial" w:hAnsi="Arial" w:cs="Arial"/>
          <w:sz w:val="22"/>
          <w:szCs w:val="22"/>
        </w:rPr>
      </w:pPr>
      <w:r w:rsidRPr="004D0D0A">
        <w:rPr>
          <w:rFonts w:ascii="Arial" w:hAnsi="Arial" w:cs="Arial"/>
          <w:sz w:val="22"/>
          <w:szCs w:val="22"/>
        </w:rPr>
        <w:t xml:space="preserve">                </w:t>
      </w:r>
      <w:r w:rsidR="005D3AA4" w:rsidRPr="004D0D0A">
        <w:rPr>
          <w:rFonts w:ascii="Arial" w:hAnsi="Arial" w:cs="Arial"/>
          <w:sz w:val="22"/>
          <w:szCs w:val="22"/>
        </w:rPr>
        <w:t xml:space="preserve"> (a határozat megküldéséért) </w:t>
      </w:r>
    </w:p>
    <w:p w14:paraId="26ADD8CE" w14:textId="77777777" w:rsidR="005124A2" w:rsidRPr="004D0D0A" w:rsidRDefault="005124A2" w:rsidP="00980746">
      <w:pPr>
        <w:tabs>
          <w:tab w:val="decimal" w:pos="1843"/>
          <w:tab w:val="decimal" w:pos="3969"/>
          <w:tab w:val="decimal" w:pos="6521"/>
        </w:tabs>
        <w:ind w:left="2835"/>
        <w:jc w:val="both"/>
        <w:rPr>
          <w:rFonts w:ascii="Arial" w:hAnsi="Arial" w:cs="Arial"/>
          <w:sz w:val="22"/>
          <w:szCs w:val="22"/>
        </w:rPr>
      </w:pPr>
    </w:p>
    <w:p w14:paraId="76633099" w14:textId="77777777" w:rsidR="005124A2" w:rsidRPr="004D0D0A" w:rsidRDefault="005124A2" w:rsidP="00980746">
      <w:pPr>
        <w:tabs>
          <w:tab w:val="decimal" w:pos="1843"/>
          <w:tab w:val="decimal" w:pos="3969"/>
          <w:tab w:val="decimal" w:pos="6521"/>
        </w:tabs>
        <w:ind w:left="2835"/>
        <w:jc w:val="both"/>
        <w:rPr>
          <w:rFonts w:ascii="Arial" w:hAnsi="Arial" w:cs="Arial"/>
          <w:sz w:val="22"/>
          <w:szCs w:val="22"/>
        </w:rPr>
      </w:pPr>
      <w:r w:rsidRPr="004D0D0A">
        <w:rPr>
          <w:rFonts w:ascii="Arial" w:hAnsi="Arial" w:cs="Arial"/>
          <w:i/>
          <w:iCs/>
          <w:sz w:val="22"/>
          <w:szCs w:val="22"/>
        </w:rPr>
        <w:t>Határozatról értesül:</w:t>
      </w:r>
      <w:r w:rsidR="00F103F8" w:rsidRPr="004D0D0A">
        <w:rPr>
          <w:rFonts w:ascii="Arial" w:hAnsi="Arial" w:cs="Arial"/>
          <w:sz w:val="22"/>
          <w:szCs w:val="22"/>
        </w:rPr>
        <w:t xml:space="preserve"> intézményvezetők</w:t>
      </w:r>
    </w:p>
    <w:p w14:paraId="564C4EA6" w14:textId="14221B72" w:rsidR="005124A2" w:rsidRPr="004D0D0A" w:rsidRDefault="005124A2" w:rsidP="00CA0F39">
      <w:pPr>
        <w:tabs>
          <w:tab w:val="decimal" w:pos="1843"/>
          <w:tab w:val="decimal" w:pos="3969"/>
          <w:tab w:val="decimal" w:pos="6521"/>
        </w:tabs>
        <w:ind w:left="2835"/>
        <w:jc w:val="both"/>
        <w:rPr>
          <w:rFonts w:ascii="Arial" w:hAnsi="Arial" w:cs="Arial"/>
          <w:sz w:val="22"/>
          <w:szCs w:val="22"/>
        </w:rPr>
      </w:pPr>
      <w:r w:rsidRPr="004D0D0A">
        <w:rPr>
          <w:rFonts w:ascii="Arial" w:hAnsi="Arial" w:cs="Arial"/>
          <w:i/>
          <w:iCs/>
          <w:sz w:val="22"/>
          <w:szCs w:val="22"/>
        </w:rPr>
        <w:t xml:space="preserve">                                 </w:t>
      </w:r>
      <w:r w:rsidR="00F103F8" w:rsidRPr="004D0D0A">
        <w:rPr>
          <w:rFonts w:ascii="Arial" w:hAnsi="Arial" w:cs="Arial"/>
          <w:sz w:val="22"/>
          <w:szCs w:val="22"/>
        </w:rPr>
        <w:t xml:space="preserve">Bátaszéki KÖH </w:t>
      </w:r>
      <w:r w:rsidR="00BA25F7" w:rsidRPr="004D0D0A">
        <w:rPr>
          <w:rFonts w:ascii="Arial" w:hAnsi="Arial" w:cs="Arial"/>
          <w:sz w:val="22"/>
          <w:szCs w:val="22"/>
        </w:rPr>
        <w:t>P</w:t>
      </w:r>
      <w:r w:rsidRPr="004D0D0A">
        <w:rPr>
          <w:rFonts w:ascii="Arial" w:hAnsi="Arial" w:cs="Arial"/>
          <w:sz w:val="22"/>
          <w:szCs w:val="22"/>
        </w:rPr>
        <w:t xml:space="preserve">énzügyi </w:t>
      </w:r>
      <w:r w:rsidR="00BA25F7" w:rsidRPr="004D0D0A">
        <w:rPr>
          <w:rFonts w:ascii="Arial" w:hAnsi="Arial" w:cs="Arial"/>
          <w:sz w:val="22"/>
          <w:szCs w:val="22"/>
        </w:rPr>
        <w:t>I</w:t>
      </w:r>
      <w:r w:rsidRPr="004D0D0A">
        <w:rPr>
          <w:rFonts w:ascii="Arial" w:hAnsi="Arial" w:cs="Arial"/>
          <w:sz w:val="22"/>
          <w:szCs w:val="22"/>
        </w:rPr>
        <w:t>roda</w:t>
      </w:r>
    </w:p>
    <w:p w14:paraId="487213E4" w14:textId="0280B657" w:rsidR="00744161" w:rsidRPr="004D0D0A" w:rsidRDefault="00744161" w:rsidP="00CA0F39">
      <w:pPr>
        <w:tabs>
          <w:tab w:val="decimal" w:pos="1843"/>
          <w:tab w:val="decimal" w:pos="3969"/>
          <w:tab w:val="decimal" w:pos="6521"/>
        </w:tabs>
        <w:ind w:left="2835"/>
        <w:jc w:val="both"/>
        <w:rPr>
          <w:rFonts w:ascii="Arial" w:hAnsi="Arial" w:cs="Arial"/>
          <w:sz w:val="22"/>
          <w:szCs w:val="22"/>
        </w:rPr>
      </w:pPr>
      <w:r w:rsidRPr="004D0D0A">
        <w:rPr>
          <w:rFonts w:ascii="Arial" w:hAnsi="Arial" w:cs="Arial"/>
          <w:sz w:val="22"/>
          <w:szCs w:val="22"/>
        </w:rPr>
        <w:t xml:space="preserve">                                 irattár</w:t>
      </w:r>
    </w:p>
    <w:sectPr w:rsidR="00744161" w:rsidRPr="004D0D0A" w:rsidSect="00EF032C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F2495" w14:textId="77777777" w:rsidR="00CD7726" w:rsidRDefault="00CD7726" w:rsidP="00EF032C">
      <w:r>
        <w:separator/>
      </w:r>
    </w:p>
  </w:endnote>
  <w:endnote w:type="continuationSeparator" w:id="0">
    <w:p w14:paraId="26D6B199" w14:textId="77777777" w:rsidR="00CD7726" w:rsidRDefault="00CD7726" w:rsidP="00EF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1E6A5" w14:textId="77777777" w:rsidR="00CD7726" w:rsidRDefault="00CD7726" w:rsidP="00EF032C">
      <w:r>
        <w:separator/>
      </w:r>
    </w:p>
  </w:footnote>
  <w:footnote w:type="continuationSeparator" w:id="0">
    <w:p w14:paraId="0C6B1E77" w14:textId="77777777" w:rsidR="00CD7726" w:rsidRDefault="00CD7726" w:rsidP="00EF0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46"/>
    <w:rsid w:val="00000E5D"/>
    <w:rsid w:val="00000EE2"/>
    <w:rsid w:val="000043D8"/>
    <w:rsid w:val="00004E7F"/>
    <w:rsid w:val="00004F7F"/>
    <w:rsid w:val="00005130"/>
    <w:rsid w:val="00006934"/>
    <w:rsid w:val="00006A43"/>
    <w:rsid w:val="00011683"/>
    <w:rsid w:val="00012462"/>
    <w:rsid w:val="00023DBD"/>
    <w:rsid w:val="00036E9B"/>
    <w:rsid w:val="00045B5C"/>
    <w:rsid w:val="00050C7E"/>
    <w:rsid w:val="00061655"/>
    <w:rsid w:val="000640A2"/>
    <w:rsid w:val="00071BDC"/>
    <w:rsid w:val="00077E21"/>
    <w:rsid w:val="00085A2F"/>
    <w:rsid w:val="00090580"/>
    <w:rsid w:val="00092E35"/>
    <w:rsid w:val="0009315D"/>
    <w:rsid w:val="00096291"/>
    <w:rsid w:val="00097C26"/>
    <w:rsid w:val="000A769C"/>
    <w:rsid w:val="000B2652"/>
    <w:rsid w:val="000B3510"/>
    <w:rsid w:val="000B3862"/>
    <w:rsid w:val="000B5036"/>
    <w:rsid w:val="000C4023"/>
    <w:rsid w:val="000C5F3E"/>
    <w:rsid w:val="000C762E"/>
    <w:rsid w:val="000D0ADF"/>
    <w:rsid w:val="000D18F2"/>
    <w:rsid w:val="000D56FA"/>
    <w:rsid w:val="000E0E81"/>
    <w:rsid w:val="000E2A8A"/>
    <w:rsid w:val="000E550E"/>
    <w:rsid w:val="000E60CE"/>
    <w:rsid w:val="000F119F"/>
    <w:rsid w:val="000F3419"/>
    <w:rsid w:val="000F55B1"/>
    <w:rsid w:val="000F5AFC"/>
    <w:rsid w:val="000F5B8F"/>
    <w:rsid w:val="00104EBD"/>
    <w:rsid w:val="0010524B"/>
    <w:rsid w:val="001208E2"/>
    <w:rsid w:val="001241B6"/>
    <w:rsid w:val="00125EF3"/>
    <w:rsid w:val="001271C1"/>
    <w:rsid w:val="001332F4"/>
    <w:rsid w:val="00141729"/>
    <w:rsid w:val="00145C47"/>
    <w:rsid w:val="00152F9F"/>
    <w:rsid w:val="00153C31"/>
    <w:rsid w:val="00162076"/>
    <w:rsid w:val="00163724"/>
    <w:rsid w:val="00173632"/>
    <w:rsid w:val="00181CD9"/>
    <w:rsid w:val="00182059"/>
    <w:rsid w:val="00182403"/>
    <w:rsid w:val="001A0A61"/>
    <w:rsid w:val="001B1B32"/>
    <w:rsid w:val="001B3195"/>
    <w:rsid w:val="001B31FF"/>
    <w:rsid w:val="001B396F"/>
    <w:rsid w:val="001E4E12"/>
    <w:rsid w:val="001F0B76"/>
    <w:rsid w:val="001F6849"/>
    <w:rsid w:val="00201185"/>
    <w:rsid w:val="00205CD7"/>
    <w:rsid w:val="00211215"/>
    <w:rsid w:val="0022059E"/>
    <w:rsid w:val="00221F2F"/>
    <w:rsid w:val="00226DD4"/>
    <w:rsid w:val="0022790C"/>
    <w:rsid w:val="00237ECF"/>
    <w:rsid w:val="00240E8C"/>
    <w:rsid w:val="002529C5"/>
    <w:rsid w:val="002575D7"/>
    <w:rsid w:val="00261E6D"/>
    <w:rsid w:val="002632A6"/>
    <w:rsid w:val="00273747"/>
    <w:rsid w:val="00273950"/>
    <w:rsid w:val="00275217"/>
    <w:rsid w:val="00277BE8"/>
    <w:rsid w:val="00282787"/>
    <w:rsid w:val="002832C1"/>
    <w:rsid w:val="002910C3"/>
    <w:rsid w:val="002A20D1"/>
    <w:rsid w:val="002A7286"/>
    <w:rsid w:val="002B3BF9"/>
    <w:rsid w:val="002B68BC"/>
    <w:rsid w:val="002C0F97"/>
    <w:rsid w:val="002C1F00"/>
    <w:rsid w:val="002C202B"/>
    <w:rsid w:val="002D2808"/>
    <w:rsid w:val="002D4E2A"/>
    <w:rsid w:val="002D55E9"/>
    <w:rsid w:val="002D6A5A"/>
    <w:rsid w:val="002E6739"/>
    <w:rsid w:val="002F2D0C"/>
    <w:rsid w:val="002F49A9"/>
    <w:rsid w:val="002F6C31"/>
    <w:rsid w:val="002F6DE2"/>
    <w:rsid w:val="002F6E76"/>
    <w:rsid w:val="003016DA"/>
    <w:rsid w:val="00302BA0"/>
    <w:rsid w:val="00310CD5"/>
    <w:rsid w:val="003137D4"/>
    <w:rsid w:val="0031470D"/>
    <w:rsid w:val="00317A26"/>
    <w:rsid w:val="00317B7E"/>
    <w:rsid w:val="00320AF8"/>
    <w:rsid w:val="0033255F"/>
    <w:rsid w:val="00355950"/>
    <w:rsid w:val="0035667A"/>
    <w:rsid w:val="003621F8"/>
    <w:rsid w:val="00362DFA"/>
    <w:rsid w:val="00363282"/>
    <w:rsid w:val="00367D0C"/>
    <w:rsid w:val="003706FB"/>
    <w:rsid w:val="00373CE4"/>
    <w:rsid w:val="00376252"/>
    <w:rsid w:val="00376935"/>
    <w:rsid w:val="00393A20"/>
    <w:rsid w:val="00396878"/>
    <w:rsid w:val="00396B9E"/>
    <w:rsid w:val="003A1226"/>
    <w:rsid w:val="003A6A3E"/>
    <w:rsid w:val="003B3D7F"/>
    <w:rsid w:val="003B4DAB"/>
    <w:rsid w:val="003C02A1"/>
    <w:rsid w:val="003C03A5"/>
    <w:rsid w:val="003D36A0"/>
    <w:rsid w:val="003D4FAE"/>
    <w:rsid w:val="003D5770"/>
    <w:rsid w:val="003E022F"/>
    <w:rsid w:val="003F079A"/>
    <w:rsid w:val="003F4182"/>
    <w:rsid w:val="0040279E"/>
    <w:rsid w:val="00406D36"/>
    <w:rsid w:val="00412B23"/>
    <w:rsid w:val="00414382"/>
    <w:rsid w:val="00424C02"/>
    <w:rsid w:val="004265D5"/>
    <w:rsid w:val="004315F8"/>
    <w:rsid w:val="0043420B"/>
    <w:rsid w:val="004400A8"/>
    <w:rsid w:val="00445110"/>
    <w:rsid w:val="00447F74"/>
    <w:rsid w:val="0045054F"/>
    <w:rsid w:val="00452798"/>
    <w:rsid w:val="00453D94"/>
    <w:rsid w:val="00455D0D"/>
    <w:rsid w:val="0045632B"/>
    <w:rsid w:val="00471A76"/>
    <w:rsid w:val="00473B71"/>
    <w:rsid w:val="00474EDE"/>
    <w:rsid w:val="004910EE"/>
    <w:rsid w:val="004974A4"/>
    <w:rsid w:val="00497BF0"/>
    <w:rsid w:val="004C06F8"/>
    <w:rsid w:val="004C073A"/>
    <w:rsid w:val="004C17F6"/>
    <w:rsid w:val="004C278C"/>
    <w:rsid w:val="004C3046"/>
    <w:rsid w:val="004C7D70"/>
    <w:rsid w:val="004D0D0A"/>
    <w:rsid w:val="004D28E4"/>
    <w:rsid w:val="004D44AD"/>
    <w:rsid w:val="004D4D56"/>
    <w:rsid w:val="004D587B"/>
    <w:rsid w:val="004D77C8"/>
    <w:rsid w:val="004E2B87"/>
    <w:rsid w:val="004F3E5A"/>
    <w:rsid w:val="004F5A5D"/>
    <w:rsid w:val="004F7ADE"/>
    <w:rsid w:val="0050220B"/>
    <w:rsid w:val="005124A2"/>
    <w:rsid w:val="005132BD"/>
    <w:rsid w:val="00515782"/>
    <w:rsid w:val="0052053B"/>
    <w:rsid w:val="005225AC"/>
    <w:rsid w:val="00530AF0"/>
    <w:rsid w:val="00532176"/>
    <w:rsid w:val="0054005C"/>
    <w:rsid w:val="005410E0"/>
    <w:rsid w:val="0055080B"/>
    <w:rsid w:val="005544AD"/>
    <w:rsid w:val="00565903"/>
    <w:rsid w:val="00573743"/>
    <w:rsid w:val="00573E29"/>
    <w:rsid w:val="00577B83"/>
    <w:rsid w:val="00581285"/>
    <w:rsid w:val="00583059"/>
    <w:rsid w:val="0058485C"/>
    <w:rsid w:val="00587726"/>
    <w:rsid w:val="00596E87"/>
    <w:rsid w:val="005A6A0C"/>
    <w:rsid w:val="005B14AB"/>
    <w:rsid w:val="005B51A7"/>
    <w:rsid w:val="005B74E4"/>
    <w:rsid w:val="005C6D51"/>
    <w:rsid w:val="005D3AA4"/>
    <w:rsid w:val="005E5835"/>
    <w:rsid w:val="005F48DA"/>
    <w:rsid w:val="005F4C2B"/>
    <w:rsid w:val="006128A8"/>
    <w:rsid w:val="006230AF"/>
    <w:rsid w:val="00630846"/>
    <w:rsid w:val="006312E5"/>
    <w:rsid w:val="0063354B"/>
    <w:rsid w:val="00644CA7"/>
    <w:rsid w:val="00650AC1"/>
    <w:rsid w:val="0065332D"/>
    <w:rsid w:val="00655E92"/>
    <w:rsid w:val="00657D7F"/>
    <w:rsid w:val="0066273F"/>
    <w:rsid w:val="00670CF7"/>
    <w:rsid w:val="0067735A"/>
    <w:rsid w:val="00677B59"/>
    <w:rsid w:val="00686B3F"/>
    <w:rsid w:val="00694282"/>
    <w:rsid w:val="006956B9"/>
    <w:rsid w:val="00695E4A"/>
    <w:rsid w:val="0069603E"/>
    <w:rsid w:val="00696741"/>
    <w:rsid w:val="006A0678"/>
    <w:rsid w:val="006A2363"/>
    <w:rsid w:val="006A5D7F"/>
    <w:rsid w:val="006B46E9"/>
    <w:rsid w:val="006C68BC"/>
    <w:rsid w:val="006D0DDD"/>
    <w:rsid w:val="006D1756"/>
    <w:rsid w:val="006E3924"/>
    <w:rsid w:val="006F5DE5"/>
    <w:rsid w:val="007003A1"/>
    <w:rsid w:val="007052AC"/>
    <w:rsid w:val="00714DB3"/>
    <w:rsid w:val="007223C9"/>
    <w:rsid w:val="0073394A"/>
    <w:rsid w:val="007435C6"/>
    <w:rsid w:val="00744161"/>
    <w:rsid w:val="0076509E"/>
    <w:rsid w:val="007660E1"/>
    <w:rsid w:val="007703BB"/>
    <w:rsid w:val="00780133"/>
    <w:rsid w:val="00793310"/>
    <w:rsid w:val="007971B6"/>
    <w:rsid w:val="00797F71"/>
    <w:rsid w:val="007A0B49"/>
    <w:rsid w:val="007B184B"/>
    <w:rsid w:val="007B6CC9"/>
    <w:rsid w:val="007D4505"/>
    <w:rsid w:val="007E323F"/>
    <w:rsid w:val="007E3261"/>
    <w:rsid w:val="007E45AC"/>
    <w:rsid w:val="007E5907"/>
    <w:rsid w:val="007E60E3"/>
    <w:rsid w:val="007E748B"/>
    <w:rsid w:val="007E7EB9"/>
    <w:rsid w:val="007E7F7D"/>
    <w:rsid w:val="007F52B5"/>
    <w:rsid w:val="007F5336"/>
    <w:rsid w:val="00805C91"/>
    <w:rsid w:val="00806C20"/>
    <w:rsid w:val="008076D3"/>
    <w:rsid w:val="0081022C"/>
    <w:rsid w:val="00811468"/>
    <w:rsid w:val="0081259B"/>
    <w:rsid w:val="00814158"/>
    <w:rsid w:val="008165C1"/>
    <w:rsid w:val="00827F1C"/>
    <w:rsid w:val="00842D50"/>
    <w:rsid w:val="00846A27"/>
    <w:rsid w:val="00850C8E"/>
    <w:rsid w:val="00852F3C"/>
    <w:rsid w:val="00853FDA"/>
    <w:rsid w:val="00854EC0"/>
    <w:rsid w:val="00860D7B"/>
    <w:rsid w:val="0086535A"/>
    <w:rsid w:val="008724FE"/>
    <w:rsid w:val="0088446D"/>
    <w:rsid w:val="008856D7"/>
    <w:rsid w:val="00887962"/>
    <w:rsid w:val="008A024A"/>
    <w:rsid w:val="008A57F8"/>
    <w:rsid w:val="008B1AF2"/>
    <w:rsid w:val="008B4F53"/>
    <w:rsid w:val="008B7889"/>
    <w:rsid w:val="008C4331"/>
    <w:rsid w:val="008C445C"/>
    <w:rsid w:val="008D22D4"/>
    <w:rsid w:val="008E06D4"/>
    <w:rsid w:val="008E0CBF"/>
    <w:rsid w:val="008F49F5"/>
    <w:rsid w:val="008F5069"/>
    <w:rsid w:val="008F7915"/>
    <w:rsid w:val="009011E2"/>
    <w:rsid w:val="009035D2"/>
    <w:rsid w:val="0091134A"/>
    <w:rsid w:val="0091164F"/>
    <w:rsid w:val="00911A7C"/>
    <w:rsid w:val="00911E8A"/>
    <w:rsid w:val="0091237B"/>
    <w:rsid w:val="00914720"/>
    <w:rsid w:val="00920E39"/>
    <w:rsid w:val="00921531"/>
    <w:rsid w:val="0092610C"/>
    <w:rsid w:val="00933EFE"/>
    <w:rsid w:val="00935023"/>
    <w:rsid w:val="00945071"/>
    <w:rsid w:val="0094536C"/>
    <w:rsid w:val="00947F82"/>
    <w:rsid w:val="00957E2C"/>
    <w:rsid w:val="00964C88"/>
    <w:rsid w:val="009741E8"/>
    <w:rsid w:val="00980746"/>
    <w:rsid w:val="00986FC4"/>
    <w:rsid w:val="009A69EE"/>
    <w:rsid w:val="009B00F9"/>
    <w:rsid w:val="009B2ABC"/>
    <w:rsid w:val="009B3A4E"/>
    <w:rsid w:val="009B5565"/>
    <w:rsid w:val="009B5D65"/>
    <w:rsid w:val="009B7D34"/>
    <w:rsid w:val="009B7F76"/>
    <w:rsid w:val="009C643D"/>
    <w:rsid w:val="009D21EA"/>
    <w:rsid w:val="009E13C0"/>
    <w:rsid w:val="009E17FA"/>
    <w:rsid w:val="009E2C7B"/>
    <w:rsid w:val="009F5030"/>
    <w:rsid w:val="00A07EBE"/>
    <w:rsid w:val="00A10279"/>
    <w:rsid w:val="00A1050A"/>
    <w:rsid w:val="00A165B2"/>
    <w:rsid w:val="00A42AB5"/>
    <w:rsid w:val="00A46CB3"/>
    <w:rsid w:val="00A5102E"/>
    <w:rsid w:val="00A57E26"/>
    <w:rsid w:val="00A60933"/>
    <w:rsid w:val="00A60B6C"/>
    <w:rsid w:val="00A620A9"/>
    <w:rsid w:val="00A64F86"/>
    <w:rsid w:val="00A65F4C"/>
    <w:rsid w:val="00A715E2"/>
    <w:rsid w:val="00A7290D"/>
    <w:rsid w:val="00A945FB"/>
    <w:rsid w:val="00A97DA6"/>
    <w:rsid w:val="00AA0769"/>
    <w:rsid w:val="00AB142F"/>
    <w:rsid w:val="00AB3D9A"/>
    <w:rsid w:val="00AB407F"/>
    <w:rsid w:val="00AB4769"/>
    <w:rsid w:val="00AC3793"/>
    <w:rsid w:val="00AC622B"/>
    <w:rsid w:val="00AC7BFB"/>
    <w:rsid w:val="00AD0A8E"/>
    <w:rsid w:val="00AD5DEA"/>
    <w:rsid w:val="00AD75EB"/>
    <w:rsid w:val="00AE23DC"/>
    <w:rsid w:val="00AE3EE8"/>
    <w:rsid w:val="00AE7980"/>
    <w:rsid w:val="00AF10CE"/>
    <w:rsid w:val="00B00557"/>
    <w:rsid w:val="00B057E2"/>
    <w:rsid w:val="00B122A4"/>
    <w:rsid w:val="00B17FCB"/>
    <w:rsid w:val="00B22B93"/>
    <w:rsid w:val="00B23AF6"/>
    <w:rsid w:val="00B260AC"/>
    <w:rsid w:val="00B26D8E"/>
    <w:rsid w:val="00B4716E"/>
    <w:rsid w:val="00B52D5C"/>
    <w:rsid w:val="00B56E76"/>
    <w:rsid w:val="00B60636"/>
    <w:rsid w:val="00B61A4C"/>
    <w:rsid w:val="00B61F05"/>
    <w:rsid w:val="00B6243B"/>
    <w:rsid w:val="00B65F29"/>
    <w:rsid w:val="00B663A6"/>
    <w:rsid w:val="00B6677B"/>
    <w:rsid w:val="00B66D41"/>
    <w:rsid w:val="00B76255"/>
    <w:rsid w:val="00B8622D"/>
    <w:rsid w:val="00B90218"/>
    <w:rsid w:val="00B9617B"/>
    <w:rsid w:val="00BA0911"/>
    <w:rsid w:val="00BA25F7"/>
    <w:rsid w:val="00BA367A"/>
    <w:rsid w:val="00BA5F19"/>
    <w:rsid w:val="00BC2AFF"/>
    <w:rsid w:val="00BD0216"/>
    <w:rsid w:val="00BD11F5"/>
    <w:rsid w:val="00BD213D"/>
    <w:rsid w:val="00BD3687"/>
    <w:rsid w:val="00BD3714"/>
    <w:rsid w:val="00BE4E7E"/>
    <w:rsid w:val="00BE5FA2"/>
    <w:rsid w:val="00BF6B6E"/>
    <w:rsid w:val="00C047EA"/>
    <w:rsid w:val="00C1696A"/>
    <w:rsid w:val="00C24737"/>
    <w:rsid w:val="00C32095"/>
    <w:rsid w:val="00C3495F"/>
    <w:rsid w:val="00C40AC4"/>
    <w:rsid w:val="00C44CC4"/>
    <w:rsid w:val="00C53175"/>
    <w:rsid w:val="00C564BF"/>
    <w:rsid w:val="00C5697E"/>
    <w:rsid w:val="00C61694"/>
    <w:rsid w:val="00C61D7D"/>
    <w:rsid w:val="00C632AE"/>
    <w:rsid w:val="00C6518E"/>
    <w:rsid w:val="00C6586D"/>
    <w:rsid w:val="00C66912"/>
    <w:rsid w:val="00C6788F"/>
    <w:rsid w:val="00C70DA0"/>
    <w:rsid w:val="00C71688"/>
    <w:rsid w:val="00C76A6E"/>
    <w:rsid w:val="00C84125"/>
    <w:rsid w:val="00C841C0"/>
    <w:rsid w:val="00C87A94"/>
    <w:rsid w:val="00C90B7B"/>
    <w:rsid w:val="00C966A3"/>
    <w:rsid w:val="00CA0DC6"/>
    <w:rsid w:val="00CA0F39"/>
    <w:rsid w:val="00CB1C34"/>
    <w:rsid w:val="00CB2C67"/>
    <w:rsid w:val="00CB625E"/>
    <w:rsid w:val="00CB7F0D"/>
    <w:rsid w:val="00CC3D1D"/>
    <w:rsid w:val="00CC57D1"/>
    <w:rsid w:val="00CC7FA6"/>
    <w:rsid w:val="00CD1A01"/>
    <w:rsid w:val="00CD526B"/>
    <w:rsid w:val="00CD7726"/>
    <w:rsid w:val="00CE4319"/>
    <w:rsid w:val="00CF22EB"/>
    <w:rsid w:val="00CF4AB6"/>
    <w:rsid w:val="00CF718A"/>
    <w:rsid w:val="00D04A40"/>
    <w:rsid w:val="00D04F84"/>
    <w:rsid w:val="00D06329"/>
    <w:rsid w:val="00D111AC"/>
    <w:rsid w:val="00D137FD"/>
    <w:rsid w:val="00D14E87"/>
    <w:rsid w:val="00D15B60"/>
    <w:rsid w:val="00D162CB"/>
    <w:rsid w:val="00D26D01"/>
    <w:rsid w:val="00D36160"/>
    <w:rsid w:val="00D417D1"/>
    <w:rsid w:val="00D42AE6"/>
    <w:rsid w:val="00D45C5A"/>
    <w:rsid w:val="00D46EE0"/>
    <w:rsid w:val="00D513AB"/>
    <w:rsid w:val="00D56009"/>
    <w:rsid w:val="00D6226B"/>
    <w:rsid w:val="00D81DF2"/>
    <w:rsid w:val="00D84410"/>
    <w:rsid w:val="00D8480D"/>
    <w:rsid w:val="00D9046B"/>
    <w:rsid w:val="00D96ED2"/>
    <w:rsid w:val="00D96EEC"/>
    <w:rsid w:val="00DB2C37"/>
    <w:rsid w:val="00DC3303"/>
    <w:rsid w:val="00DC6DB2"/>
    <w:rsid w:val="00DD325A"/>
    <w:rsid w:val="00DD5EB9"/>
    <w:rsid w:val="00DF1721"/>
    <w:rsid w:val="00DF227E"/>
    <w:rsid w:val="00DF7E72"/>
    <w:rsid w:val="00E14BDE"/>
    <w:rsid w:val="00E23801"/>
    <w:rsid w:val="00E36731"/>
    <w:rsid w:val="00E41C10"/>
    <w:rsid w:val="00E42F31"/>
    <w:rsid w:val="00E60244"/>
    <w:rsid w:val="00E60295"/>
    <w:rsid w:val="00E6336D"/>
    <w:rsid w:val="00E64E82"/>
    <w:rsid w:val="00E75BF7"/>
    <w:rsid w:val="00E835CE"/>
    <w:rsid w:val="00EA5345"/>
    <w:rsid w:val="00EA72F2"/>
    <w:rsid w:val="00EB1AF0"/>
    <w:rsid w:val="00EB42AF"/>
    <w:rsid w:val="00EB6846"/>
    <w:rsid w:val="00EC44F6"/>
    <w:rsid w:val="00ED292A"/>
    <w:rsid w:val="00EF032C"/>
    <w:rsid w:val="00EF2429"/>
    <w:rsid w:val="00EF5AC3"/>
    <w:rsid w:val="00EF65DD"/>
    <w:rsid w:val="00F03519"/>
    <w:rsid w:val="00F07702"/>
    <w:rsid w:val="00F103F8"/>
    <w:rsid w:val="00F14513"/>
    <w:rsid w:val="00F267F3"/>
    <w:rsid w:val="00F35135"/>
    <w:rsid w:val="00F35F24"/>
    <w:rsid w:val="00F52A89"/>
    <w:rsid w:val="00F639CF"/>
    <w:rsid w:val="00F7115D"/>
    <w:rsid w:val="00F71FE4"/>
    <w:rsid w:val="00F75333"/>
    <w:rsid w:val="00F82840"/>
    <w:rsid w:val="00F90D67"/>
    <w:rsid w:val="00F910D1"/>
    <w:rsid w:val="00F92DD4"/>
    <w:rsid w:val="00F95A7E"/>
    <w:rsid w:val="00F961F1"/>
    <w:rsid w:val="00F96E28"/>
    <w:rsid w:val="00FA05FB"/>
    <w:rsid w:val="00FA0744"/>
    <w:rsid w:val="00FA0D91"/>
    <w:rsid w:val="00FA1684"/>
    <w:rsid w:val="00FA2FAB"/>
    <w:rsid w:val="00FC6019"/>
    <w:rsid w:val="00FD1C1B"/>
    <w:rsid w:val="00FD61F4"/>
    <w:rsid w:val="00FE26E3"/>
    <w:rsid w:val="00FE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417294"/>
  <w15:chartTrackingRefBased/>
  <w15:docId w15:val="{D3BFB15B-0798-4BDF-AEBE-9D806165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0746"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uiPriority w:val="99"/>
    <w:qFormat/>
    <w:rsid w:val="002632A6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Cmsor2">
    <w:name w:val="heading 2"/>
    <w:basedOn w:val="Norml"/>
    <w:next w:val="Norml"/>
    <w:link w:val="Cmsor2Char"/>
    <w:uiPriority w:val="99"/>
    <w:qFormat/>
    <w:rsid w:val="002632A6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val="x-none" w:eastAsia="x-none"/>
    </w:rPr>
  </w:style>
  <w:style w:type="paragraph" w:styleId="Cmsor3">
    <w:name w:val="heading 3"/>
    <w:basedOn w:val="Norml"/>
    <w:next w:val="Norml"/>
    <w:link w:val="Cmsor3Char"/>
    <w:uiPriority w:val="99"/>
    <w:qFormat/>
    <w:rsid w:val="002632A6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2632A6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Cmsor2Char">
    <w:name w:val="Címsor 2 Char"/>
    <w:link w:val="Cmsor2"/>
    <w:uiPriority w:val="99"/>
    <w:locked/>
    <w:rsid w:val="002632A6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Cmsor3Char">
    <w:name w:val="Címsor 3 Char"/>
    <w:link w:val="Cmsor3"/>
    <w:uiPriority w:val="99"/>
    <w:locked/>
    <w:rsid w:val="002632A6"/>
    <w:rPr>
      <w:rFonts w:ascii="Arial" w:hAnsi="Arial" w:cs="Arial"/>
      <w:b/>
      <w:bCs/>
      <w:sz w:val="26"/>
      <w:szCs w:val="26"/>
    </w:rPr>
  </w:style>
  <w:style w:type="character" w:styleId="Kiemels">
    <w:name w:val="Emphasis"/>
    <w:uiPriority w:val="99"/>
    <w:qFormat/>
    <w:rsid w:val="002632A6"/>
    <w:rPr>
      <w:i/>
      <w:iCs/>
    </w:rPr>
  </w:style>
  <w:style w:type="paragraph" w:styleId="Listaszerbekezds">
    <w:name w:val="List Paragraph"/>
    <w:basedOn w:val="Norml"/>
    <w:uiPriority w:val="99"/>
    <w:qFormat/>
    <w:rsid w:val="002632A6"/>
    <w:pPr>
      <w:ind w:left="720"/>
    </w:pPr>
  </w:style>
  <w:style w:type="paragraph" w:styleId="Tartalomjegyzkcmsora">
    <w:name w:val="TOC Heading"/>
    <w:basedOn w:val="Cmsor1"/>
    <w:next w:val="Norml"/>
    <w:uiPriority w:val="99"/>
    <w:qFormat/>
    <w:rsid w:val="002632A6"/>
    <w:pPr>
      <w:outlineLvl w:val="9"/>
    </w:pPr>
  </w:style>
  <w:style w:type="character" w:styleId="Oldalszm">
    <w:name w:val="page number"/>
    <w:basedOn w:val="Bekezdsalapbettpusa"/>
    <w:uiPriority w:val="99"/>
    <w:rsid w:val="00980746"/>
  </w:style>
  <w:style w:type="paragraph" w:styleId="Szvegtrzs">
    <w:name w:val="Body Text"/>
    <w:basedOn w:val="Norml"/>
    <w:link w:val="SzvegtrzsChar"/>
    <w:uiPriority w:val="99"/>
    <w:rsid w:val="00980746"/>
    <w:pPr>
      <w:suppressAutoHyphens w:val="0"/>
      <w:overflowPunct/>
      <w:autoSpaceDE/>
      <w:jc w:val="both"/>
      <w:textAlignment w:val="auto"/>
    </w:pPr>
    <w:rPr>
      <w:rFonts w:eastAsia="Calibri"/>
      <w:sz w:val="20"/>
      <w:szCs w:val="20"/>
      <w:lang w:val="x-none"/>
    </w:rPr>
  </w:style>
  <w:style w:type="character" w:customStyle="1" w:styleId="SzvegtrzsChar">
    <w:name w:val="Szövegtörzs Char"/>
    <w:link w:val="Szvegtrzs"/>
    <w:uiPriority w:val="99"/>
    <w:locked/>
    <w:rsid w:val="00980746"/>
    <w:rPr>
      <w:rFonts w:ascii="Times New Roman" w:hAnsi="Times New Roman" w:cs="Times New Roman"/>
      <w:sz w:val="20"/>
      <w:szCs w:val="20"/>
      <w:lang w:eastAsia="ar-SA" w:bidi="ar-SA"/>
    </w:rPr>
  </w:style>
  <w:style w:type="paragraph" w:styleId="llb">
    <w:name w:val="footer"/>
    <w:basedOn w:val="Norml"/>
    <w:link w:val="llbChar"/>
    <w:uiPriority w:val="99"/>
    <w:rsid w:val="00980746"/>
    <w:pPr>
      <w:tabs>
        <w:tab w:val="center" w:pos="4536"/>
        <w:tab w:val="right" w:pos="9072"/>
      </w:tabs>
    </w:pPr>
    <w:rPr>
      <w:rFonts w:eastAsia="Calibri"/>
      <w:sz w:val="20"/>
      <w:szCs w:val="20"/>
      <w:lang w:val="x-none"/>
    </w:rPr>
  </w:style>
  <w:style w:type="character" w:customStyle="1" w:styleId="llbChar">
    <w:name w:val="Élőláb Char"/>
    <w:link w:val="llb"/>
    <w:uiPriority w:val="99"/>
    <w:locked/>
    <w:rsid w:val="00980746"/>
    <w:rPr>
      <w:rFonts w:ascii="Times New Roman" w:hAnsi="Times New Roman" w:cs="Times New Roman"/>
      <w:sz w:val="20"/>
      <w:szCs w:val="20"/>
      <w:lang w:eastAsia="ar-SA" w:bidi="ar-SA"/>
    </w:rPr>
  </w:style>
  <w:style w:type="paragraph" w:styleId="Szvegtrzsbehzssal">
    <w:name w:val="Body Text Indent"/>
    <w:basedOn w:val="Norml"/>
    <w:link w:val="SzvegtrzsbehzssalChar"/>
    <w:uiPriority w:val="99"/>
    <w:rsid w:val="00980746"/>
    <w:pPr>
      <w:tabs>
        <w:tab w:val="decimal" w:pos="1843"/>
        <w:tab w:val="decimal" w:pos="3969"/>
        <w:tab w:val="decimal" w:pos="6521"/>
      </w:tabs>
      <w:suppressAutoHyphens w:val="0"/>
      <w:overflowPunct/>
      <w:autoSpaceDE/>
      <w:spacing w:before="120"/>
      <w:ind w:left="426"/>
      <w:jc w:val="both"/>
      <w:textAlignment w:val="auto"/>
    </w:pPr>
    <w:rPr>
      <w:rFonts w:eastAsia="Calibri"/>
      <w:sz w:val="20"/>
      <w:szCs w:val="20"/>
      <w:lang w:val="x-none"/>
    </w:rPr>
  </w:style>
  <w:style w:type="character" w:customStyle="1" w:styleId="SzvegtrzsbehzssalChar">
    <w:name w:val="Szövegtörzs behúzással Char"/>
    <w:link w:val="Szvegtrzsbehzssal"/>
    <w:uiPriority w:val="99"/>
    <w:locked/>
    <w:rsid w:val="00980746"/>
    <w:rPr>
      <w:rFonts w:ascii="Times New Roman" w:hAnsi="Times New Roman" w:cs="Times New Roman"/>
      <w:sz w:val="20"/>
      <w:szCs w:val="20"/>
      <w:lang w:eastAsia="ar-SA" w:bidi="ar-SA"/>
    </w:rPr>
  </w:style>
  <w:style w:type="paragraph" w:styleId="lfej">
    <w:name w:val="header"/>
    <w:basedOn w:val="Norml"/>
    <w:link w:val="lfejChar"/>
    <w:uiPriority w:val="99"/>
    <w:unhideWhenUsed/>
    <w:rsid w:val="0050220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50220B"/>
    <w:rPr>
      <w:rFonts w:ascii="Times New Roman" w:eastAsia="Times New Roman" w:hAnsi="Times New Roman"/>
      <w:sz w:val="24"/>
      <w:szCs w:val="24"/>
      <w:lang w:eastAsia="ar-SA"/>
    </w:rPr>
  </w:style>
  <w:style w:type="table" w:styleId="Rcsostblzat">
    <w:name w:val="Table Grid"/>
    <w:basedOn w:val="Normltblzat"/>
    <w:locked/>
    <w:rsid w:val="00F7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D7290-24B1-4684-BB4E-57DC686B9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5</Pages>
  <Words>1684</Words>
  <Characters>11322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Bátaszék Város Önkormányzata</Company>
  <LinksUpToDate>false</LinksUpToDate>
  <CharactersWithSpaces>12981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Mórocz Zoltán</dc:creator>
  <cp:keywords/>
  <dc:description/>
  <cp:lastModifiedBy>Polgármester</cp:lastModifiedBy>
  <cp:revision>19</cp:revision>
  <dcterms:created xsi:type="dcterms:W3CDTF">2025-07-28T11:04:00Z</dcterms:created>
  <dcterms:modified xsi:type="dcterms:W3CDTF">2025-09-17T11:12:00Z</dcterms:modified>
</cp:coreProperties>
</file>