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FC948" w14:textId="77777777" w:rsidR="006325C2" w:rsidRPr="008921C0" w:rsidRDefault="006325C2" w:rsidP="006325C2">
      <w:pPr>
        <w:jc w:val="right"/>
        <w:rPr>
          <w:i/>
          <w:color w:val="3366FF"/>
          <w:sz w:val="22"/>
          <w:szCs w:val="22"/>
          <w:highlight w:val="green"/>
        </w:rPr>
      </w:pPr>
      <w:r w:rsidRPr="008921C0">
        <w:rPr>
          <w:i/>
          <w:color w:val="3366FF"/>
          <w:sz w:val="22"/>
          <w:szCs w:val="22"/>
          <w:highlight w:val="green"/>
        </w:rPr>
        <w:t>A határozati javaslat elfogadásához</w:t>
      </w:r>
    </w:p>
    <w:p w14:paraId="0379CA58" w14:textId="77777777" w:rsidR="006325C2" w:rsidRPr="008921C0" w:rsidRDefault="006325C2" w:rsidP="006325C2">
      <w:pPr>
        <w:jc w:val="right"/>
        <w:rPr>
          <w:i/>
          <w:color w:val="3366FF"/>
          <w:sz w:val="22"/>
          <w:szCs w:val="22"/>
          <w:highlight w:val="green"/>
        </w:rPr>
      </w:pPr>
      <w:proofErr w:type="gramStart"/>
      <w:r w:rsidRPr="008921C0">
        <w:rPr>
          <w:b/>
          <w:bCs/>
          <w:i/>
          <w:color w:val="3366FF"/>
          <w:sz w:val="22"/>
          <w:szCs w:val="22"/>
          <w:highlight w:val="green"/>
          <w:u w:val="single"/>
        </w:rPr>
        <w:t>egyszerű</w:t>
      </w:r>
      <w:proofErr w:type="gramEnd"/>
      <w:r w:rsidRPr="008921C0">
        <w:rPr>
          <w:i/>
          <w:color w:val="3366FF"/>
          <w:sz w:val="22"/>
          <w:szCs w:val="22"/>
          <w:highlight w:val="green"/>
        </w:rPr>
        <w:t xml:space="preserve"> többség szükséges,</w:t>
      </w:r>
    </w:p>
    <w:p w14:paraId="725436C1" w14:textId="77777777" w:rsidR="006325C2" w:rsidRPr="008921C0" w:rsidRDefault="006325C2" w:rsidP="006325C2">
      <w:pPr>
        <w:jc w:val="right"/>
        <w:rPr>
          <w:i/>
          <w:color w:val="3366FF"/>
          <w:sz w:val="22"/>
          <w:szCs w:val="22"/>
          <w:highlight w:val="green"/>
        </w:rPr>
      </w:pPr>
      <w:proofErr w:type="gramStart"/>
      <w:r w:rsidRPr="008921C0">
        <w:rPr>
          <w:i/>
          <w:color w:val="3366FF"/>
          <w:sz w:val="22"/>
          <w:szCs w:val="22"/>
          <w:highlight w:val="green"/>
        </w:rPr>
        <w:t>a</w:t>
      </w:r>
      <w:proofErr w:type="gramEnd"/>
      <w:r w:rsidRPr="008921C0">
        <w:rPr>
          <w:i/>
          <w:color w:val="3366FF"/>
          <w:sz w:val="22"/>
          <w:szCs w:val="22"/>
          <w:highlight w:val="green"/>
        </w:rPr>
        <w:t xml:space="preserve"> rendelet tervezet elfogadásához</w:t>
      </w:r>
    </w:p>
    <w:p w14:paraId="23C59170" w14:textId="7237F06C" w:rsidR="006325C2" w:rsidRPr="008921C0" w:rsidRDefault="006325C2" w:rsidP="006325C2">
      <w:pPr>
        <w:jc w:val="right"/>
        <w:rPr>
          <w:i/>
          <w:color w:val="3366FF"/>
          <w:sz w:val="22"/>
          <w:szCs w:val="22"/>
          <w:highlight w:val="green"/>
        </w:rPr>
      </w:pPr>
      <w:proofErr w:type="gramStart"/>
      <w:r w:rsidRPr="008921C0">
        <w:rPr>
          <w:b/>
          <w:i/>
          <w:color w:val="3366FF"/>
          <w:sz w:val="22"/>
          <w:szCs w:val="22"/>
          <w:highlight w:val="green"/>
          <w:u w:val="single"/>
        </w:rPr>
        <w:t>az</w:t>
      </w:r>
      <w:proofErr w:type="gramEnd"/>
      <w:r w:rsidRPr="008921C0">
        <w:rPr>
          <w:b/>
          <w:i/>
          <w:color w:val="3366FF"/>
          <w:sz w:val="22"/>
          <w:szCs w:val="22"/>
          <w:highlight w:val="green"/>
          <w:u w:val="single"/>
        </w:rPr>
        <w:t xml:space="preserve"> </w:t>
      </w:r>
      <w:proofErr w:type="spellStart"/>
      <w:r w:rsidRPr="008921C0">
        <w:rPr>
          <w:b/>
          <w:i/>
          <w:color w:val="3366FF"/>
          <w:sz w:val="22"/>
          <w:szCs w:val="22"/>
          <w:highlight w:val="green"/>
          <w:u w:val="single"/>
        </w:rPr>
        <w:t>Mötv</w:t>
      </w:r>
      <w:proofErr w:type="spellEnd"/>
      <w:r w:rsidRPr="008921C0">
        <w:rPr>
          <w:b/>
          <w:i/>
          <w:color w:val="3366FF"/>
          <w:sz w:val="22"/>
          <w:szCs w:val="22"/>
          <w:highlight w:val="green"/>
          <w:u w:val="single"/>
        </w:rPr>
        <w:t>. 50. §-</w:t>
      </w:r>
      <w:proofErr w:type="gramStart"/>
      <w:r w:rsidRPr="008921C0">
        <w:rPr>
          <w:b/>
          <w:i/>
          <w:color w:val="3366FF"/>
          <w:sz w:val="22"/>
          <w:szCs w:val="22"/>
          <w:highlight w:val="green"/>
          <w:u w:val="single"/>
        </w:rPr>
        <w:t>a</w:t>
      </w:r>
      <w:proofErr w:type="gramEnd"/>
      <w:r w:rsidRPr="008921C0">
        <w:rPr>
          <w:b/>
          <w:i/>
          <w:color w:val="3366FF"/>
          <w:sz w:val="22"/>
          <w:szCs w:val="22"/>
          <w:highlight w:val="green"/>
          <w:u w:val="single"/>
        </w:rPr>
        <w:t xml:space="preserve"> alapján minősített </w:t>
      </w:r>
      <w:r w:rsidRPr="008921C0">
        <w:rPr>
          <w:i/>
          <w:color w:val="3366FF"/>
          <w:sz w:val="22"/>
          <w:szCs w:val="22"/>
          <w:highlight w:val="green"/>
        </w:rPr>
        <w:t>többség sz</w:t>
      </w:r>
      <w:r w:rsidR="000964AC" w:rsidRPr="008921C0">
        <w:rPr>
          <w:i/>
          <w:color w:val="3366FF"/>
          <w:sz w:val="22"/>
          <w:szCs w:val="22"/>
          <w:highlight w:val="green"/>
        </w:rPr>
        <w:t>ü</w:t>
      </w:r>
      <w:r w:rsidRPr="008921C0">
        <w:rPr>
          <w:i/>
          <w:color w:val="3366FF"/>
          <w:sz w:val="22"/>
          <w:szCs w:val="22"/>
          <w:highlight w:val="green"/>
        </w:rPr>
        <w:t>kséges,</w:t>
      </w:r>
    </w:p>
    <w:p w14:paraId="6D692AF6" w14:textId="77777777" w:rsidR="006325C2" w:rsidRDefault="006325C2" w:rsidP="006325C2">
      <w:pPr>
        <w:jc w:val="right"/>
        <w:rPr>
          <w:i/>
          <w:color w:val="3366FF"/>
          <w:sz w:val="22"/>
          <w:szCs w:val="22"/>
        </w:rPr>
      </w:pPr>
      <w:proofErr w:type="gramStart"/>
      <w:r w:rsidRPr="008921C0">
        <w:rPr>
          <w:i/>
          <w:color w:val="3366FF"/>
          <w:sz w:val="22"/>
          <w:szCs w:val="22"/>
          <w:highlight w:val="green"/>
        </w:rPr>
        <w:t>az</w:t>
      </w:r>
      <w:proofErr w:type="gramEnd"/>
      <w:r w:rsidRPr="008921C0">
        <w:rPr>
          <w:i/>
          <w:color w:val="3366FF"/>
          <w:sz w:val="22"/>
          <w:szCs w:val="22"/>
          <w:highlight w:val="green"/>
        </w:rPr>
        <w:t xml:space="preserve"> előterjesztés </w:t>
      </w:r>
      <w:r w:rsidRPr="008921C0">
        <w:rPr>
          <w:b/>
          <w:i/>
          <w:color w:val="3366FF"/>
          <w:sz w:val="22"/>
          <w:szCs w:val="22"/>
          <w:highlight w:val="green"/>
          <w:u w:val="single"/>
        </w:rPr>
        <w:t>nyilvános ülésen tárgyalható</w:t>
      </w:r>
      <w:r w:rsidRPr="008921C0">
        <w:rPr>
          <w:i/>
          <w:color w:val="3366FF"/>
          <w:sz w:val="22"/>
          <w:szCs w:val="22"/>
          <w:highlight w:val="green"/>
        </w:rPr>
        <w:t>!</w:t>
      </w:r>
      <w:bookmarkStart w:id="0" w:name="_GoBack"/>
      <w:bookmarkEnd w:id="0"/>
    </w:p>
    <w:p w14:paraId="76A1FED3" w14:textId="77777777" w:rsidR="006325C2" w:rsidRDefault="006325C2" w:rsidP="006325C2">
      <w:pPr>
        <w:jc w:val="both"/>
        <w:rPr>
          <w:color w:val="3366FF"/>
        </w:rPr>
      </w:pPr>
    </w:p>
    <w:p w14:paraId="562F1E1A" w14:textId="77777777" w:rsidR="006325C2" w:rsidRDefault="006325C2" w:rsidP="006325C2">
      <w:pPr>
        <w:jc w:val="both"/>
        <w:rPr>
          <w:color w:val="3366FF"/>
        </w:rPr>
      </w:pPr>
    </w:p>
    <w:p w14:paraId="68A2B47E" w14:textId="00590E1C" w:rsidR="006325C2" w:rsidRDefault="0037518F" w:rsidP="00B7371A">
      <w:pPr>
        <w:ind w:left="2124" w:firstLine="708"/>
        <w:rPr>
          <w:rFonts w:ascii="Arial" w:hAnsi="Arial" w:cs="Arial"/>
          <w:bCs/>
          <w:i/>
          <w:color w:val="3366FF"/>
          <w:sz w:val="32"/>
          <w:szCs w:val="32"/>
          <w:u w:val="single"/>
        </w:rPr>
      </w:pPr>
      <w:r>
        <w:rPr>
          <w:rFonts w:ascii="Arial" w:hAnsi="Arial" w:cs="Arial"/>
          <w:bCs/>
          <w:i/>
          <w:color w:val="3366FF"/>
          <w:sz w:val="32"/>
          <w:szCs w:val="32"/>
          <w:u w:val="single"/>
        </w:rPr>
        <w:t>20</w:t>
      </w:r>
      <w:r w:rsidR="006325C2">
        <w:rPr>
          <w:rFonts w:ascii="Arial" w:hAnsi="Arial" w:cs="Arial"/>
          <w:bCs/>
          <w:i/>
          <w:color w:val="3366FF"/>
          <w:sz w:val="32"/>
          <w:szCs w:val="32"/>
          <w:u w:val="single"/>
        </w:rPr>
        <w:t>. számú előterjesztés</w:t>
      </w:r>
    </w:p>
    <w:p w14:paraId="44F338F0" w14:textId="77777777" w:rsidR="006325C2" w:rsidRDefault="006325C2" w:rsidP="006325C2">
      <w:pPr>
        <w:jc w:val="center"/>
        <w:rPr>
          <w:rFonts w:ascii="Arial" w:hAnsi="Arial" w:cs="Arial"/>
          <w:i/>
          <w:iCs/>
          <w:color w:val="3366FF"/>
          <w:u w:val="single"/>
        </w:rPr>
      </w:pPr>
    </w:p>
    <w:p w14:paraId="41DC2FFF" w14:textId="52CAF5A5" w:rsidR="006325C2" w:rsidRDefault="006325C2" w:rsidP="006325C2">
      <w:pPr>
        <w:jc w:val="center"/>
        <w:rPr>
          <w:rFonts w:ascii="Arial" w:hAnsi="Arial" w:cs="Arial"/>
          <w:color w:val="3366FF"/>
          <w:sz w:val="22"/>
          <w:szCs w:val="22"/>
        </w:rPr>
      </w:pPr>
      <w:r>
        <w:rPr>
          <w:rFonts w:ascii="Arial" w:hAnsi="Arial" w:cs="Arial"/>
          <w:color w:val="3366FF"/>
          <w:sz w:val="22"/>
          <w:szCs w:val="22"/>
        </w:rPr>
        <w:t>Bátaszék Város Önkormány</w:t>
      </w:r>
      <w:r w:rsidR="00E11606">
        <w:rPr>
          <w:rFonts w:ascii="Arial" w:hAnsi="Arial" w:cs="Arial"/>
          <w:color w:val="3366FF"/>
          <w:sz w:val="22"/>
          <w:szCs w:val="22"/>
        </w:rPr>
        <w:t>zata</w:t>
      </w:r>
      <w:r w:rsidR="00B7371A">
        <w:rPr>
          <w:rFonts w:ascii="Arial" w:hAnsi="Arial" w:cs="Arial"/>
          <w:color w:val="3366FF"/>
          <w:sz w:val="22"/>
          <w:szCs w:val="22"/>
        </w:rPr>
        <w:t xml:space="preserve"> Képviselő-testületének 2026</w:t>
      </w:r>
      <w:r w:rsidR="00E11606">
        <w:rPr>
          <w:rFonts w:ascii="Arial" w:hAnsi="Arial" w:cs="Arial"/>
          <w:color w:val="3366FF"/>
          <w:sz w:val="22"/>
          <w:szCs w:val="22"/>
        </w:rPr>
        <w:t>. február 1</w:t>
      </w:r>
      <w:r w:rsidR="00226E39">
        <w:rPr>
          <w:rFonts w:ascii="Arial" w:hAnsi="Arial" w:cs="Arial"/>
          <w:color w:val="3366FF"/>
          <w:sz w:val="22"/>
          <w:szCs w:val="22"/>
        </w:rPr>
        <w:t>1</w:t>
      </w:r>
      <w:r>
        <w:rPr>
          <w:rFonts w:ascii="Arial" w:hAnsi="Arial" w:cs="Arial"/>
          <w:color w:val="3366FF"/>
          <w:sz w:val="22"/>
          <w:szCs w:val="22"/>
        </w:rPr>
        <w:t>-én,</w:t>
      </w:r>
    </w:p>
    <w:p w14:paraId="372A1730" w14:textId="77777777" w:rsidR="006325C2" w:rsidRDefault="006325C2" w:rsidP="006325C2">
      <w:pPr>
        <w:spacing w:before="120"/>
        <w:jc w:val="center"/>
        <w:rPr>
          <w:rFonts w:ascii="Arial" w:hAnsi="Arial" w:cs="Arial"/>
          <w:color w:val="3366FF"/>
          <w:sz w:val="22"/>
          <w:szCs w:val="22"/>
        </w:rPr>
      </w:pPr>
      <w:r>
        <w:rPr>
          <w:rFonts w:ascii="Arial" w:hAnsi="Arial" w:cs="Arial"/>
          <w:color w:val="3366FF"/>
          <w:sz w:val="22"/>
          <w:szCs w:val="22"/>
        </w:rPr>
        <w:t>16 órakor megtartandó</w:t>
      </w:r>
      <w:r>
        <w:rPr>
          <w:rFonts w:ascii="Arial" w:hAnsi="Arial" w:cs="Arial"/>
          <w:caps/>
          <w:color w:val="3366FF"/>
          <w:sz w:val="22"/>
          <w:szCs w:val="22"/>
        </w:rPr>
        <w:t xml:space="preserve"> </w:t>
      </w:r>
      <w:r>
        <w:rPr>
          <w:rFonts w:ascii="Arial" w:hAnsi="Arial" w:cs="Arial"/>
          <w:color w:val="3366FF"/>
          <w:sz w:val="22"/>
          <w:szCs w:val="22"/>
        </w:rPr>
        <w:t>ülésére</w:t>
      </w:r>
    </w:p>
    <w:p w14:paraId="64C86633" w14:textId="77777777" w:rsidR="006325C2" w:rsidRPr="00ED4DCE" w:rsidRDefault="006325C2" w:rsidP="006325C2">
      <w:pPr>
        <w:jc w:val="center"/>
        <w:rPr>
          <w:color w:val="3366FF"/>
        </w:rPr>
      </w:pPr>
    </w:p>
    <w:p w14:paraId="7705A397" w14:textId="134AEEF9" w:rsidR="006325C2" w:rsidRPr="00357171" w:rsidRDefault="006325C2" w:rsidP="006325C2">
      <w:pPr>
        <w:widowControl w:val="0"/>
        <w:tabs>
          <w:tab w:val="left" w:pos="540"/>
        </w:tabs>
        <w:autoSpaceDE w:val="0"/>
        <w:autoSpaceDN w:val="0"/>
        <w:adjustRightInd w:val="0"/>
        <w:jc w:val="center"/>
        <w:rPr>
          <w:rFonts w:ascii="Arial" w:hAnsi="Arial" w:cs="Arial"/>
          <w:bCs/>
          <w:iCs/>
          <w:color w:val="3366FF"/>
          <w:sz w:val="32"/>
          <w:szCs w:val="32"/>
          <w:u w:val="single"/>
        </w:rPr>
      </w:pPr>
      <w:r w:rsidRPr="00357171">
        <w:rPr>
          <w:rFonts w:ascii="Arial" w:hAnsi="Arial" w:cs="Arial"/>
          <w:bCs/>
          <w:iCs/>
          <w:color w:val="3366FF"/>
          <w:sz w:val="32"/>
          <w:szCs w:val="32"/>
          <w:u w:val="single"/>
        </w:rPr>
        <w:t xml:space="preserve">Bátaszék Város </w:t>
      </w:r>
      <w:r w:rsidR="00CC4668">
        <w:rPr>
          <w:rFonts w:ascii="Arial" w:hAnsi="Arial" w:cs="Arial"/>
          <w:bCs/>
          <w:iCs/>
          <w:color w:val="3366FF"/>
          <w:sz w:val="32"/>
          <w:szCs w:val="32"/>
          <w:u w:val="single"/>
        </w:rPr>
        <w:t>Önkormányzata 202</w:t>
      </w:r>
      <w:r w:rsidR="00B7371A">
        <w:rPr>
          <w:rFonts w:ascii="Arial" w:hAnsi="Arial" w:cs="Arial"/>
          <w:bCs/>
          <w:iCs/>
          <w:color w:val="3366FF"/>
          <w:sz w:val="32"/>
          <w:szCs w:val="32"/>
          <w:u w:val="single"/>
        </w:rPr>
        <w:t>6</w:t>
      </w:r>
      <w:r w:rsidRPr="00383FBB">
        <w:rPr>
          <w:rFonts w:ascii="Arial" w:hAnsi="Arial" w:cs="Arial"/>
          <w:bCs/>
          <w:iCs/>
          <w:color w:val="3366FF"/>
          <w:sz w:val="32"/>
          <w:szCs w:val="32"/>
          <w:u w:val="single"/>
        </w:rPr>
        <w:t xml:space="preserve">. évi </w:t>
      </w:r>
      <w:r w:rsidR="00383FBB">
        <w:rPr>
          <w:rFonts w:ascii="Arial" w:hAnsi="Arial" w:cs="Arial"/>
          <w:bCs/>
          <w:iCs/>
          <w:color w:val="3366FF"/>
          <w:sz w:val="32"/>
          <w:szCs w:val="32"/>
          <w:u w:val="single"/>
        </w:rPr>
        <w:t>költségvetésének tárgyalása</w:t>
      </w:r>
    </w:p>
    <w:p w14:paraId="2E61DBBB" w14:textId="77777777" w:rsidR="006325C2" w:rsidRPr="00357171" w:rsidRDefault="006325C2" w:rsidP="006325C2">
      <w:pPr>
        <w:tabs>
          <w:tab w:val="left" w:pos="567"/>
          <w:tab w:val="left" w:pos="6237"/>
        </w:tabs>
        <w:ind w:left="3119"/>
        <w:jc w:val="both"/>
        <w:rPr>
          <w:rFonts w:ascii="Arial" w:hAnsi="Arial" w:cs="Arial"/>
          <w:bCs/>
          <w:i/>
          <w:iCs/>
          <w:color w:val="3366FF"/>
          <w:sz w:val="22"/>
          <w:szCs w:val="22"/>
          <w:u w:val="single"/>
        </w:rPr>
      </w:pPr>
    </w:p>
    <w:tbl>
      <w:tblPr>
        <w:tblW w:w="0" w:type="auto"/>
        <w:jc w:val="center"/>
        <w:tblLook w:val="0000" w:firstRow="0" w:lastRow="0" w:firstColumn="0" w:lastColumn="0" w:noHBand="0" w:noVBand="0"/>
      </w:tblPr>
      <w:tblGrid>
        <w:gridCol w:w="7236"/>
      </w:tblGrid>
      <w:tr w:rsidR="006325C2" w:rsidRPr="00ED4DCE" w14:paraId="2253C587" w14:textId="77777777" w:rsidTr="00294D69">
        <w:trPr>
          <w:trHeight w:val="2026"/>
          <w:jc w:val="center"/>
        </w:trPr>
        <w:tc>
          <w:tcPr>
            <w:tcW w:w="7236" w:type="dxa"/>
            <w:tcBorders>
              <w:top w:val="single" w:sz="18" w:space="0" w:color="auto"/>
              <w:left w:val="single" w:sz="18" w:space="0" w:color="auto"/>
              <w:bottom w:val="single" w:sz="18" w:space="0" w:color="auto"/>
              <w:right w:val="single" w:sz="18" w:space="0" w:color="auto"/>
            </w:tcBorders>
          </w:tcPr>
          <w:p w14:paraId="7B3762C8" w14:textId="77777777" w:rsidR="006325C2" w:rsidRPr="00ED4DCE" w:rsidRDefault="006325C2" w:rsidP="00294D69">
            <w:pPr>
              <w:tabs>
                <w:tab w:val="left" w:pos="1843"/>
              </w:tabs>
              <w:snapToGrid w:val="0"/>
              <w:jc w:val="both"/>
              <w:rPr>
                <w:rFonts w:ascii="Arial" w:hAnsi="Arial" w:cs="Arial"/>
                <w:b/>
                <w:bCs/>
                <w:color w:val="3366FF"/>
                <w:sz w:val="22"/>
                <w:szCs w:val="22"/>
                <w:u w:val="single"/>
              </w:rPr>
            </w:pPr>
          </w:p>
          <w:p w14:paraId="16D5884C" w14:textId="354E2D65" w:rsidR="006325C2" w:rsidRPr="00ED4DCE" w:rsidRDefault="006325C2" w:rsidP="00294D69">
            <w:pPr>
              <w:tabs>
                <w:tab w:val="left" w:pos="1843"/>
              </w:tabs>
              <w:rPr>
                <w:rFonts w:ascii="Arial" w:hAnsi="Arial" w:cs="Arial"/>
                <w:color w:val="3366FF"/>
                <w:sz w:val="22"/>
                <w:szCs w:val="22"/>
              </w:rPr>
            </w:pPr>
            <w:r w:rsidRPr="00ED4DCE">
              <w:rPr>
                <w:rFonts w:ascii="Arial" w:hAnsi="Arial" w:cs="Arial"/>
                <w:b/>
                <w:bCs/>
                <w:color w:val="3366FF"/>
                <w:sz w:val="22"/>
                <w:szCs w:val="22"/>
                <w:u w:val="single"/>
              </w:rPr>
              <w:t>Előterjesztő:</w:t>
            </w:r>
            <w:r w:rsidR="005B1B87">
              <w:rPr>
                <w:rFonts w:ascii="Arial" w:hAnsi="Arial" w:cs="Arial"/>
                <w:color w:val="3366FF"/>
                <w:sz w:val="22"/>
                <w:szCs w:val="22"/>
              </w:rPr>
              <w:t xml:space="preserve"> d</w:t>
            </w:r>
            <w:r>
              <w:rPr>
                <w:rFonts w:ascii="Arial" w:hAnsi="Arial" w:cs="Arial"/>
                <w:color w:val="3366FF"/>
                <w:sz w:val="22"/>
                <w:szCs w:val="22"/>
              </w:rPr>
              <w:t>r. Bozsolik Róbert polgármester</w:t>
            </w:r>
          </w:p>
          <w:p w14:paraId="18DA85FB" w14:textId="77777777" w:rsidR="006325C2" w:rsidRPr="00ED4DCE" w:rsidRDefault="006325C2" w:rsidP="00294D69">
            <w:pPr>
              <w:rPr>
                <w:rFonts w:ascii="Arial" w:hAnsi="Arial" w:cs="Arial"/>
                <w:b/>
                <w:bCs/>
                <w:color w:val="3366FF"/>
                <w:sz w:val="22"/>
                <w:szCs w:val="22"/>
                <w:u w:val="single"/>
              </w:rPr>
            </w:pPr>
          </w:p>
          <w:p w14:paraId="09EDA118" w14:textId="3B23C565" w:rsidR="006325C2" w:rsidRDefault="006325C2" w:rsidP="00860B38">
            <w:pPr>
              <w:rPr>
                <w:rFonts w:ascii="Arial" w:hAnsi="Arial" w:cs="Arial"/>
                <w:color w:val="3366FF"/>
                <w:sz w:val="22"/>
                <w:szCs w:val="22"/>
              </w:rPr>
            </w:pPr>
            <w:r w:rsidRPr="00ED4DCE">
              <w:rPr>
                <w:rFonts w:ascii="Arial" w:hAnsi="Arial" w:cs="Arial"/>
                <w:b/>
                <w:bCs/>
                <w:color w:val="3366FF"/>
                <w:sz w:val="22"/>
                <w:szCs w:val="22"/>
                <w:u w:val="single"/>
              </w:rPr>
              <w:t>Készítette</w:t>
            </w:r>
            <w:r w:rsidR="00E11606">
              <w:rPr>
                <w:rFonts w:ascii="Arial" w:hAnsi="Arial" w:cs="Arial"/>
                <w:color w:val="3366FF"/>
                <w:sz w:val="22"/>
                <w:szCs w:val="22"/>
              </w:rPr>
              <w:t xml:space="preserve">: </w:t>
            </w:r>
            <w:r>
              <w:rPr>
                <w:rFonts w:ascii="Arial" w:hAnsi="Arial" w:cs="Arial"/>
                <w:color w:val="3366FF"/>
                <w:sz w:val="22"/>
                <w:szCs w:val="22"/>
              </w:rPr>
              <w:t xml:space="preserve">Adorján Viktória pénzügyi </w:t>
            </w:r>
            <w:r w:rsidR="006C513A">
              <w:rPr>
                <w:rFonts w:ascii="Arial" w:hAnsi="Arial" w:cs="Arial"/>
                <w:color w:val="3366FF"/>
                <w:sz w:val="22"/>
                <w:szCs w:val="22"/>
              </w:rPr>
              <w:t>ügyintéző</w:t>
            </w:r>
          </w:p>
          <w:p w14:paraId="6658837D" w14:textId="557E5D09" w:rsidR="00860B38" w:rsidRDefault="00860B38" w:rsidP="00860B38">
            <w:pPr>
              <w:rPr>
                <w:rFonts w:ascii="Arial" w:hAnsi="Arial" w:cs="Arial"/>
                <w:color w:val="3366FF"/>
                <w:sz w:val="22"/>
                <w:szCs w:val="22"/>
              </w:rPr>
            </w:pPr>
            <w:r>
              <w:rPr>
                <w:rFonts w:ascii="Arial" w:hAnsi="Arial" w:cs="Arial"/>
                <w:color w:val="3366FF"/>
                <w:sz w:val="22"/>
                <w:szCs w:val="22"/>
              </w:rPr>
              <w:t xml:space="preserve">                   </w:t>
            </w:r>
            <w:r w:rsidR="00B7371A">
              <w:rPr>
                <w:rFonts w:ascii="Arial" w:hAnsi="Arial" w:cs="Arial"/>
                <w:color w:val="3366FF"/>
                <w:sz w:val="22"/>
                <w:szCs w:val="22"/>
              </w:rPr>
              <w:t>Keresztes Katalin pénzügyi irodavezető</w:t>
            </w:r>
          </w:p>
          <w:p w14:paraId="7C49B9AE" w14:textId="77777777" w:rsidR="006325C2" w:rsidRPr="00ED4DCE" w:rsidRDefault="006325C2" w:rsidP="00294D69">
            <w:pPr>
              <w:rPr>
                <w:rFonts w:ascii="Arial" w:hAnsi="Arial" w:cs="Arial"/>
                <w:color w:val="3366FF"/>
                <w:sz w:val="22"/>
                <w:szCs w:val="22"/>
              </w:rPr>
            </w:pPr>
            <w:r w:rsidRPr="00ED4DCE">
              <w:rPr>
                <w:rFonts w:ascii="Arial" w:hAnsi="Arial" w:cs="Arial"/>
                <w:color w:val="3366FF"/>
                <w:sz w:val="22"/>
                <w:szCs w:val="22"/>
              </w:rPr>
              <w:t xml:space="preserve">                                       </w:t>
            </w:r>
          </w:p>
          <w:p w14:paraId="50ABCFD7" w14:textId="37B956F4" w:rsidR="006325C2" w:rsidRDefault="006325C2" w:rsidP="00294D69">
            <w:pPr>
              <w:rPr>
                <w:rFonts w:ascii="Arial" w:hAnsi="Arial" w:cs="Arial"/>
                <w:color w:val="3366FF"/>
                <w:sz w:val="22"/>
                <w:szCs w:val="22"/>
              </w:rPr>
            </w:pPr>
            <w:r w:rsidRPr="00ED4DCE">
              <w:rPr>
                <w:rFonts w:ascii="Arial" w:hAnsi="Arial" w:cs="Arial"/>
                <w:b/>
                <w:bCs/>
                <w:color w:val="3366FF"/>
                <w:sz w:val="22"/>
                <w:szCs w:val="22"/>
                <w:u w:val="single"/>
              </w:rPr>
              <w:t>Törvényességi ellenőrzést végezte:</w:t>
            </w:r>
            <w:r>
              <w:rPr>
                <w:rFonts w:ascii="Arial" w:hAnsi="Arial" w:cs="Arial"/>
                <w:color w:val="3366FF"/>
                <w:sz w:val="22"/>
                <w:szCs w:val="22"/>
              </w:rPr>
              <w:t xml:space="preserve"> </w:t>
            </w:r>
            <w:proofErr w:type="spellStart"/>
            <w:r w:rsidR="00B7371A">
              <w:rPr>
                <w:rFonts w:ascii="Arial" w:hAnsi="Arial" w:cs="Arial"/>
                <w:color w:val="3366FF"/>
                <w:sz w:val="22"/>
                <w:szCs w:val="22"/>
              </w:rPr>
              <w:t>Kondriczné</w:t>
            </w:r>
            <w:proofErr w:type="spellEnd"/>
            <w:r w:rsidR="00B7371A">
              <w:rPr>
                <w:rFonts w:ascii="Arial" w:hAnsi="Arial" w:cs="Arial"/>
                <w:color w:val="3366FF"/>
                <w:sz w:val="22"/>
                <w:szCs w:val="22"/>
              </w:rPr>
              <w:t xml:space="preserve"> dr. Varga Erzsébet jegyző</w:t>
            </w:r>
          </w:p>
          <w:p w14:paraId="376A4449" w14:textId="77777777" w:rsidR="00383FBB" w:rsidRDefault="00383FBB" w:rsidP="00294D69">
            <w:pPr>
              <w:rPr>
                <w:rFonts w:ascii="Arial" w:hAnsi="Arial" w:cs="Arial"/>
                <w:color w:val="3366FF"/>
                <w:sz w:val="22"/>
                <w:szCs w:val="22"/>
              </w:rPr>
            </w:pPr>
          </w:p>
          <w:p w14:paraId="6A513F79" w14:textId="77777777" w:rsidR="006325C2" w:rsidRDefault="006325C2" w:rsidP="00294D69">
            <w:pPr>
              <w:rPr>
                <w:rFonts w:ascii="Arial" w:hAnsi="Arial" w:cs="Arial"/>
                <w:b/>
                <w:color w:val="3366FF"/>
                <w:sz w:val="22"/>
                <w:szCs w:val="22"/>
                <w:u w:val="single"/>
              </w:rPr>
            </w:pPr>
            <w:r w:rsidRPr="00DD2AC2">
              <w:rPr>
                <w:rFonts w:ascii="Arial" w:hAnsi="Arial" w:cs="Arial"/>
                <w:b/>
                <w:color w:val="3366FF"/>
                <w:sz w:val="22"/>
                <w:szCs w:val="22"/>
                <w:u w:val="single"/>
              </w:rPr>
              <w:t>Tárgyalja:</w:t>
            </w:r>
          </w:p>
          <w:p w14:paraId="229B7BC9" w14:textId="77777777" w:rsidR="00FD2BE1" w:rsidRPr="00DD2AC2" w:rsidRDefault="00FD2BE1" w:rsidP="00294D69">
            <w:pPr>
              <w:rPr>
                <w:rFonts w:ascii="Arial" w:hAnsi="Arial" w:cs="Arial"/>
                <w:b/>
                <w:color w:val="3366FF"/>
                <w:sz w:val="22"/>
                <w:szCs w:val="22"/>
                <w:u w:val="single"/>
              </w:rPr>
            </w:pPr>
          </w:p>
          <w:p w14:paraId="49FCF307" w14:textId="77777777" w:rsidR="006325C2" w:rsidRPr="00183685" w:rsidRDefault="006325C2" w:rsidP="00294D69">
            <w:pPr>
              <w:rPr>
                <w:rFonts w:ascii="Arial" w:hAnsi="Arial" w:cs="Arial"/>
                <w:color w:val="3366FF"/>
                <w:sz w:val="22"/>
                <w:szCs w:val="22"/>
              </w:rPr>
            </w:pPr>
            <w:r>
              <w:rPr>
                <w:rFonts w:ascii="Arial" w:hAnsi="Arial" w:cs="Arial"/>
                <w:color w:val="3366FF"/>
                <w:sz w:val="22"/>
                <w:szCs w:val="22"/>
              </w:rPr>
              <w:t>valamennyi bizottság</w:t>
            </w:r>
          </w:p>
          <w:p w14:paraId="080426DE" w14:textId="77777777" w:rsidR="006325C2" w:rsidRPr="00ED4DCE" w:rsidRDefault="006325C2" w:rsidP="00294D69">
            <w:pPr>
              <w:jc w:val="both"/>
              <w:rPr>
                <w:rFonts w:ascii="Arial" w:hAnsi="Arial" w:cs="Arial"/>
                <w:color w:val="3366FF"/>
                <w:sz w:val="22"/>
                <w:szCs w:val="22"/>
                <w:shd w:val="clear" w:color="auto" w:fill="FF0000"/>
              </w:rPr>
            </w:pPr>
          </w:p>
        </w:tc>
      </w:tr>
    </w:tbl>
    <w:p w14:paraId="02CD8C56" w14:textId="77777777" w:rsidR="00DA5EEA" w:rsidRPr="008D3905" w:rsidRDefault="00DA5EEA" w:rsidP="00DA5EEA">
      <w:pPr>
        <w:rPr>
          <w:rFonts w:ascii="Arial" w:hAnsi="Arial" w:cs="Arial"/>
          <w:sz w:val="20"/>
          <w:szCs w:val="20"/>
        </w:rPr>
      </w:pPr>
    </w:p>
    <w:p w14:paraId="5ECCE9BA" w14:textId="77777777" w:rsidR="00B7371A" w:rsidRDefault="00B7371A" w:rsidP="00B7371A">
      <w:pPr>
        <w:pStyle w:val="Cmsor2"/>
        <w:rPr>
          <w:rFonts w:ascii="Arial" w:hAnsi="Arial" w:cs="Arial"/>
          <w:bCs w:val="0"/>
          <w:sz w:val="22"/>
          <w:szCs w:val="22"/>
        </w:rPr>
      </w:pPr>
      <w:r w:rsidRPr="00A63141">
        <w:rPr>
          <w:rFonts w:ascii="Arial" w:hAnsi="Arial" w:cs="Arial"/>
          <w:bCs w:val="0"/>
          <w:sz w:val="22"/>
          <w:szCs w:val="22"/>
        </w:rPr>
        <w:t>Tisztelt Képviselő-testület!</w:t>
      </w:r>
    </w:p>
    <w:p w14:paraId="762F69CC" w14:textId="77777777" w:rsidR="00B7371A" w:rsidRDefault="00B7371A" w:rsidP="00B7371A">
      <w:pPr>
        <w:spacing w:line="276" w:lineRule="auto"/>
        <w:jc w:val="center"/>
        <w:rPr>
          <w:rFonts w:ascii="Arial" w:hAnsi="Arial" w:cs="Arial"/>
          <w:sz w:val="22"/>
          <w:szCs w:val="22"/>
        </w:rPr>
      </w:pPr>
    </w:p>
    <w:p w14:paraId="13FAA029" w14:textId="135649DB" w:rsidR="00B7371A" w:rsidRPr="00524381" w:rsidRDefault="00B7371A" w:rsidP="00B7371A">
      <w:pPr>
        <w:spacing w:line="276" w:lineRule="auto"/>
        <w:jc w:val="both"/>
        <w:rPr>
          <w:rFonts w:ascii="Arial" w:hAnsi="Arial" w:cs="Arial"/>
          <w:sz w:val="22"/>
          <w:szCs w:val="22"/>
        </w:rPr>
      </w:pPr>
      <w:r w:rsidRPr="00524381">
        <w:rPr>
          <w:rFonts w:ascii="Arial" w:hAnsi="Arial" w:cs="Arial"/>
          <w:sz w:val="22"/>
          <w:szCs w:val="22"/>
        </w:rPr>
        <w:t xml:space="preserve">Az államháztartásról szóló 2011. évi CXCV. törvény (a továbbiakban: Áht. 23. § </w:t>
      </w:r>
      <w:r>
        <w:rPr>
          <w:rFonts w:ascii="Arial" w:hAnsi="Arial" w:cs="Arial"/>
          <w:sz w:val="22"/>
          <w:szCs w:val="22"/>
        </w:rPr>
        <w:t>előírásai</w:t>
      </w:r>
      <w:r w:rsidR="00F31C81">
        <w:rPr>
          <w:rFonts w:ascii="Arial" w:hAnsi="Arial" w:cs="Arial"/>
          <w:sz w:val="22"/>
          <w:szCs w:val="22"/>
        </w:rPr>
        <w:t xml:space="preserve"> szerint </w:t>
      </w:r>
      <w:r w:rsidRPr="00524381">
        <w:rPr>
          <w:rFonts w:ascii="Arial" w:hAnsi="Arial" w:cs="Arial"/>
          <w:sz w:val="22"/>
          <w:szCs w:val="22"/>
        </w:rPr>
        <w:t xml:space="preserve">elkészítésre került </w:t>
      </w:r>
      <w:r>
        <w:rPr>
          <w:rFonts w:ascii="Arial" w:hAnsi="Arial" w:cs="Arial"/>
          <w:sz w:val="22"/>
          <w:szCs w:val="22"/>
        </w:rPr>
        <w:t>Bátaszék Város</w:t>
      </w:r>
      <w:r w:rsidRPr="00524381">
        <w:rPr>
          <w:rFonts w:ascii="Arial" w:hAnsi="Arial" w:cs="Arial"/>
          <w:sz w:val="22"/>
          <w:szCs w:val="22"/>
        </w:rPr>
        <w:t xml:space="preserve"> Önkormányzatának költségvetési rendelete, amely az Áht. 24. §-</w:t>
      </w:r>
      <w:proofErr w:type="spellStart"/>
      <w:r w:rsidRPr="00524381">
        <w:rPr>
          <w:rFonts w:ascii="Arial" w:hAnsi="Arial" w:cs="Arial"/>
          <w:sz w:val="22"/>
          <w:szCs w:val="22"/>
        </w:rPr>
        <w:t>ának</w:t>
      </w:r>
      <w:proofErr w:type="spellEnd"/>
      <w:r w:rsidRPr="00524381">
        <w:rPr>
          <w:rFonts w:ascii="Arial" w:hAnsi="Arial" w:cs="Arial"/>
          <w:sz w:val="22"/>
          <w:szCs w:val="22"/>
        </w:rPr>
        <w:t xml:space="preserve"> megfelelően február 15-ig a Képviselő-testület számára benyújtásra kerül. </w:t>
      </w:r>
    </w:p>
    <w:p w14:paraId="10DF11D9" w14:textId="326A83C2" w:rsidR="00B7371A" w:rsidRPr="00524381" w:rsidRDefault="00B7371A" w:rsidP="00B7371A">
      <w:pPr>
        <w:spacing w:line="276" w:lineRule="auto"/>
        <w:jc w:val="both"/>
        <w:rPr>
          <w:rFonts w:ascii="Arial" w:hAnsi="Arial" w:cs="Arial"/>
          <w:sz w:val="22"/>
          <w:szCs w:val="22"/>
        </w:rPr>
      </w:pPr>
      <w:r w:rsidRPr="00524381">
        <w:rPr>
          <w:rFonts w:ascii="Arial" w:hAnsi="Arial" w:cs="Arial"/>
          <w:sz w:val="22"/>
          <w:szCs w:val="22"/>
        </w:rPr>
        <w:t xml:space="preserve">A költségvetés rendelettervezete az </w:t>
      </w:r>
      <w:proofErr w:type="spellStart"/>
      <w:r w:rsidRPr="00524381">
        <w:rPr>
          <w:rFonts w:ascii="Arial" w:hAnsi="Arial" w:cs="Arial"/>
          <w:sz w:val="22"/>
          <w:szCs w:val="22"/>
        </w:rPr>
        <w:t>Ávr</w:t>
      </w:r>
      <w:proofErr w:type="spellEnd"/>
      <w:r w:rsidRPr="00524381">
        <w:rPr>
          <w:rFonts w:ascii="Arial" w:hAnsi="Arial" w:cs="Arial"/>
          <w:sz w:val="22"/>
          <w:szCs w:val="22"/>
        </w:rPr>
        <w:t>. 27. §-</w:t>
      </w:r>
      <w:proofErr w:type="gramStart"/>
      <w:r w:rsidR="00F31C81">
        <w:rPr>
          <w:rFonts w:ascii="Arial" w:hAnsi="Arial" w:cs="Arial"/>
          <w:sz w:val="22"/>
          <w:szCs w:val="22"/>
        </w:rPr>
        <w:t>a</w:t>
      </w:r>
      <w:proofErr w:type="gramEnd"/>
      <w:r w:rsidR="00F31C81">
        <w:rPr>
          <w:rFonts w:ascii="Arial" w:hAnsi="Arial" w:cs="Arial"/>
          <w:sz w:val="22"/>
          <w:szCs w:val="22"/>
        </w:rPr>
        <w:t xml:space="preserve"> alapján</w:t>
      </w:r>
      <w:r w:rsidRPr="00524381">
        <w:rPr>
          <w:rFonts w:ascii="Arial" w:hAnsi="Arial" w:cs="Arial"/>
          <w:sz w:val="22"/>
          <w:szCs w:val="22"/>
        </w:rPr>
        <w:t xml:space="preserve"> a költségvetési szerv vezetőivel egyeztetésre került. </w:t>
      </w:r>
    </w:p>
    <w:p w14:paraId="58BC7A36" w14:textId="77777777" w:rsidR="00B7371A" w:rsidRPr="00524381" w:rsidRDefault="00B7371A" w:rsidP="00B7371A">
      <w:pPr>
        <w:spacing w:line="276" w:lineRule="auto"/>
        <w:jc w:val="both"/>
        <w:rPr>
          <w:rFonts w:ascii="Arial" w:hAnsi="Arial" w:cs="Arial"/>
          <w:sz w:val="22"/>
          <w:szCs w:val="22"/>
        </w:rPr>
      </w:pPr>
    </w:p>
    <w:p w14:paraId="51A9554A" w14:textId="77777777" w:rsidR="00B7371A" w:rsidRPr="00524381" w:rsidRDefault="00B7371A" w:rsidP="00B7371A">
      <w:pPr>
        <w:spacing w:line="276" w:lineRule="auto"/>
        <w:jc w:val="both"/>
        <w:rPr>
          <w:rFonts w:ascii="Arial" w:hAnsi="Arial" w:cs="Arial"/>
          <w:sz w:val="22"/>
          <w:szCs w:val="22"/>
        </w:rPr>
      </w:pPr>
      <w:r w:rsidRPr="00524381">
        <w:rPr>
          <w:rFonts w:ascii="Arial" w:hAnsi="Arial" w:cs="Arial"/>
          <w:sz w:val="22"/>
          <w:szCs w:val="22"/>
        </w:rPr>
        <w:t>Az Áht. 23. § előírásain túl az Áht. 24. (4) bekezdés szerint a következő mérlegeket és kimutatásokat kell a költségvetés előterjesztésekor a Képviselő-testület részére tájékoztatásul –</w:t>
      </w:r>
      <w:r>
        <w:rPr>
          <w:rFonts w:ascii="Arial" w:hAnsi="Arial" w:cs="Arial"/>
          <w:sz w:val="22"/>
          <w:szCs w:val="22"/>
        </w:rPr>
        <w:t xml:space="preserve"> szöveges indoklással együtt – </w:t>
      </w:r>
      <w:r w:rsidRPr="00524381">
        <w:rPr>
          <w:rFonts w:ascii="Arial" w:hAnsi="Arial" w:cs="Arial"/>
          <w:sz w:val="22"/>
          <w:szCs w:val="22"/>
        </w:rPr>
        <w:t>bemutatni:</w:t>
      </w:r>
    </w:p>
    <w:p w14:paraId="6839D265" w14:textId="77777777" w:rsidR="00B7371A" w:rsidRPr="00524381" w:rsidRDefault="00B7371A" w:rsidP="00B7371A">
      <w:pPr>
        <w:spacing w:line="276" w:lineRule="auto"/>
        <w:ind w:left="284" w:hanging="284"/>
        <w:jc w:val="both"/>
        <w:rPr>
          <w:rFonts w:ascii="Arial" w:hAnsi="Arial" w:cs="Arial"/>
          <w:sz w:val="22"/>
          <w:szCs w:val="22"/>
          <w:lang w:eastAsia="hu-HU"/>
        </w:rPr>
      </w:pPr>
      <w:proofErr w:type="gramStart"/>
      <w:r w:rsidRPr="00524381">
        <w:rPr>
          <w:rFonts w:ascii="Arial" w:hAnsi="Arial" w:cs="Arial"/>
          <w:sz w:val="22"/>
          <w:szCs w:val="22"/>
        </w:rPr>
        <w:t>a</w:t>
      </w:r>
      <w:proofErr w:type="gramEnd"/>
      <w:r w:rsidRPr="00524381">
        <w:rPr>
          <w:rFonts w:ascii="Arial" w:hAnsi="Arial" w:cs="Arial"/>
          <w:sz w:val="22"/>
          <w:szCs w:val="22"/>
        </w:rPr>
        <w:t>) a helyi önkormányzat költségvetési mérlegét közgazdasági tagolásban, előirányzat felhasználási tervét,</w:t>
      </w:r>
    </w:p>
    <w:p w14:paraId="0D4956B8" w14:textId="77777777" w:rsidR="00B7371A" w:rsidRPr="00524381" w:rsidRDefault="00B7371A" w:rsidP="00B7371A">
      <w:pPr>
        <w:spacing w:line="276" w:lineRule="auto"/>
        <w:ind w:left="284" w:hanging="284"/>
        <w:jc w:val="both"/>
        <w:rPr>
          <w:rFonts w:ascii="Arial" w:hAnsi="Arial" w:cs="Arial"/>
          <w:sz w:val="22"/>
          <w:szCs w:val="22"/>
          <w:lang w:eastAsia="hu-HU"/>
        </w:rPr>
      </w:pPr>
      <w:r w:rsidRPr="00524381">
        <w:rPr>
          <w:rFonts w:ascii="Arial" w:hAnsi="Arial" w:cs="Arial"/>
          <w:sz w:val="22"/>
          <w:szCs w:val="22"/>
          <w:lang w:eastAsia="hu-HU"/>
        </w:rPr>
        <w:t xml:space="preserve">b) a többéves kihatással járó döntések </w:t>
      </w:r>
      <w:proofErr w:type="spellStart"/>
      <w:r w:rsidRPr="00524381">
        <w:rPr>
          <w:rFonts w:ascii="Arial" w:hAnsi="Arial" w:cs="Arial"/>
          <w:sz w:val="22"/>
          <w:szCs w:val="22"/>
          <w:lang w:eastAsia="hu-HU"/>
        </w:rPr>
        <w:t>számszerűsítését</w:t>
      </w:r>
      <w:proofErr w:type="spellEnd"/>
      <w:r w:rsidRPr="00524381">
        <w:rPr>
          <w:rFonts w:ascii="Arial" w:hAnsi="Arial" w:cs="Arial"/>
          <w:sz w:val="22"/>
          <w:szCs w:val="22"/>
          <w:lang w:eastAsia="hu-HU"/>
        </w:rPr>
        <w:t xml:space="preserve"> évenkénti bontásban és összesítve,</w:t>
      </w:r>
    </w:p>
    <w:p w14:paraId="51908525" w14:textId="77777777" w:rsidR="00B7371A" w:rsidRPr="00524381" w:rsidRDefault="00B7371A" w:rsidP="00B7371A">
      <w:pPr>
        <w:spacing w:line="276" w:lineRule="auto"/>
        <w:ind w:left="284" w:hanging="284"/>
        <w:jc w:val="both"/>
        <w:rPr>
          <w:rFonts w:ascii="Arial" w:hAnsi="Arial" w:cs="Arial"/>
          <w:sz w:val="22"/>
          <w:szCs w:val="22"/>
          <w:lang w:eastAsia="hu-HU"/>
        </w:rPr>
      </w:pPr>
      <w:r w:rsidRPr="00524381">
        <w:rPr>
          <w:rFonts w:ascii="Arial" w:hAnsi="Arial" w:cs="Arial"/>
          <w:sz w:val="22"/>
          <w:szCs w:val="22"/>
          <w:lang w:eastAsia="hu-HU"/>
        </w:rPr>
        <w:t>c) a közvetett támogatásokat – így különösen adóelengedéseket, adókedvezményeket – tartalmazó kimutatást, és</w:t>
      </w:r>
    </w:p>
    <w:p w14:paraId="3050AE0A" w14:textId="77777777" w:rsidR="00B7371A" w:rsidRPr="00524381" w:rsidRDefault="00B7371A" w:rsidP="00B7371A">
      <w:pPr>
        <w:spacing w:line="276" w:lineRule="auto"/>
        <w:ind w:left="284" w:hanging="284"/>
        <w:jc w:val="both"/>
        <w:rPr>
          <w:rFonts w:ascii="Arial" w:hAnsi="Arial" w:cs="Arial"/>
          <w:sz w:val="22"/>
          <w:szCs w:val="22"/>
          <w:lang w:eastAsia="hu-HU"/>
        </w:rPr>
      </w:pPr>
      <w:r w:rsidRPr="00524381">
        <w:rPr>
          <w:rFonts w:ascii="Arial" w:hAnsi="Arial" w:cs="Arial"/>
          <w:sz w:val="22"/>
          <w:szCs w:val="22"/>
          <w:lang w:eastAsia="hu-HU"/>
        </w:rPr>
        <w:t>d) a 29/</w:t>
      </w:r>
      <w:proofErr w:type="gramStart"/>
      <w:r w:rsidRPr="00524381">
        <w:rPr>
          <w:rFonts w:ascii="Arial" w:hAnsi="Arial" w:cs="Arial"/>
          <w:sz w:val="22"/>
          <w:szCs w:val="22"/>
          <w:lang w:eastAsia="hu-HU"/>
        </w:rPr>
        <w:t>A</w:t>
      </w:r>
      <w:proofErr w:type="gramEnd"/>
      <w:r w:rsidRPr="00524381">
        <w:rPr>
          <w:rFonts w:ascii="Arial" w:hAnsi="Arial" w:cs="Arial"/>
          <w:sz w:val="22"/>
          <w:szCs w:val="22"/>
          <w:lang w:eastAsia="hu-HU"/>
        </w:rPr>
        <w:t>. § szerinti tervszámoknak megfelelően a költségvetési évet követő három év tervezett bevételi előirányzatainak és kiadási előirányzatainak keretszámait főbb csoportokban, és a 29/</w:t>
      </w:r>
      <w:proofErr w:type="gramStart"/>
      <w:r w:rsidRPr="00524381">
        <w:rPr>
          <w:rFonts w:ascii="Arial" w:hAnsi="Arial" w:cs="Arial"/>
          <w:sz w:val="22"/>
          <w:szCs w:val="22"/>
          <w:lang w:eastAsia="hu-HU"/>
        </w:rPr>
        <w:t>A</w:t>
      </w:r>
      <w:proofErr w:type="gramEnd"/>
      <w:r w:rsidRPr="00524381">
        <w:rPr>
          <w:rFonts w:ascii="Arial" w:hAnsi="Arial" w:cs="Arial"/>
          <w:sz w:val="22"/>
          <w:szCs w:val="22"/>
          <w:lang w:eastAsia="hu-HU"/>
        </w:rPr>
        <w:t xml:space="preserve">. § szerinti tervszámoktól történő esetleges eltérés indokait. </w:t>
      </w:r>
    </w:p>
    <w:p w14:paraId="2231880E" w14:textId="77777777" w:rsidR="00B7371A" w:rsidRDefault="00B7371A" w:rsidP="00B7371A">
      <w:pPr>
        <w:spacing w:line="276" w:lineRule="auto"/>
        <w:jc w:val="both"/>
        <w:rPr>
          <w:rFonts w:ascii="Arial" w:hAnsi="Arial" w:cs="Arial"/>
          <w:sz w:val="22"/>
          <w:szCs w:val="22"/>
        </w:rPr>
      </w:pPr>
      <w:r>
        <w:rPr>
          <w:rFonts w:ascii="Arial" w:hAnsi="Arial" w:cs="Arial"/>
          <w:sz w:val="22"/>
          <w:szCs w:val="22"/>
        </w:rPr>
        <w:t>A beterjesztett költségvetés mellékletei a fenti kimutatásokat tartalmazzák.</w:t>
      </w:r>
    </w:p>
    <w:p w14:paraId="613D536E" w14:textId="77777777" w:rsidR="00B7371A" w:rsidRPr="00524381" w:rsidRDefault="00B7371A" w:rsidP="00F31C81">
      <w:pPr>
        <w:spacing w:line="276" w:lineRule="auto"/>
        <w:jc w:val="both"/>
        <w:rPr>
          <w:rFonts w:ascii="Arial" w:hAnsi="Arial" w:cs="Arial"/>
          <w:sz w:val="22"/>
          <w:szCs w:val="22"/>
        </w:rPr>
      </w:pPr>
    </w:p>
    <w:p w14:paraId="08B694B5" w14:textId="77777777" w:rsidR="00B7371A" w:rsidRPr="00524381" w:rsidRDefault="00B7371A" w:rsidP="00F31C81">
      <w:pPr>
        <w:spacing w:line="276" w:lineRule="auto"/>
        <w:jc w:val="both"/>
        <w:rPr>
          <w:rFonts w:ascii="Arial" w:hAnsi="Arial" w:cs="Arial"/>
          <w:b/>
          <w:sz w:val="22"/>
          <w:szCs w:val="22"/>
        </w:rPr>
      </w:pPr>
      <w:r w:rsidRPr="00524381">
        <w:rPr>
          <w:rFonts w:ascii="Arial" w:hAnsi="Arial" w:cs="Arial"/>
          <w:b/>
          <w:sz w:val="22"/>
          <w:szCs w:val="22"/>
        </w:rPr>
        <w:t>A jogszabályi háttér a költségvetési rendelettervezethez</w:t>
      </w:r>
    </w:p>
    <w:p w14:paraId="5F738CE3" w14:textId="77777777" w:rsidR="00B7371A" w:rsidRPr="00524381" w:rsidRDefault="00B7371A" w:rsidP="00F31C81">
      <w:pPr>
        <w:spacing w:line="276" w:lineRule="auto"/>
        <w:jc w:val="both"/>
        <w:rPr>
          <w:rFonts w:ascii="Arial" w:hAnsi="Arial" w:cs="Arial"/>
          <w:sz w:val="22"/>
          <w:szCs w:val="22"/>
        </w:rPr>
      </w:pPr>
    </w:p>
    <w:p w14:paraId="6EF0D5F3" w14:textId="541D2F39" w:rsidR="00B7371A" w:rsidRPr="00E573B6" w:rsidRDefault="00B7371A" w:rsidP="00F31C81">
      <w:pPr>
        <w:widowControl w:val="0"/>
        <w:numPr>
          <w:ilvl w:val="0"/>
          <w:numId w:val="21"/>
        </w:numPr>
        <w:suppressAutoHyphens/>
        <w:spacing w:line="276" w:lineRule="auto"/>
        <w:ind w:left="425" w:hanging="357"/>
        <w:contextualSpacing/>
        <w:jc w:val="both"/>
        <w:rPr>
          <w:rFonts w:ascii="Arial" w:hAnsi="Arial" w:cs="Arial"/>
          <w:sz w:val="22"/>
          <w:szCs w:val="22"/>
        </w:rPr>
      </w:pPr>
      <w:r w:rsidRPr="00524381">
        <w:rPr>
          <w:rFonts w:ascii="Arial" w:hAnsi="Arial" w:cs="Arial"/>
          <w:sz w:val="22"/>
          <w:szCs w:val="22"/>
        </w:rPr>
        <w:t>A költségvetés Magyarország 2026. évi központi költségv</w:t>
      </w:r>
      <w:r w:rsidR="00654560">
        <w:rPr>
          <w:rFonts w:ascii="Arial" w:hAnsi="Arial" w:cs="Arial"/>
          <w:sz w:val="22"/>
          <w:szCs w:val="22"/>
        </w:rPr>
        <w:t xml:space="preserve">etéséről szóló 2025. évi LXIX. </w:t>
      </w:r>
      <w:r w:rsidRPr="00524381">
        <w:rPr>
          <w:rFonts w:ascii="Arial" w:hAnsi="Arial" w:cs="Arial"/>
          <w:sz w:val="22"/>
          <w:szCs w:val="22"/>
        </w:rPr>
        <w:t xml:space="preserve">törvény </w:t>
      </w:r>
      <w:r w:rsidR="00E573B6">
        <w:rPr>
          <w:rFonts w:ascii="Arial" w:hAnsi="Arial" w:cs="Arial"/>
          <w:sz w:val="22"/>
          <w:szCs w:val="22"/>
        </w:rPr>
        <w:t xml:space="preserve">(a továbbiakban: költségvetési törvény) </w:t>
      </w:r>
      <w:r w:rsidRPr="00E573B6">
        <w:rPr>
          <w:rFonts w:ascii="Arial" w:hAnsi="Arial" w:cs="Arial"/>
          <w:sz w:val="22"/>
          <w:szCs w:val="22"/>
        </w:rPr>
        <w:t>és Magyarország 2026. évi központi költségvetésének megalapozásáról szóló 2025. évi LI. törvény figyelembe vételével került összeállításra.</w:t>
      </w:r>
    </w:p>
    <w:p w14:paraId="24130BD9" w14:textId="77777777" w:rsidR="00B7371A" w:rsidRPr="00524381" w:rsidRDefault="00B7371A" w:rsidP="00F31C81">
      <w:pPr>
        <w:widowControl w:val="0"/>
        <w:numPr>
          <w:ilvl w:val="0"/>
          <w:numId w:val="21"/>
        </w:numPr>
        <w:suppressAutoHyphens/>
        <w:spacing w:line="276" w:lineRule="auto"/>
        <w:ind w:left="425" w:hanging="357"/>
        <w:contextualSpacing/>
        <w:jc w:val="both"/>
        <w:rPr>
          <w:rFonts w:ascii="Arial" w:hAnsi="Arial" w:cs="Arial"/>
          <w:sz w:val="22"/>
          <w:szCs w:val="22"/>
        </w:rPr>
      </w:pPr>
      <w:r w:rsidRPr="00524381">
        <w:rPr>
          <w:rFonts w:ascii="Arial" w:hAnsi="Arial" w:cs="Arial"/>
          <w:sz w:val="22"/>
          <w:szCs w:val="22"/>
        </w:rPr>
        <w:t>A szociális hozzájárulási adó mértéke nem változott, ez évben is 13%.</w:t>
      </w:r>
    </w:p>
    <w:p w14:paraId="09BA49D2" w14:textId="5674FEF8" w:rsidR="00B7371A" w:rsidRDefault="00B7371A" w:rsidP="00F31C81">
      <w:pPr>
        <w:widowControl w:val="0"/>
        <w:numPr>
          <w:ilvl w:val="0"/>
          <w:numId w:val="21"/>
        </w:numPr>
        <w:suppressAutoHyphens/>
        <w:spacing w:line="276" w:lineRule="auto"/>
        <w:ind w:left="425" w:hanging="357"/>
        <w:contextualSpacing/>
        <w:jc w:val="both"/>
        <w:rPr>
          <w:rFonts w:ascii="Arial" w:hAnsi="Arial" w:cs="Arial"/>
          <w:sz w:val="22"/>
          <w:szCs w:val="22"/>
        </w:rPr>
      </w:pPr>
      <w:r w:rsidRPr="00524381">
        <w:rPr>
          <w:rFonts w:ascii="Arial" w:hAnsi="Arial" w:cs="Arial"/>
          <w:sz w:val="22"/>
          <w:szCs w:val="22"/>
        </w:rPr>
        <w:t xml:space="preserve">Az önkormányzatok központi </w:t>
      </w:r>
      <w:proofErr w:type="gramStart"/>
      <w:r w:rsidRPr="00524381">
        <w:rPr>
          <w:rFonts w:ascii="Arial" w:hAnsi="Arial" w:cs="Arial"/>
          <w:sz w:val="22"/>
          <w:szCs w:val="22"/>
        </w:rPr>
        <w:t>finanszírozása</w:t>
      </w:r>
      <w:proofErr w:type="gramEnd"/>
      <w:r w:rsidRPr="00524381">
        <w:rPr>
          <w:rFonts w:ascii="Arial" w:hAnsi="Arial" w:cs="Arial"/>
          <w:sz w:val="22"/>
          <w:szCs w:val="22"/>
        </w:rPr>
        <w:t xml:space="preserve"> az elmúlt évek </w:t>
      </w:r>
      <w:r>
        <w:rPr>
          <w:rFonts w:ascii="Arial" w:hAnsi="Arial" w:cs="Arial"/>
          <w:sz w:val="22"/>
          <w:szCs w:val="22"/>
        </w:rPr>
        <w:t>gyakorlatának megfelelően a 2026</w:t>
      </w:r>
      <w:r w:rsidRPr="00524381">
        <w:rPr>
          <w:rFonts w:ascii="Arial" w:hAnsi="Arial" w:cs="Arial"/>
          <w:sz w:val="22"/>
          <w:szCs w:val="22"/>
        </w:rPr>
        <w:t xml:space="preserve">. évben is az önkormányzati feladatellátáshoz igazodó, feladattípusú támogatási rendszerben történik. Az önkormányzatok kötelező feladatainak </w:t>
      </w:r>
      <w:r w:rsidR="00F31C81">
        <w:rPr>
          <w:rFonts w:ascii="Arial" w:hAnsi="Arial" w:cs="Arial"/>
          <w:sz w:val="22"/>
          <w:szCs w:val="22"/>
        </w:rPr>
        <w:t>támogatása</w:t>
      </w:r>
      <w:r w:rsidRPr="00524381">
        <w:rPr>
          <w:rFonts w:ascii="Arial" w:hAnsi="Arial" w:cs="Arial"/>
          <w:sz w:val="22"/>
          <w:szCs w:val="22"/>
        </w:rPr>
        <w:t xml:space="preserve"> továbbra is a törvényi előírások alapján, az önkormányzatok eltérő adottságait is figyelembe véve kerül meghatározásra.</w:t>
      </w:r>
    </w:p>
    <w:p w14:paraId="07DBED34" w14:textId="5B983171" w:rsidR="00B7371A" w:rsidRPr="00B7371A" w:rsidRDefault="00B7371A" w:rsidP="00F31C81">
      <w:pPr>
        <w:widowControl w:val="0"/>
        <w:numPr>
          <w:ilvl w:val="0"/>
          <w:numId w:val="21"/>
        </w:numPr>
        <w:suppressAutoHyphens/>
        <w:spacing w:line="276" w:lineRule="auto"/>
        <w:ind w:left="425" w:hanging="357"/>
        <w:contextualSpacing/>
        <w:jc w:val="both"/>
        <w:rPr>
          <w:rFonts w:ascii="Arial" w:hAnsi="Arial" w:cs="Arial"/>
          <w:sz w:val="22"/>
          <w:szCs w:val="22"/>
        </w:rPr>
      </w:pPr>
      <w:r w:rsidRPr="00B7371A">
        <w:rPr>
          <w:rFonts w:ascii="Arial" w:hAnsi="Arial" w:cs="Arial"/>
          <w:sz w:val="22"/>
          <w:szCs w:val="22"/>
        </w:rPr>
        <w:t xml:space="preserve">A települési önkormányzatok által 2026. évben teljesítendő önkormányzati szolidaritási hozzájárulás összegéről szóló 49/2025. (XII.23.) NGM rendelet alapján a település </w:t>
      </w:r>
      <w:r w:rsidR="00F31C81">
        <w:rPr>
          <w:rFonts w:ascii="Arial" w:hAnsi="Arial" w:cs="Arial"/>
          <w:sz w:val="22"/>
          <w:szCs w:val="22"/>
        </w:rPr>
        <w:t xml:space="preserve">szolidaritási </w:t>
      </w:r>
      <w:r w:rsidRPr="00B7371A">
        <w:rPr>
          <w:rFonts w:ascii="Arial" w:hAnsi="Arial" w:cs="Arial"/>
          <w:sz w:val="22"/>
          <w:szCs w:val="22"/>
        </w:rPr>
        <w:t xml:space="preserve">hozzájárulási adó fizetésére kötelezett, </w:t>
      </w:r>
      <w:r>
        <w:rPr>
          <w:rFonts w:ascii="Arial" w:hAnsi="Arial" w:cs="Arial"/>
          <w:sz w:val="22"/>
          <w:szCs w:val="22"/>
        </w:rPr>
        <w:t>ennek összege</w:t>
      </w:r>
      <w:r w:rsidR="008E264A">
        <w:rPr>
          <w:rFonts w:ascii="Arial" w:hAnsi="Arial" w:cs="Arial"/>
          <w:sz w:val="22"/>
          <w:szCs w:val="22"/>
        </w:rPr>
        <w:t xml:space="preserve"> 83 507 953 Ft.</w:t>
      </w:r>
      <w:r w:rsidRPr="00B7371A">
        <w:rPr>
          <w:rFonts w:ascii="Arial" w:hAnsi="Arial" w:cs="Arial"/>
          <w:sz w:val="22"/>
          <w:szCs w:val="22"/>
        </w:rPr>
        <w:t xml:space="preserve"> </w:t>
      </w:r>
    </w:p>
    <w:p w14:paraId="73C2E910" w14:textId="7BDFD096" w:rsidR="0098110F" w:rsidRDefault="008E264A" w:rsidP="00F31C81">
      <w:pPr>
        <w:widowControl w:val="0"/>
        <w:numPr>
          <w:ilvl w:val="0"/>
          <w:numId w:val="21"/>
        </w:numPr>
        <w:suppressAutoHyphens/>
        <w:spacing w:line="276" w:lineRule="auto"/>
        <w:ind w:left="425" w:hanging="357"/>
        <w:contextualSpacing/>
        <w:jc w:val="both"/>
        <w:rPr>
          <w:rFonts w:ascii="Arial" w:hAnsi="Arial" w:cs="Arial"/>
          <w:sz w:val="22"/>
          <w:szCs w:val="22"/>
        </w:rPr>
      </w:pPr>
      <w:r w:rsidRPr="008E264A">
        <w:rPr>
          <w:rFonts w:ascii="Arial" w:hAnsi="Arial" w:cs="Arial"/>
          <w:sz w:val="22"/>
          <w:szCs w:val="22"/>
        </w:rPr>
        <w:t>Az Önkormányzatnak a 2025. évi iparűzési adóbevétel többlet</w:t>
      </w:r>
      <w:r w:rsidR="00F31C81">
        <w:rPr>
          <w:rFonts w:ascii="Arial" w:hAnsi="Arial" w:cs="Arial"/>
          <w:sz w:val="22"/>
          <w:szCs w:val="22"/>
        </w:rPr>
        <w:t>e után</w:t>
      </w:r>
      <w:r w:rsidRPr="008E264A">
        <w:rPr>
          <w:rFonts w:ascii="Arial" w:hAnsi="Arial" w:cs="Arial"/>
          <w:sz w:val="22"/>
          <w:szCs w:val="22"/>
        </w:rPr>
        <w:t xml:space="preserve"> a nettó </w:t>
      </w:r>
      <w:proofErr w:type="gramStart"/>
      <w:r w:rsidRPr="008E264A">
        <w:rPr>
          <w:rFonts w:ascii="Arial" w:hAnsi="Arial" w:cs="Arial"/>
          <w:sz w:val="22"/>
          <w:szCs w:val="22"/>
        </w:rPr>
        <w:t>finanszírozás</w:t>
      </w:r>
      <w:proofErr w:type="gramEnd"/>
      <w:r w:rsidRPr="008E264A">
        <w:rPr>
          <w:rFonts w:ascii="Arial" w:hAnsi="Arial" w:cs="Arial"/>
          <w:sz w:val="22"/>
          <w:szCs w:val="22"/>
        </w:rPr>
        <w:t xml:space="preserve"> keretében a központi költségvetés javára befizetési kötelezettsége keletkezik</w:t>
      </w:r>
      <w:r>
        <w:rPr>
          <w:rFonts w:ascii="Arial" w:hAnsi="Arial" w:cs="Arial"/>
          <w:sz w:val="22"/>
          <w:szCs w:val="22"/>
        </w:rPr>
        <w:t>, amely összeggel a 2026. évi költségvetés összeállítása során számoltunk.</w:t>
      </w:r>
      <w:r w:rsidRPr="008E264A">
        <w:rPr>
          <w:rFonts w:ascii="Arial" w:hAnsi="Arial" w:cs="Arial"/>
          <w:sz w:val="22"/>
          <w:szCs w:val="22"/>
        </w:rPr>
        <w:t xml:space="preserve"> </w:t>
      </w:r>
    </w:p>
    <w:p w14:paraId="4AAEA36D" w14:textId="07953872" w:rsidR="00B7371A" w:rsidRDefault="008E264A" w:rsidP="00F31C81">
      <w:pPr>
        <w:widowControl w:val="0"/>
        <w:numPr>
          <w:ilvl w:val="0"/>
          <w:numId w:val="21"/>
        </w:numPr>
        <w:suppressAutoHyphens/>
        <w:spacing w:line="276" w:lineRule="auto"/>
        <w:ind w:left="425" w:hanging="357"/>
        <w:contextualSpacing/>
        <w:jc w:val="both"/>
        <w:rPr>
          <w:rFonts w:ascii="Arial" w:hAnsi="Arial" w:cs="Arial"/>
          <w:sz w:val="22"/>
          <w:szCs w:val="22"/>
        </w:rPr>
      </w:pPr>
      <w:r>
        <w:rPr>
          <w:rFonts w:ascii="Arial" w:hAnsi="Arial" w:cs="Arial"/>
          <w:sz w:val="22"/>
          <w:szCs w:val="22"/>
        </w:rPr>
        <w:t xml:space="preserve">A 2026. évben </w:t>
      </w:r>
      <w:r w:rsidR="0098110F" w:rsidRPr="00524381">
        <w:rPr>
          <w:rFonts w:ascii="Arial" w:hAnsi="Arial" w:cs="Arial"/>
          <w:sz w:val="22"/>
          <w:szCs w:val="22"/>
        </w:rPr>
        <w:t xml:space="preserve">Magyarország 2026. évi központi költségvetéséről szóló 2025. évi </w:t>
      </w:r>
      <w:proofErr w:type="gramStart"/>
      <w:r w:rsidR="0098110F" w:rsidRPr="00524381">
        <w:rPr>
          <w:rFonts w:ascii="Arial" w:hAnsi="Arial" w:cs="Arial"/>
          <w:sz w:val="22"/>
          <w:szCs w:val="22"/>
        </w:rPr>
        <w:t>LXIX.  törvény</w:t>
      </w:r>
      <w:proofErr w:type="gramEnd"/>
      <w:r w:rsidR="0098110F">
        <w:rPr>
          <w:rFonts w:ascii="Arial" w:hAnsi="Arial" w:cs="Arial"/>
          <w:sz w:val="22"/>
          <w:szCs w:val="22"/>
        </w:rPr>
        <w:t xml:space="preserve"> 10. melléklete alapján az Önkormányzatnak az iparűzési adó várható többlete alapján további fizetési kötelezettsége keletkezik a március 31-i adatszolgáltatás alapján. Ez esetben az iparűzési adóbevétel többlet és a szolidaritási hozzájárulás többlet különbözetének 70%-a kerül elvonásra. Ez az összeg is tervezésre került a költségvetés készítése során.</w:t>
      </w:r>
    </w:p>
    <w:p w14:paraId="518EB947" w14:textId="16960BF2" w:rsidR="00A8132B" w:rsidRDefault="00A8132B" w:rsidP="00F31C81">
      <w:pPr>
        <w:spacing w:line="276" w:lineRule="auto"/>
        <w:jc w:val="both"/>
        <w:rPr>
          <w:rFonts w:ascii="Arial" w:hAnsi="Arial" w:cs="Arial"/>
          <w:sz w:val="22"/>
          <w:szCs w:val="22"/>
        </w:rPr>
      </w:pPr>
    </w:p>
    <w:p w14:paraId="1554FF02" w14:textId="24CA5C23" w:rsidR="00AA7378" w:rsidRPr="00BC129A" w:rsidRDefault="00AA7378" w:rsidP="00F31C81">
      <w:pPr>
        <w:spacing w:line="276" w:lineRule="auto"/>
        <w:jc w:val="both"/>
        <w:rPr>
          <w:rFonts w:ascii="Arial" w:hAnsi="Arial" w:cs="Arial"/>
          <w:sz w:val="22"/>
          <w:szCs w:val="22"/>
        </w:rPr>
      </w:pPr>
      <w:r w:rsidRPr="00BC129A">
        <w:rPr>
          <w:rFonts w:ascii="Arial" w:hAnsi="Arial" w:cs="Arial"/>
          <w:sz w:val="22"/>
          <w:szCs w:val="22"/>
        </w:rPr>
        <w:t xml:space="preserve">A személyi juttatások tervezésénél figyelembe vettük az alábbiakat: </w:t>
      </w:r>
    </w:p>
    <w:p w14:paraId="023D8083" w14:textId="1E3A7439" w:rsidR="00210AF6" w:rsidRPr="00BC129A" w:rsidRDefault="00210AF6" w:rsidP="00F31C81">
      <w:pPr>
        <w:pStyle w:val="Listaszerbekezds"/>
        <w:numPr>
          <w:ilvl w:val="0"/>
          <w:numId w:val="22"/>
        </w:numPr>
        <w:spacing w:line="276" w:lineRule="auto"/>
        <w:jc w:val="both"/>
        <w:rPr>
          <w:rFonts w:ascii="Arial" w:hAnsi="Arial" w:cs="Arial"/>
          <w:sz w:val="22"/>
          <w:szCs w:val="22"/>
        </w:rPr>
      </w:pPr>
      <w:r w:rsidRPr="00BC129A">
        <w:rPr>
          <w:rFonts w:ascii="Arial" w:hAnsi="Arial" w:cs="Arial"/>
          <w:sz w:val="22"/>
          <w:szCs w:val="22"/>
        </w:rPr>
        <w:t>A köztisztviselők személyi juttatásainak központi költségvetés által támogatott 15 %-</w:t>
      </w:r>
      <w:proofErr w:type="spellStart"/>
      <w:r w:rsidRPr="00BC129A">
        <w:rPr>
          <w:rFonts w:ascii="Arial" w:hAnsi="Arial" w:cs="Arial"/>
          <w:sz w:val="22"/>
          <w:szCs w:val="22"/>
        </w:rPr>
        <w:t>os</w:t>
      </w:r>
      <w:proofErr w:type="spellEnd"/>
      <w:r w:rsidRPr="00BC129A">
        <w:rPr>
          <w:rFonts w:ascii="Arial" w:hAnsi="Arial" w:cs="Arial"/>
          <w:sz w:val="22"/>
          <w:szCs w:val="22"/>
        </w:rPr>
        <w:t xml:space="preserve"> emelését.</w:t>
      </w:r>
    </w:p>
    <w:p w14:paraId="7ED166BD" w14:textId="31B3D7A6" w:rsidR="00210AF6" w:rsidRPr="00BC129A" w:rsidRDefault="00210AF6" w:rsidP="00F31C81">
      <w:pPr>
        <w:pStyle w:val="Listaszerbekezds"/>
        <w:numPr>
          <w:ilvl w:val="0"/>
          <w:numId w:val="22"/>
        </w:numPr>
        <w:spacing w:line="276" w:lineRule="auto"/>
        <w:jc w:val="both"/>
        <w:rPr>
          <w:rFonts w:ascii="Arial" w:hAnsi="Arial" w:cs="Arial"/>
          <w:sz w:val="22"/>
          <w:szCs w:val="22"/>
        </w:rPr>
      </w:pPr>
      <w:r w:rsidRPr="00BC129A">
        <w:rPr>
          <w:rFonts w:ascii="Arial" w:hAnsi="Arial" w:cs="Arial"/>
          <w:sz w:val="22"/>
          <w:szCs w:val="22"/>
        </w:rPr>
        <w:t xml:space="preserve">A Magyarország helyi önkormányzatairól szóló 2011. évi CLXXXIX. törvény 71. § határozza </w:t>
      </w:r>
      <w:proofErr w:type="gramStart"/>
      <w:r w:rsidRPr="00BC129A">
        <w:rPr>
          <w:rFonts w:ascii="Arial" w:hAnsi="Arial" w:cs="Arial"/>
          <w:sz w:val="22"/>
          <w:szCs w:val="22"/>
        </w:rPr>
        <w:t>meg  a</w:t>
      </w:r>
      <w:proofErr w:type="gramEnd"/>
      <w:r w:rsidRPr="00BC129A">
        <w:rPr>
          <w:rFonts w:ascii="Arial" w:hAnsi="Arial" w:cs="Arial"/>
          <w:sz w:val="22"/>
          <w:szCs w:val="22"/>
        </w:rPr>
        <w:t xml:space="preserve"> </w:t>
      </w:r>
      <w:r w:rsidRPr="00BC129A">
        <w:rPr>
          <w:rFonts w:ascii="Arial" w:hAnsi="Arial" w:cs="Arial"/>
          <w:bCs/>
          <w:sz w:val="22"/>
          <w:szCs w:val="22"/>
        </w:rPr>
        <w:t>polgármesteri díjazás</w:t>
      </w:r>
      <w:r w:rsidRPr="00BC129A">
        <w:rPr>
          <w:rFonts w:ascii="Arial" w:hAnsi="Arial" w:cs="Arial"/>
          <w:sz w:val="22"/>
          <w:szCs w:val="22"/>
        </w:rPr>
        <w:t xml:space="preserve"> mértékét, amelyhez  a költségvetési törvény 3. melléklet 2.1.1 cím alapján a legfeljebb 30 000 fő lakosságszámú önkormányzatokat támogatás illeti meg az egy lakosra jutó adóerő- képesség figyelembevételével. Így </w:t>
      </w:r>
      <w:r w:rsidR="00F31C81">
        <w:rPr>
          <w:rFonts w:ascii="Arial" w:hAnsi="Arial" w:cs="Arial"/>
          <w:sz w:val="22"/>
          <w:szCs w:val="22"/>
        </w:rPr>
        <w:t xml:space="preserve">az </w:t>
      </w:r>
      <w:r w:rsidRPr="00BC129A">
        <w:rPr>
          <w:rFonts w:ascii="Arial" w:hAnsi="Arial" w:cs="Arial"/>
          <w:sz w:val="22"/>
          <w:szCs w:val="22"/>
        </w:rPr>
        <w:t>Önkormányzat támogatásban részesül. A forrás polgármesteri illetmény és költségtérítés, valamint az ezekhez kapcsolódó szociális hozzájárulási adó kifizetésére használható fel.</w:t>
      </w:r>
    </w:p>
    <w:p w14:paraId="1B6DEA01" w14:textId="03C234F5" w:rsidR="00210AF6" w:rsidRDefault="00210AF6" w:rsidP="00F31C81">
      <w:pPr>
        <w:pStyle w:val="Listaszerbekezds"/>
        <w:numPr>
          <w:ilvl w:val="0"/>
          <w:numId w:val="22"/>
        </w:numPr>
        <w:spacing w:line="276" w:lineRule="auto"/>
        <w:jc w:val="both"/>
        <w:rPr>
          <w:rFonts w:ascii="Arial" w:hAnsi="Arial" w:cs="Arial"/>
          <w:sz w:val="22"/>
          <w:szCs w:val="22"/>
        </w:rPr>
      </w:pPr>
      <w:r w:rsidRPr="00BC129A">
        <w:rPr>
          <w:rFonts w:ascii="Arial" w:hAnsi="Arial" w:cs="Arial"/>
          <w:sz w:val="22"/>
          <w:szCs w:val="22"/>
        </w:rPr>
        <w:t>A kulturális ágazatot érintő bértámogatásról szóló 434/2025. (XII. 23.) Korm.rendelet alapján a kulturális közfeladatot ellátó szervezetekben foglalkoztatottak központi költségvetés által támogatott, 2026. január 1-jétől beépülő jelleggel 15%-</w:t>
      </w:r>
      <w:proofErr w:type="spellStart"/>
      <w:r w:rsidRPr="00BC129A">
        <w:rPr>
          <w:rFonts w:ascii="Arial" w:hAnsi="Arial" w:cs="Arial"/>
          <w:sz w:val="22"/>
          <w:szCs w:val="22"/>
        </w:rPr>
        <w:t>os</w:t>
      </w:r>
      <w:proofErr w:type="spellEnd"/>
      <w:r w:rsidRPr="00BC129A">
        <w:rPr>
          <w:rFonts w:ascii="Arial" w:hAnsi="Arial" w:cs="Arial"/>
          <w:sz w:val="22"/>
          <w:szCs w:val="22"/>
        </w:rPr>
        <w:t xml:space="preserve"> béremelését.</w:t>
      </w:r>
    </w:p>
    <w:p w14:paraId="4C765466" w14:textId="361BD188" w:rsidR="00BC129A" w:rsidRPr="00BC129A" w:rsidRDefault="00BC129A" w:rsidP="00F31C81">
      <w:pPr>
        <w:pStyle w:val="Listaszerbekezds"/>
        <w:numPr>
          <w:ilvl w:val="0"/>
          <w:numId w:val="22"/>
        </w:numPr>
        <w:spacing w:line="276" w:lineRule="auto"/>
        <w:jc w:val="both"/>
        <w:rPr>
          <w:rFonts w:ascii="Arial" w:hAnsi="Arial" w:cs="Arial"/>
          <w:sz w:val="22"/>
          <w:szCs w:val="22"/>
        </w:rPr>
      </w:pPr>
      <w:r>
        <w:rPr>
          <w:rFonts w:ascii="Arial" w:hAnsi="Arial" w:cs="Arial"/>
          <w:sz w:val="22"/>
          <w:szCs w:val="22"/>
        </w:rPr>
        <w:t>A pedagógus életpálya bevezetésével kapcsolatos idei évi 10 %-</w:t>
      </w:r>
      <w:proofErr w:type="spellStart"/>
      <w:r>
        <w:rPr>
          <w:rFonts w:ascii="Arial" w:hAnsi="Arial" w:cs="Arial"/>
          <w:sz w:val="22"/>
          <w:szCs w:val="22"/>
        </w:rPr>
        <w:t>os</w:t>
      </w:r>
      <w:proofErr w:type="spellEnd"/>
      <w:r>
        <w:rPr>
          <w:rFonts w:ascii="Arial" w:hAnsi="Arial" w:cs="Arial"/>
          <w:sz w:val="22"/>
          <w:szCs w:val="22"/>
        </w:rPr>
        <w:t xml:space="preserve"> béremeléssel</w:t>
      </w:r>
      <w:r w:rsidR="00E47E9C">
        <w:rPr>
          <w:rFonts w:ascii="Arial" w:hAnsi="Arial" w:cs="Arial"/>
          <w:sz w:val="22"/>
          <w:szCs w:val="22"/>
        </w:rPr>
        <w:t>.</w:t>
      </w:r>
      <w:r>
        <w:rPr>
          <w:rFonts w:ascii="Arial" w:hAnsi="Arial" w:cs="Arial"/>
          <w:sz w:val="22"/>
          <w:szCs w:val="22"/>
        </w:rPr>
        <w:t xml:space="preserve"> </w:t>
      </w:r>
    </w:p>
    <w:p w14:paraId="0838AE5D" w14:textId="7E0042A4" w:rsidR="00BC129A" w:rsidRDefault="00BC129A" w:rsidP="00F31C81">
      <w:pPr>
        <w:widowControl w:val="0"/>
        <w:numPr>
          <w:ilvl w:val="0"/>
          <w:numId w:val="21"/>
        </w:numPr>
        <w:suppressAutoHyphens/>
        <w:spacing w:line="276" w:lineRule="auto"/>
        <w:ind w:hanging="357"/>
        <w:contextualSpacing/>
        <w:jc w:val="both"/>
        <w:rPr>
          <w:rFonts w:ascii="Arial" w:hAnsi="Arial" w:cs="Arial"/>
          <w:sz w:val="22"/>
          <w:szCs w:val="22"/>
        </w:rPr>
      </w:pPr>
      <w:r w:rsidRPr="00BC129A">
        <w:rPr>
          <w:rFonts w:ascii="Arial" w:hAnsi="Arial" w:cs="Arial"/>
          <w:sz w:val="22"/>
          <w:szCs w:val="22"/>
        </w:rPr>
        <w:t xml:space="preserve">2026. január 1-től változott a minimálbér és a </w:t>
      </w:r>
      <w:proofErr w:type="gramStart"/>
      <w:r w:rsidRPr="00BC129A">
        <w:rPr>
          <w:rFonts w:ascii="Arial" w:hAnsi="Arial" w:cs="Arial"/>
          <w:sz w:val="22"/>
          <w:szCs w:val="22"/>
        </w:rPr>
        <w:t>garantált</w:t>
      </w:r>
      <w:proofErr w:type="gramEnd"/>
      <w:r w:rsidRPr="00BC129A">
        <w:rPr>
          <w:rFonts w:ascii="Arial" w:hAnsi="Arial" w:cs="Arial"/>
          <w:sz w:val="22"/>
          <w:szCs w:val="22"/>
        </w:rPr>
        <w:t xml:space="preserve"> bérminimum. A minimálbér a korábbi bruttó 290 800 Ft-ról 322 800 Ft-ra nőtt, a </w:t>
      </w:r>
      <w:proofErr w:type="gramStart"/>
      <w:r w:rsidRPr="00BC129A">
        <w:rPr>
          <w:rFonts w:ascii="Arial" w:hAnsi="Arial" w:cs="Arial"/>
          <w:sz w:val="22"/>
          <w:szCs w:val="22"/>
        </w:rPr>
        <w:t>garantált</w:t>
      </w:r>
      <w:proofErr w:type="gramEnd"/>
      <w:r w:rsidRPr="00BC129A">
        <w:rPr>
          <w:rFonts w:ascii="Arial" w:hAnsi="Arial" w:cs="Arial"/>
          <w:sz w:val="22"/>
          <w:szCs w:val="22"/>
        </w:rPr>
        <w:t xml:space="preserve"> bérminimum pedig</w:t>
      </w:r>
      <w:r>
        <w:rPr>
          <w:rFonts w:ascii="Arial" w:hAnsi="Arial" w:cs="Arial"/>
          <w:sz w:val="22"/>
          <w:szCs w:val="22"/>
        </w:rPr>
        <w:t xml:space="preserve"> 348 000 Ft-ról 373 2</w:t>
      </w:r>
      <w:r w:rsidRPr="00524381">
        <w:rPr>
          <w:rFonts w:ascii="Arial" w:hAnsi="Arial" w:cs="Arial"/>
          <w:sz w:val="22"/>
          <w:szCs w:val="22"/>
        </w:rPr>
        <w:t xml:space="preserve">00 Ft-ra változott. </w:t>
      </w:r>
    </w:p>
    <w:p w14:paraId="6B097760" w14:textId="43FBEB17" w:rsidR="00BC129A" w:rsidRDefault="00BC129A" w:rsidP="00F31C81">
      <w:pPr>
        <w:widowControl w:val="0"/>
        <w:numPr>
          <w:ilvl w:val="0"/>
          <w:numId w:val="21"/>
        </w:numPr>
        <w:suppressAutoHyphens/>
        <w:spacing w:line="276" w:lineRule="auto"/>
        <w:ind w:hanging="357"/>
        <w:contextualSpacing/>
        <w:jc w:val="both"/>
        <w:rPr>
          <w:rFonts w:ascii="Arial" w:hAnsi="Arial" w:cs="Arial"/>
          <w:sz w:val="22"/>
          <w:szCs w:val="22"/>
        </w:rPr>
      </w:pPr>
      <w:proofErr w:type="spellStart"/>
      <w:r>
        <w:rPr>
          <w:rFonts w:ascii="Arial" w:hAnsi="Arial" w:cs="Arial"/>
          <w:sz w:val="22"/>
          <w:szCs w:val="22"/>
        </w:rPr>
        <w:t>Cafeteria</w:t>
      </w:r>
      <w:proofErr w:type="spellEnd"/>
      <w:r>
        <w:rPr>
          <w:rFonts w:ascii="Arial" w:hAnsi="Arial" w:cs="Arial"/>
          <w:sz w:val="22"/>
          <w:szCs w:val="22"/>
        </w:rPr>
        <w:t xml:space="preserve"> juttatás a köztisztviselők esetében az előző évi összeggel egyezően 385 000 Ft/fő/év.</w:t>
      </w:r>
    </w:p>
    <w:p w14:paraId="1A0D82CB" w14:textId="145A7231" w:rsidR="00210AF6" w:rsidRPr="00BC129A" w:rsidRDefault="00BC129A" w:rsidP="00F31C81">
      <w:pPr>
        <w:pStyle w:val="Listaszerbekezds"/>
        <w:numPr>
          <w:ilvl w:val="0"/>
          <w:numId w:val="21"/>
        </w:numPr>
        <w:spacing w:line="276" w:lineRule="auto"/>
        <w:ind w:left="426"/>
        <w:jc w:val="both"/>
        <w:rPr>
          <w:rFonts w:ascii="Arial" w:hAnsi="Arial" w:cs="Arial"/>
          <w:sz w:val="22"/>
          <w:szCs w:val="22"/>
        </w:rPr>
      </w:pPr>
      <w:r w:rsidRPr="00BC129A">
        <w:rPr>
          <w:rFonts w:ascii="Arial" w:hAnsi="Arial" w:cs="Arial"/>
          <w:sz w:val="22"/>
          <w:szCs w:val="22"/>
        </w:rPr>
        <w:t>Dologi kiadások tervezése során 5 %-</w:t>
      </w:r>
      <w:proofErr w:type="spellStart"/>
      <w:r w:rsidRPr="00BC129A">
        <w:rPr>
          <w:rFonts w:ascii="Arial" w:hAnsi="Arial" w:cs="Arial"/>
          <w:sz w:val="22"/>
          <w:szCs w:val="22"/>
        </w:rPr>
        <w:t>os</w:t>
      </w:r>
      <w:proofErr w:type="spellEnd"/>
      <w:r w:rsidRPr="00BC129A">
        <w:rPr>
          <w:rFonts w:ascii="Arial" w:hAnsi="Arial" w:cs="Arial"/>
          <w:sz w:val="22"/>
          <w:szCs w:val="22"/>
        </w:rPr>
        <w:t xml:space="preserve"> várható inflációt vettünk figyelembe.</w:t>
      </w:r>
    </w:p>
    <w:p w14:paraId="6B839242" w14:textId="27F3D951" w:rsidR="00BC129A" w:rsidRPr="00BC129A" w:rsidRDefault="00BC129A" w:rsidP="00F31C81">
      <w:pPr>
        <w:pStyle w:val="Listaszerbekezds"/>
        <w:numPr>
          <w:ilvl w:val="0"/>
          <w:numId w:val="23"/>
        </w:numPr>
        <w:spacing w:line="276" w:lineRule="auto"/>
        <w:ind w:left="426"/>
        <w:jc w:val="both"/>
        <w:rPr>
          <w:rFonts w:ascii="Arial" w:hAnsi="Arial" w:cs="Arial"/>
          <w:sz w:val="22"/>
          <w:szCs w:val="22"/>
        </w:rPr>
      </w:pPr>
      <w:r w:rsidRPr="00BC129A">
        <w:rPr>
          <w:rFonts w:ascii="Arial" w:hAnsi="Arial" w:cs="Arial"/>
          <w:sz w:val="22"/>
          <w:szCs w:val="22"/>
        </w:rPr>
        <w:lastRenderedPageBreak/>
        <w:t>A dologi kiadások között a városüzemeltetési feladatokhoz kapcso</w:t>
      </w:r>
      <w:r w:rsidR="00F31C81">
        <w:rPr>
          <w:rFonts w:ascii="Arial" w:hAnsi="Arial" w:cs="Arial"/>
          <w:sz w:val="22"/>
          <w:szCs w:val="22"/>
        </w:rPr>
        <w:t>lódóan a folyamatos üzemeléshez és</w:t>
      </w:r>
      <w:r w:rsidRPr="00BC129A">
        <w:rPr>
          <w:rFonts w:ascii="Arial" w:hAnsi="Arial" w:cs="Arial"/>
          <w:sz w:val="22"/>
          <w:szCs w:val="22"/>
        </w:rPr>
        <w:t xml:space="preserve"> az alap feladatokhoz szükséges források </w:t>
      </w:r>
      <w:r w:rsidR="00F31C81">
        <w:rPr>
          <w:rFonts w:ascii="Arial" w:hAnsi="Arial" w:cs="Arial"/>
          <w:sz w:val="22"/>
          <w:szCs w:val="22"/>
        </w:rPr>
        <w:t>biztosítottak</w:t>
      </w:r>
      <w:r w:rsidRPr="00BC129A">
        <w:rPr>
          <w:rFonts w:ascii="Arial" w:hAnsi="Arial" w:cs="Arial"/>
          <w:sz w:val="22"/>
          <w:szCs w:val="22"/>
        </w:rPr>
        <w:t xml:space="preserve">. </w:t>
      </w:r>
    </w:p>
    <w:p w14:paraId="4F331264" w14:textId="5EF4ED90" w:rsidR="00BC129A" w:rsidRPr="00BC129A" w:rsidRDefault="00F31C81" w:rsidP="00F31C81">
      <w:pPr>
        <w:pStyle w:val="Listaszerbekezds"/>
        <w:numPr>
          <w:ilvl w:val="0"/>
          <w:numId w:val="23"/>
        </w:numPr>
        <w:spacing w:line="276" w:lineRule="auto"/>
        <w:ind w:left="426"/>
        <w:jc w:val="both"/>
        <w:rPr>
          <w:rFonts w:ascii="Arial" w:hAnsi="Arial" w:cs="Arial"/>
          <w:sz w:val="22"/>
          <w:szCs w:val="22"/>
        </w:rPr>
      </w:pPr>
      <w:r>
        <w:rPr>
          <w:rFonts w:ascii="Arial" w:hAnsi="Arial" w:cs="Arial"/>
          <w:sz w:val="22"/>
          <w:szCs w:val="22"/>
        </w:rPr>
        <w:t>A 2025. évben már vállalt, a 2026</w:t>
      </w:r>
      <w:r w:rsidR="00BC129A" w:rsidRPr="00BC129A">
        <w:rPr>
          <w:rFonts w:ascii="Arial" w:hAnsi="Arial" w:cs="Arial"/>
          <w:sz w:val="22"/>
          <w:szCs w:val="22"/>
        </w:rPr>
        <w:t>. évre áthúzódó, nem halasztható kötelezettségek fedezetének biztosítása</w:t>
      </w:r>
      <w:r>
        <w:rPr>
          <w:rFonts w:ascii="Arial" w:hAnsi="Arial" w:cs="Arial"/>
          <w:sz w:val="22"/>
          <w:szCs w:val="22"/>
        </w:rPr>
        <w:t xml:space="preserve"> megtörtént</w:t>
      </w:r>
      <w:r w:rsidR="00BC129A" w:rsidRPr="00BC129A">
        <w:rPr>
          <w:rFonts w:ascii="Arial" w:hAnsi="Arial" w:cs="Arial"/>
          <w:sz w:val="22"/>
          <w:szCs w:val="22"/>
        </w:rPr>
        <w:t>, beleértve a folyamatban lévő beruházásokra történő fedezet megteremtését is.</w:t>
      </w:r>
    </w:p>
    <w:p w14:paraId="5431FCD3" w14:textId="6591999F" w:rsidR="00BC129A" w:rsidRPr="00BC129A" w:rsidRDefault="00BC129A" w:rsidP="00F31C81">
      <w:pPr>
        <w:pStyle w:val="Listaszerbekezds"/>
        <w:numPr>
          <w:ilvl w:val="0"/>
          <w:numId w:val="23"/>
        </w:numPr>
        <w:spacing w:line="276" w:lineRule="auto"/>
        <w:ind w:left="426"/>
        <w:jc w:val="both"/>
        <w:rPr>
          <w:rFonts w:ascii="Arial" w:hAnsi="Arial" w:cs="Arial"/>
          <w:sz w:val="22"/>
          <w:szCs w:val="22"/>
        </w:rPr>
      </w:pPr>
      <w:r w:rsidRPr="00BC129A">
        <w:rPr>
          <w:rFonts w:ascii="Arial" w:hAnsi="Arial" w:cs="Arial"/>
          <w:sz w:val="22"/>
          <w:szCs w:val="22"/>
        </w:rPr>
        <w:t xml:space="preserve">A kiemelt szervezetek, valamint a civil szervezetek, nemzetiségi önkormányzatok </w:t>
      </w:r>
      <w:r w:rsidR="00F31C81">
        <w:rPr>
          <w:rFonts w:ascii="Arial" w:hAnsi="Arial" w:cs="Arial"/>
          <w:sz w:val="22"/>
          <w:szCs w:val="22"/>
        </w:rPr>
        <w:t>támogatására fedezet biztosítását</w:t>
      </w:r>
      <w:r w:rsidRPr="00BC129A">
        <w:rPr>
          <w:rFonts w:ascii="Arial" w:hAnsi="Arial" w:cs="Arial"/>
          <w:sz w:val="22"/>
          <w:szCs w:val="22"/>
        </w:rPr>
        <w:t>.</w:t>
      </w:r>
    </w:p>
    <w:p w14:paraId="1CBD198C" w14:textId="0A12A8CE" w:rsidR="00BC129A" w:rsidRPr="00BC129A" w:rsidRDefault="00BC129A" w:rsidP="00F31C81">
      <w:pPr>
        <w:pStyle w:val="Listaszerbekezds"/>
        <w:numPr>
          <w:ilvl w:val="0"/>
          <w:numId w:val="23"/>
        </w:numPr>
        <w:spacing w:line="276" w:lineRule="auto"/>
        <w:ind w:left="426"/>
        <w:jc w:val="both"/>
        <w:rPr>
          <w:rFonts w:ascii="Arial" w:hAnsi="Arial" w:cs="Arial"/>
          <w:sz w:val="22"/>
          <w:szCs w:val="22"/>
        </w:rPr>
      </w:pPr>
      <w:r w:rsidRPr="00BC129A">
        <w:rPr>
          <w:rFonts w:ascii="Arial" w:hAnsi="Arial" w:cs="Arial"/>
          <w:sz w:val="22"/>
          <w:szCs w:val="22"/>
        </w:rPr>
        <w:t>A költségvetési egyensúly megteremtése saját bevételekből (ingatlan-értékesítés és közhatalmi bevételek) szár</w:t>
      </w:r>
      <w:r w:rsidR="00F31C81">
        <w:rPr>
          <w:rFonts w:ascii="Arial" w:hAnsi="Arial" w:cs="Arial"/>
          <w:sz w:val="22"/>
          <w:szCs w:val="22"/>
        </w:rPr>
        <w:t>mazó forrással történik.</w:t>
      </w:r>
    </w:p>
    <w:p w14:paraId="1D89E31B" w14:textId="18957CB8" w:rsidR="00BC129A" w:rsidRPr="00BC129A" w:rsidRDefault="00BC129A" w:rsidP="00F31C81">
      <w:pPr>
        <w:pStyle w:val="Listaszerbekezds"/>
        <w:numPr>
          <w:ilvl w:val="0"/>
          <w:numId w:val="23"/>
        </w:numPr>
        <w:spacing w:line="276" w:lineRule="auto"/>
        <w:ind w:left="426"/>
        <w:jc w:val="both"/>
        <w:rPr>
          <w:rFonts w:ascii="Arial" w:hAnsi="Arial" w:cs="Arial"/>
          <w:sz w:val="22"/>
          <w:szCs w:val="22"/>
        </w:rPr>
      </w:pPr>
      <w:r w:rsidRPr="00BC129A">
        <w:rPr>
          <w:rFonts w:ascii="Arial" w:hAnsi="Arial" w:cs="Arial"/>
          <w:sz w:val="22"/>
          <w:szCs w:val="22"/>
        </w:rPr>
        <w:t>Az önként vállalt feladatoknak a pénzügyi lehetőségekhez igazodó fenntartása, végrehajtása, a feszített költ</w:t>
      </w:r>
      <w:r w:rsidR="00F31C81">
        <w:rPr>
          <w:rFonts w:ascii="Arial" w:hAnsi="Arial" w:cs="Arial"/>
          <w:sz w:val="22"/>
          <w:szCs w:val="22"/>
        </w:rPr>
        <w:t>ségvetési keretekre tekintettel.</w:t>
      </w:r>
    </w:p>
    <w:p w14:paraId="3C7E164F" w14:textId="027947CA" w:rsidR="00BC129A" w:rsidRPr="00BC129A" w:rsidRDefault="00BC129A" w:rsidP="00F31C81">
      <w:pPr>
        <w:pStyle w:val="Listaszerbekezds"/>
        <w:numPr>
          <w:ilvl w:val="0"/>
          <w:numId w:val="23"/>
        </w:numPr>
        <w:spacing w:line="276" w:lineRule="auto"/>
        <w:ind w:left="426"/>
        <w:jc w:val="both"/>
        <w:rPr>
          <w:rFonts w:ascii="Arial" w:hAnsi="Arial" w:cs="Arial"/>
          <w:bCs/>
          <w:sz w:val="22"/>
          <w:szCs w:val="22"/>
        </w:rPr>
      </w:pPr>
      <w:r w:rsidRPr="00BC129A">
        <w:rPr>
          <w:rFonts w:ascii="Arial" w:hAnsi="Arial" w:cs="Arial"/>
          <w:bCs/>
          <w:sz w:val="22"/>
          <w:szCs w:val="22"/>
        </w:rPr>
        <w:t xml:space="preserve">A Testület már elfogadta a BÁT-KOM 2004. Kft., </w:t>
      </w:r>
      <w:r w:rsidR="00F31C81">
        <w:rPr>
          <w:rFonts w:ascii="Arial" w:hAnsi="Arial" w:cs="Arial"/>
          <w:bCs/>
          <w:sz w:val="22"/>
          <w:szCs w:val="22"/>
        </w:rPr>
        <w:t>és</w:t>
      </w:r>
      <w:r w:rsidRPr="00BC129A">
        <w:rPr>
          <w:rFonts w:ascii="Arial" w:hAnsi="Arial" w:cs="Arial"/>
          <w:bCs/>
          <w:sz w:val="22"/>
          <w:szCs w:val="22"/>
        </w:rPr>
        <w:t xml:space="preserve"> a Bátaszékért Marketing Nonprofit Kft. 2026. évi üzleti tervét, valamint a társulások és a KÖH költségvetése is elfogadásra került</w:t>
      </w:r>
      <w:r>
        <w:rPr>
          <w:rFonts w:ascii="Arial" w:hAnsi="Arial" w:cs="Arial"/>
          <w:bCs/>
          <w:sz w:val="22"/>
          <w:szCs w:val="22"/>
        </w:rPr>
        <w:t>. Az Önkormányzat által átadásra kerülő összegek ennek megfelelően szerepelnek a költségvetésben.</w:t>
      </w:r>
    </w:p>
    <w:p w14:paraId="23323CC9" w14:textId="77777777" w:rsidR="00AF6879" w:rsidRDefault="00AF6879" w:rsidP="00F31C81">
      <w:pPr>
        <w:spacing w:line="276" w:lineRule="auto"/>
        <w:jc w:val="both"/>
        <w:rPr>
          <w:rFonts w:ascii="Arial" w:hAnsi="Arial" w:cs="Arial"/>
          <w:sz w:val="22"/>
          <w:szCs w:val="22"/>
        </w:rPr>
      </w:pPr>
    </w:p>
    <w:p w14:paraId="28C077E6" w14:textId="1CD14434" w:rsidR="00B7371A" w:rsidRPr="00524381" w:rsidRDefault="00B7371A" w:rsidP="00F31C81">
      <w:pPr>
        <w:spacing w:line="276" w:lineRule="auto"/>
        <w:jc w:val="both"/>
        <w:rPr>
          <w:rFonts w:ascii="Arial" w:hAnsi="Arial" w:cs="Arial"/>
          <w:sz w:val="22"/>
          <w:szCs w:val="22"/>
        </w:rPr>
      </w:pPr>
      <w:r w:rsidRPr="00524381">
        <w:rPr>
          <w:rFonts w:ascii="Arial" w:hAnsi="Arial" w:cs="Arial"/>
          <w:sz w:val="22"/>
          <w:szCs w:val="22"/>
        </w:rPr>
        <w:t xml:space="preserve">A költségvetési javaslat a biztonságos működést alapul véve, a takarékos gazdálkodás </w:t>
      </w:r>
      <w:r>
        <w:rPr>
          <w:rFonts w:ascii="Arial" w:hAnsi="Arial" w:cs="Arial"/>
          <w:sz w:val="22"/>
          <w:szCs w:val="22"/>
        </w:rPr>
        <w:t>szemléletével</w:t>
      </w:r>
      <w:r w:rsidRPr="00524381">
        <w:rPr>
          <w:rFonts w:ascii="Arial" w:hAnsi="Arial" w:cs="Arial"/>
          <w:sz w:val="22"/>
          <w:szCs w:val="22"/>
        </w:rPr>
        <w:t xml:space="preserve"> került összeállításra. </w:t>
      </w:r>
    </w:p>
    <w:p w14:paraId="7AC46A39" w14:textId="77777777" w:rsidR="00B7371A" w:rsidRPr="00524381" w:rsidRDefault="00B7371A" w:rsidP="00F31C81">
      <w:pPr>
        <w:spacing w:line="276" w:lineRule="auto"/>
        <w:jc w:val="both"/>
        <w:rPr>
          <w:rFonts w:ascii="Arial" w:hAnsi="Arial" w:cs="Arial"/>
          <w:sz w:val="22"/>
          <w:szCs w:val="22"/>
        </w:rPr>
      </w:pPr>
      <w:r w:rsidRPr="00524381">
        <w:rPr>
          <w:rFonts w:ascii="Arial" w:hAnsi="Arial" w:cs="Arial"/>
          <w:sz w:val="22"/>
          <w:szCs w:val="22"/>
        </w:rPr>
        <w:t>A 2026. évben a költségvetés egyensúlya biztosított, az Önkormányzat nem tervez hitelfelvételt</w:t>
      </w:r>
      <w:r>
        <w:rPr>
          <w:rFonts w:ascii="Arial" w:hAnsi="Arial" w:cs="Arial"/>
          <w:sz w:val="22"/>
          <w:szCs w:val="22"/>
        </w:rPr>
        <w:t>.</w:t>
      </w:r>
    </w:p>
    <w:p w14:paraId="759F8D60" w14:textId="67267441" w:rsidR="00D84974" w:rsidRDefault="00D84974" w:rsidP="00F31C81">
      <w:pPr>
        <w:spacing w:line="276" w:lineRule="auto"/>
        <w:jc w:val="both"/>
        <w:rPr>
          <w:rFonts w:ascii="Arial" w:hAnsi="Arial" w:cs="Arial"/>
          <w:b/>
          <w:sz w:val="22"/>
          <w:szCs w:val="22"/>
          <w:u w:val="single"/>
        </w:rPr>
      </w:pPr>
    </w:p>
    <w:p w14:paraId="272C6686" w14:textId="7B30ECE4" w:rsidR="006325C2" w:rsidRPr="00E65330" w:rsidRDefault="006325C2" w:rsidP="00F31C81">
      <w:pPr>
        <w:spacing w:line="276" w:lineRule="auto"/>
        <w:rPr>
          <w:rFonts w:ascii="Arial" w:hAnsi="Arial" w:cs="Arial"/>
          <w:b/>
          <w:sz w:val="22"/>
          <w:szCs w:val="22"/>
        </w:rPr>
      </w:pPr>
      <w:r w:rsidRPr="00E65330">
        <w:rPr>
          <w:rFonts w:ascii="Arial" w:hAnsi="Arial" w:cs="Arial"/>
          <w:b/>
          <w:sz w:val="22"/>
          <w:szCs w:val="22"/>
        </w:rPr>
        <w:t>Bátaszék Város Önkormányzatának költségvetés</w:t>
      </w:r>
      <w:r w:rsidR="00E65330" w:rsidRPr="00E65330">
        <w:rPr>
          <w:rFonts w:ascii="Arial" w:hAnsi="Arial" w:cs="Arial"/>
          <w:b/>
          <w:sz w:val="22"/>
          <w:szCs w:val="22"/>
        </w:rPr>
        <w:t>e:</w:t>
      </w:r>
    </w:p>
    <w:p w14:paraId="0BA43BC9" w14:textId="77777777" w:rsidR="006325C2" w:rsidRPr="00E65330" w:rsidRDefault="006325C2" w:rsidP="00F31C81">
      <w:pPr>
        <w:spacing w:line="276" w:lineRule="auto"/>
        <w:rPr>
          <w:rFonts w:ascii="Arial" w:eastAsia="Calibri" w:hAnsi="Arial" w:cs="Arial"/>
          <w:sz w:val="22"/>
          <w:szCs w:val="22"/>
          <w:lang w:eastAsia="en-US"/>
        </w:rPr>
      </w:pPr>
    </w:p>
    <w:p w14:paraId="409471B1" w14:textId="625E3591" w:rsidR="006325C2" w:rsidRPr="00E65330" w:rsidRDefault="006325C2" w:rsidP="00F31C81">
      <w:pPr>
        <w:spacing w:line="276" w:lineRule="auto"/>
        <w:rPr>
          <w:rFonts w:ascii="Arial" w:eastAsia="Calibri" w:hAnsi="Arial" w:cs="Arial"/>
          <w:b/>
          <w:sz w:val="22"/>
          <w:szCs w:val="22"/>
          <w:lang w:eastAsia="en-US"/>
        </w:rPr>
      </w:pPr>
      <w:r w:rsidRPr="00E65330">
        <w:rPr>
          <w:rFonts w:ascii="Arial" w:eastAsia="Calibri" w:hAnsi="Arial" w:cs="Arial"/>
          <w:b/>
          <w:sz w:val="22"/>
          <w:szCs w:val="22"/>
          <w:lang w:eastAsia="en-US"/>
        </w:rPr>
        <w:tab/>
      </w:r>
      <w:r w:rsidRPr="00E65330">
        <w:rPr>
          <w:rFonts w:ascii="Arial" w:eastAsia="Calibri" w:hAnsi="Arial" w:cs="Arial"/>
          <w:b/>
          <w:sz w:val="22"/>
          <w:szCs w:val="22"/>
          <w:lang w:eastAsia="en-US"/>
        </w:rPr>
        <w:tab/>
        <w:t>Bev</w:t>
      </w:r>
      <w:r w:rsidR="00F671CE" w:rsidRPr="00E65330">
        <w:rPr>
          <w:rFonts w:ascii="Arial" w:eastAsia="Calibri" w:hAnsi="Arial" w:cs="Arial"/>
          <w:b/>
          <w:sz w:val="22"/>
          <w:szCs w:val="22"/>
          <w:lang w:eastAsia="en-US"/>
        </w:rPr>
        <w:t>ételek fő</w:t>
      </w:r>
      <w:r w:rsidR="000564D1" w:rsidRPr="00E65330">
        <w:rPr>
          <w:rFonts w:ascii="Arial" w:eastAsia="Calibri" w:hAnsi="Arial" w:cs="Arial"/>
          <w:b/>
          <w:sz w:val="22"/>
          <w:szCs w:val="22"/>
          <w:lang w:eastAsia="en-US"/>
        </w:rPr>
        <w:t xml:space="preserve"> </w:t>
      </w:r>
      <w:r w:rsidR="00F671CE" w:rsidRPr="00E65330">
        <w:rPr>
          <w:rFonts w:ascii="Arial" w:eastAsia="Calibri" w:hAnsi="Arial" w:cs="Arial"/>
          <w:b/>
          <w:sz w:val="22"/>
          <w:szCs w:val="22"/>
          <w:lang w:eastAsia="en-US"/>
        </w:rPr>
        <w:t xml:space="preserve">összege </w:t>
      </w:r>
      <w:r w:rsidR="00F31C81">
        <w:rPr>
          <w:rFonts w:ascii="Arial" w:eastAsia="Calibri" w:hAnsi="Arial" w:cs="Arial"/>
          <w:b/>
          <w:sz w:val="22"/>
          <w:szCs w:val="22"/>
          <w:lang w:eastAsia="en-US"/>
        </w:rPr>
        <w:t>3 127 894 216</w:t>
      </w:r>
      <w:r w:rsidR="00F671CE" w:rsidRPr="00E65330">
        <w:rPr>
          <w:rFonts w:ascii="Arial" w:eastAsia="Calibri" w:hAnsi="Arial" w:cs="Arial"/>
          <w:b/>
          <w:sz w:val="22"/>
          <w:szCs w:val="22"/>
          <w:lang w:eastAsia="en-US"/>
        </w:rPr>
        <w:t xml:space="preserve"> </w:t>
      </w:r>
      <w:r w:rsidRPr="00E65330">
        <w:rPr>
          <w:rFonts w:ascii="Arial" w:eastAsia="Calibri" w:hAnsi="Arial" w:cs="Arial"/>
          <w:b/>
          <w:sz w:val="22"/>
          <w:szCs w:val="22"/>
          <w:lang w:eastAsia="en-US"/>
        </w:rPr>
        <w:t>Ft</w:t>
      </w:r>
    </w:p>
    <w:p w14:paraId="6C82A546" w14:textId="33AD0E40" w:rsidR="006325C2" w:rsidRDefault="006325C2" w:rsidP="00F31C81">
      <w:pPr>
        <w:spacing w:line="276" w:lineRule="auto"/>
        <w:rPr>
          <w:rFonts w:ascii="Arial" w:eastAsia="Calibri" w:hAnsi="Arial" w:cs="Arial"/>
          <w:b/>
          <w:sz w:val="22"/>
          <w:szCs w:val="22"/>
          <w:lang w:eastAsia="en-US"/>
        </w:rPr>
      </w:pPr>
      <w:r w:rsidRPr="00E65330">
        <w:rPr>
          <w:rFonts w:ascii="Arial" w:eastAsia="Calibri" w:hAnsi="Arial" w:cs="Arial"/>
          <w:b/>
          <w:sz w:val="22"/>
          <w:szCs w:val="22"/>
          <w:lang w:eastAsia="en-US"/>
        </w:rPr>
        <w:tab/>
      </w:r>
      <w:r w:rsidR="00745290" w:rsidRPr="00E65330">
        <w:rPr>
          <w:rFonts w:ascii="Arial" w:eastAsia="Calibri" w:hAnsi="Arial" w:cs="Arial"/>
          <w:b/>
          <w:sz w:val="22"/>
          <w:szCs w:val="22"/>
          <w:lang w:eastAsia="en-US"/>
        </w:rPr>
        <w:t xml:space="preserve">          </w:t>
      </w:r>
      <w:r w:rsidR="0088524F" w:rsidRPr="00E65330">
        <w:rPr>
          <w:rFonts w:ascii="Arial" w:eastAsia="Calibri" w:hAnsi="Arial" w:cs="Arial"/>
          <w:b/>
          <w:sz w:val="22"/>
          <w:szCs w:val="22"/>
          <w:lang w:eastAsia="en-US"/>
        </w:rPr>
        <w:t xml:space="preserve"> </w:t>
      </w:r>
      <w:r w:rsidR="00A53C2B" w:rsidRPr="00E65330">
        <w:rPr>
          <w:rFonts w:ascii="Arial" w:eastAsia="Calibri" w:hAnsi="Arial" w:cs="Arial"/>
          <w:b/>
          <w:sz w:val="22"/>
          <w:szCs w:val="22"/>
          <w:lang w:eastAsia="en-US"/>
        </w:rPr>
        <w:t xml:space="preserve"> </w:t>
      </w:r>
      <w:r w:rsidRPr="00E65330">
        <w:rPr>
          <w:rFonts w:ascii="Arial" w:eastAsia="Calibri" w:hAnsi="Arial" w:cs="Arial"/>
          <w:b/>
          <w:sz w:val="22"/>
          <w:szCs w:val="22"/>
          <w:lang w:eastAsia="en-US"/>
        </w:rPr>
        <w:t>K</w:t>
      </w:r>
      <w:r w:rsidR="00F671CE" w:rsidRPr="00E65330">
        <w:rPr>
          <w:rFonts w:ascii="Arial" w:eastAsia="Calibri" w:hAnsi="Arial" w:cs="Arial"/>
          <w:b/>
          <w:sz w:val="22"/>
          <w:szCs w:val="22"/>
          <w:lang w:eastAsia="en-US"/>
        </w:rPr>
        <w:t>iadások fő</w:t>
      </w:r>
      <w:r w:rsidR="000564D1" w:rsidRPr="00E65330">
        <w:rPr>
          <w:rFonts w:ascii="Arial" w:eastAsia="Calibri" w:hAnsi="Arial" w:cs="Arial"/>
          <w:b/>
          <w:sz w:val="22"/>
          <w:szCs w:val="22"/>
          <w:lang w:eastAsia="en-US"/>
        </w:rPr>
        <w:t xml:space="preserve"> </w:t>
      </w:r>
      <w:r w:rsidR="00F671CE" w:rsidRPr="00E65330">
        <w:rPr>
          <w:rFonts w:ascii="Arial" w:eastAsia="Calibri" w:hAnsi="Arial" w:cs="Arial"/>
          <w:b/>
          <w:sz w:val="22"/>
          <w:szCs w:val="22"/>
          <w:lang w:eastAsia="en-US"/>
        </w:rPr>
        <w:t>összege</w:t>
      </w:r>
      <w:r w:rsidR="00A53C2B" w:rsidRPr="00E65330">
        <w:rPr>
          <w:rFonts w:ascii="Arial" w:eastAsia="Calibri" w:hAnsi="Arial" w:cs="Arial"/>
          <w:b/>
          <w:sz w:val="22"/>
          <w:szCs w:val="22"/>
          <w:lang w:eastAsia="en-US"/>
        </w:rPr>
        <w:t xml:space="preserve"> </w:t>
      </w:r>
      <w:r w:rsidR="00F31C81">
        <w:rPr>
          <w:rFonts w:ascii="Arial" w:eastAsia="Calibri" w:hAnsi="Arial" w:cs="Arial"/>
          <w:b/>
          <w:sz w:val="22"/>
          <w:szCs w:val="22"/>
          <w:lang w:eastAsia="en-US"/>
        </w:rPr>
        <w:t>3 127 894 216</w:t>
      </w:r>
      <w:r w:rsidRPr="00E65330">
        <w:rPr>
          <w:rFonts w:ascii="Arial" w:eastAsia="Calibri" w:hAnsi="Arial" w:cs="Arial"/>
          <w:b/>
          <w:sz w:val="22"/>
          <w:szCs w:val="22"/>
          <w:lang w:eastAsia="en-US"/>
        </w:rPr>
        <w:t xml:space="preserve"> Ft.</w:t>
      </w:r>
    </w:p>
    <w:p w14:paraId="0B392138" w14:textId="77777777" w:rsidR="0084217A" w:rsidRDefault="0084217A" w:rsidP="00F31C81">
      <w:pPr>
        <w:spacing w:line="276" w:lineRule="auto"/>
        <w:jc w:val="both"/>
        <w:rPr>
          <w:rFonts w:ascii="Arial" w:eastAsia="Calibri" w:hAnsi="Arial" w:cs="Arial"/>
          <w:b/>
          <w:sz w:val="22"/>
          <w:szCs w:val="22"/>
          <w:lang w:eastAsia="en-US"/>
        </w:rPr>
      </w:pPr>
    </w:p>
    <w:p w14:paraId="2C86DDE1" w14:textId="2060F048" w:rsidR="006325C2" w:rsidRPr="00F671CE" w:rsidRDefault="006325C2" w:rsidP="00F31C81">
      <w:pPr>
        <w:spacing w:line="276" w:lineRule="auto"/>
        <w:jc w:val="both"/>
        <w:rPr>
          <w:rFonts w:ascii="Arial" w:eastAsia="Calibri" w:hAnsi="Arial" w:cs="Arial"/>
          <w:b/>
          <w:sz w:val="22"/>
          <w:szCs w:val="22"/>
          <w:lang w:eastAsia="en-US"/>
        </w:rPr>
      </w:pPr>
      <w:r w:rsidRPr="00F671CE">
        <w:rPr>
          <w:rFonts w:ascii="Arial" w:eastAsia="Calibri" w:hAnsi="Arial" w:cs="Arial"/>
          <w:b/>
          <w:sz w:val="22"/>
          <w:szCs w:val="22"/>
          <w:lang w:eastAsia="en-US"/>
        </w:rPr>
        <w:t>Az Önkormányzat kötelező és önként vállalt feladatai</w:t>
      </w:r>
    </w:p>
    <w:p w14:paraId="7F738955" w14:textId="05AD6C83" w:rsidR="00E62BE6" w:rsidRPr="00F57834" w:rsidRDefault="006325C2" w:rsidP="00F31C81">
      <w:pPr>
        <w:spacing w:line="276" w:lineRule="auto"/>
        <w:jc w:val="both"/>
        <w:rPr>
          <w:rFonts w:ascii="Arial" w:hAnsi="Arial" w:cs="Arial"/>
          <w:sz w:val="22"/>
          <w:szCs w:val="22"/>
        </w:rPr>
      </w:pPr>
      <w:r w:rsidRPr="008A1398">
        <w:rPr>
          <w:rFonts w:ascii="Arial" w:hAnsi="Arial" w:cs="Arial"/>
          <w:sz w:val="22"/>
          <w:szCs w:val="22"/>
        </w:rPr>
        <w:t>Báta</w:t>
      </w:r>
      <w:r w:rsidR="0044466D" w:rsidRPr="008A1398">
        <w:rPr>
          <w:rFonts w:ascii="Arial" w:hAnsi="Arial" w:cs="Arial"/>
          <w:sz w:val="22"/>
          <w:szCs w:val="22"/>
        </w:rPr>
        <w:t xml:space="preserve">szék Város Önkormányzatának </w:t>
      </w:r>
      <w:r w:rsidR="008A1398">
        <w:rPr>
          <w:rFonts w:ascii="Arial" w:hAnsi="Arial" w:cs="Arial"/>
          <w:sz w:val="22"/>
          <w:szCs w:val="22"/>
        </w:rPr>
        <w:t xml:space="preserve">a </w:t>
      </w:r>
      <w:r w:rsidR="0044466D" w:rsidRPr="008A1398">
        <w:rPr>
          <w:rFonts w:ascii="Arial" w:hAnsi="Arial" w:cs="Arial"/>
          <w:sz w:val="22"/>
          <w:szCs w:val="22"/>
        </w:rPr>
        <w:t>202</w:t>
      </w:r>
      <w:r w:rsidR="00F532AA">
        <w:rPr>
          <w:rFonts w:ascii="Arial" w:hAnsi="Arial" w:cs="Arial"/>
          <w:sz w:val="22"/>
          <w:szCs w:val="22"/>
        </w:rPr>
        <w:t>6</w:t>
      </w:r>
      <w:r w:rsidRPr="008A1398">
        <w:rPr>
          <w:rFonts w:ascii="Arial" w:hAnsi="Arial" w:cs="Arial"/>
          <w:sz w:val="22"/>
          <w:szCs w:val="22"/>
        </w:rPr>
        <w:t>. évi költségvetés</w:t>
      </w:r>
      <w:r w:rsidR="008A1398">
        <w:rPr>
          <w:rFonts w:ascii="Arial" w:hAnsi="Arial" w:cs="Arial"/>
          <w:sz w:val="22"/>
          <w:szCs w:val="22"/>
        </w:rPr>
        <w:t>i</w:t>
      </w:r>
      <w:r w:rsidRPr="008A1398">
        <w:rPr>
          <w:rFonts w:ascii="Arial" w:hAnsi="Arial" w:cs="Arial"/>
          <w:sz w:val="22"/>
          <w:szCs w:val="22"/>
        </w:rPr>
        <w:t xml:space="preserve"> tervezetében szereplő bevételek és kiadások a törvényi előírásnak megfelelően a</w:t>
      </w:r>
      <w:r w:rsidR="008A1398">
        <w:rPr>
          <w:rFonts w:ascii="Arial" w:hAnsi="Arial" w:cs="Arial"/>
          <w:sz w:val="22"/>
          <w:szCs w:val="22"/>
        </w:rPr>
        <w:t>z államháztartás számviteléről szóló</w:t>
      </w:r>
      <w:r w:rsidRPr="008A1398">
        <w:rPr>
          <w:rFonts w:ascii="Arial" w:hAnsi="Arial" w:cs="Arial"/>
          <w:sz w:val="22"/>
          <w:szCs w:val="22"/>
        </w:rPr>
        <w:t xml:space="preserve"> 4/2013. (I.11.) kormányrendelet</w:t>
      </w:r>
      <w:r w:rsidR="008A1398">
        <w:rPr>
          <w:rFonts w:ascii="Arial" w:hAnsi="Arial" w:cs="Arial"/>
          <w:sz w:val="22"/>
          <w:szCs w:val="22"/>
        </w:rPr>
        <w:t xml:space="preserve">ben </w:t>
      </w:r>
      <w:r w:rsidRPr="008A1398">
        <w:rPr>
          <w:rFonts w:ascii="Arial" w:hAnsi="Arial" w:cs="Arial"/>
          <w:sz w:val="22"/>
          <w:szCs w:val="22"/>
        </w:rPr>
        <w:t xml:space="preserve">meghatározott rovatrend szerint kerültek </w:t>
      </w:r>
      <w:r w:rsidR="0044466D" w:rsidRPr="008A1398">
        <w:rPr>
          <w:rFonts w:ascii="Arial" w:hAnsi="Arial" w:cs="Arial"/>
          <w:sz w:val="22"/>
          <w:szCs w:val="22"/>
        </w:rPr>
        <w:t>megtervezésre</w:t>
      </w:r>
      <w:r w:rsidR="00A53C2B" w:rsidRPr="008A1398">
        <w:rPr>
          <w:rFonts w:ascii="Arial" w:hAnsi="Arial" w:cs="Arial"/>
          <w:sz w:val="22"/>
          <w:szCs w:val="22"/>
        </w:rPr>
        <w:t>. A kiemelt előirányzatok szerint részletezett</w:t>
      </w:r>
      <w:r w:rsidR="00384BC9" w:rsidRPr="008A1398">
        <w:rPr>
          <w:rFonts w:ascii="Arial" w:hAnsi="Arial" w:cs="Arial"/>
          <w:sz w:val="22"/>
          <w:szCs w:val="22"/>
        </w:rPr>
        <w:t xml:space="preserve"> </w:t>
      </w:r>
      <w:r w:rsidR="00A53C2B" w:rsidRPr="008A1398">
        <w:rPr>
          <w:rFonts w:ascii="Arial" w:hAnsi="Arial" w:cs="Arial"/>
          <w:sz w:val="22"/>
          <w:szCs w:val="22"/>
        </w:rPr>
        <w:t>költségvetési adatokat</w:t>
      </w:r>
      <w:r w:rsidR="0044466D" w:rsidRPr="008A1398">
        <w:rPr>
          <w:rFonts w:ascii="Arial" w:hAnsi="Arial" w:cs="Arial"/>
          <w:sz w:val="22"/>
          <w:szCs w:val="22"/>
        </w:rPr>
        <w:t xml:space="preserve"> az 1. </w:t>
      </w:r>
      <w:r w:rsidRPr="008A1398">
        <w:rPr>
          <w:rFonts w:ascii="Arial" w:hAnsi="Arial" w:cs="Arial"/>
          <w:sz w:val="22"/>
          <w:szCs w:val="22"/>
        </w:rPr>
        <w:t>melléklet</w:t>
      </w:r>
      <w:r w:rsidR="00A53C2B" w:rsidRPr="008A1398">
        <w:rPr>
          <w:rFonts w:ascii="Arial" w:hAnsi="Arial" w:cs="Arial"/>
          <w:sz w:val="22"/>
          <w:szCs w:val="22"/>
        </w:rPr>
        <w:t>, az</w:t>
      </w:r>
      <w:r w:rsidRPr="008A1398">
        <w:rPr>
          <w:rFonts w:ascii="Arial" w:hAnsi="Arial" w:cs="Arial"/>
          <w:sz w:val="22"/>
          <w:szCs w:val="22"/>
        </w:rPr>
        <w:t xml:space="preserve"> 1.2, </w:t>
      </w:r>
      <w:r w:rsidR="00A53C2B" w:rsidRPr="008A1398">
        <w:rPr>
          <w:rFonts w:ascii="Arial" w:hAnsi="Arial" w:cs="Arial"/>
          <w:sz w:val="22"/>
          <w:szCs w:val="22"/>
        </w:rPr>
        <w:t xml:space="preserve">az </w:t>
      </w:r>
      <w:r w:rsidRPr="008A1398">
        <w:rPr>
          <w:rFonts w:ascii="Arial" w:hAnsi="Arial" w:cs="Arial"/>
          <w:sz w:val="22"/>
          <w:szCs w:val="22"/>
        </w:rPr>
        <w:t xml:space="preserve">1.3 és </w:t>
      </w:r>
      <w:r w:rsidR="00A53C2B" w:rsidRPr="008A1398">
        <w:rPr>
          <w:rFonts w:ascii="Arial" w:hAnsi="Arial" w:cs="Arial"/>
          <w:sz w:val="22"/>
          <w:szCs w:val="22"/>
        </w:rPr>
        <w:t xml:space="preserve">az </w:t>
      </w:r>
      <w:r w:rsidRPr="008A1398">
        <w:rPr>
          <w:rFonts w:ascii="Arial" w:hAnsi="Arial" w:cs="Arial"/>
          <w:sz w:val="22"/>
          <w:szCs w:val="22"/>
        </w:rPr>
        <w:t xml:space="preserve">1.4 </w:t>
      </w:r>
      <w:r w:rsidR="00A53C2B" w:rsidRPr="008A1398">
        <w:rPr>
          <w:rFonts w:ascii="Arial" w:hAnsi="Arial" w:cs="Arial"/>
          <w:sz w:val="22"/>
          <w:szCs w:val="22"/>
        </w:rPr>
        <w:t>melléklet</w:t>
      </w:r>
      <w:r w:rsidRPr="008A1398">
        <w:rPr>
          <w:rFonts w:ascii="Arial" w:hAnsi="Arial" w:cs="Arial"/>
          <w:sz w:val="22"/>
          <w:szCs w:val="22"/>
        </w:rPr>
        <w:t xml:space="preserve"> </w:t>
      </w:r>
      <w:r w:rsidR="00337B20">
        <w:rPr>
          <w:rFonts w:ascii="Arial" w:hAnsi="Arial" w:cs="Arial"/>
          <w:sz w:val="22"/>
          <w:szCs w:val="22"/>
        </w:rPr>
        <w:t>részletez</w:t>
      </w:r>
      <w:r w:rsidR="008A1398">
        <w:rPr>
          <w:rFonts w:ascii="Arial" w:hAnsi="Arial" w:cs="Arial"/>
          <w:sz w:val="22"/>
          <w:szCs w:val="22"/>
        </w:rPr>
        <w:t>. A</w:t>
      </w:r>
      <w:r w:rsidR="00850894">
        <w:rPr>
          <w:rFonts w:ascii="Arial" w:hAnsi="Arial" w:cs="Arial"/>
          <w:sz w:val="22"/>
          <w:szCs w:val="22"/>
        </w:rPr>
        <w:t xml:space="preserve"> </w:t>
      </w:r>
      <w:r w:rsidR="00337B20">
        <w:rPr>
          <w:rFonts w:ascii="Arial" w:hAnsi="Arial" w:cs="Arial"/>
          <w:sz w:val="22"/>
          <w:szCs w:val="22"/>
        </w:rPr>
        <w:t xml:space="preserve">tervezett előirányzatok </w:t>
      </w:r>
      <w:r w:rsidR="00337B20">
        <w:rPr>
          <w:rFonts w:ascii="Arial" w:eastAsia="Calibri" w:hAnsi="Arial" w:cs="Arial"/>
          <w:sz w:val="22"/>
          <w:szCs w:val="22"/>
          <w:lang w:eastAsia="en-US"/>
        </w:rPr>
        <w:t>k</w:t>
      </w:r>
      <w:r w:rsidRPr="00F671CE">
        <w:rPr>
          <w:rFonts w:ascii="Arial" w:eastAsia="Calibri" w:hAnsi="Arial" w:cs="Arial"/>
          <w:sz w:val="22"/>
          <w:szCs w:val="22"/>
          <w:lang w:eastAsia="en-US"/>
        </w:rPr>
        <w:t>ö</w:t>
      </w:r>
      <w:r w:rsidR="0044466D">
        <w:rPr>
          <w:rFonts w:ascii="Arial" w:eastAsia="Calibri" w:hAnsi="Arial" w:cs="Arial"/>
          <w:sz w:val="22"/>
          <w:szCs w:val="22"/>
          <w:lang w:eastAsia="en-US"/>
        </w:rPr>
        <w:t>telező feladatok</w:t>
      </w:r>
      <w:r w:rsidR="00337B20">
        <w:rPr>
          <w:rFonts w:ascii="Arial" w:eastAsia="Calibri" w:hAnsi="Arial" w:cs="Arial"/>
          <w:sz w:val="22"/>
          <w:szCs w:val="22"/>
          <w:lang w:eastAsia="en-US"/>
        </w:rPr>
        <w:t>,</w:t>
      </w:r>
      <w:r w:rsidR="0044466D">
        <w:rPr>
          <w:rFonts w:ascii="Arial" w:eastAsia="Calibri" w:hAnsi="Arial" w:cs="Arial"/>
          <w:sz w:val="22"/>
          <w:szCs w:val="22"/>
          <w:lang w:eastAsia="en-US"/>
        </w:rPr>
        <w:t xml:space="preserve"> </w:t>
      </w:r>
      <w:r w:rsidR="00337B20">
        <w:rPr>
          <w:rFonts w:ascii="Arial" w:eastAsia="Calibri" w:hAnsi="Arial" w:cs="Arial"/>
          <w:sz w:val="22"/>
          <w:szCs w:val="22"/>
          <w:lang w:eastAsia="en-US"/>
        </w:rPr>
        <w:t>ö</w:t>
      </w:r>
      <w:r w:rsidR="0044466D">
        <w:rPr>
          <w:rFonts w:ascii="Arial" w:eastAsia="Calibri" w:hAnsi="Arial" w:cs="Arial"/>
          <w:sz w:val="22"/>
          <w:szCs w:val="22"/>
          <w:lang w:eastAsia="en-US"/>
        </w:rPr>
        <w:t>nként vállalt feladatok</w:t>
      </w:r>
      <w:r w:rsidR="00E62BE6">
        <w:rPr>
          <w:rFonts w:ascii="Arial" w:eastAsia="Calibri" w:hAnsi="Arial" w:cs="Arial"/>
          <w:sz w:val="22"/>
          <w:szCs w:val="22"/>
          <w:lang w:eastAsia="en-US"/>
        </w:rPr>
        <w:t>, valamint á</w:t>
      </w:r>
      <w:r w:rsidRPr="00F671CE">
        <w:rPr>
          <w:rFonts w:ascii="Arial" w:eastAsia="Calibri" w:hAnsi="Arial" w:cs="Arial"/>
          <w:sz w:val="22"/>
          <w:szCs w:val="22"/>
          <w:lang w:eastAsia="en-US"/>
        </w:rPr>
        <w:t>l</w:t>
      </w:r>
      <w:r w:rsidR="0044466D">
        <w:rPr>
          <w:rFonts w:ascii="Arial" w:eastAsia="Calibri" w:hAnsi="Arial" w:cs="Arial"/>
          <w:sz w:val="22"/>
          <w:szCs w:val="22"/>
          <w:lang w:eastAsia="en-US"/>
        </w:rPr>
        <w:t xml:space="preserve">lamigazgatási feladatok </w:t>
      </w:r>
      <w:r w:rsidR="00E62BE6">
        <w:rPr>
          <w:rFonts w:ascii="Arial" w:eastAsia="Calibri" w:hAnsi="Arial" w:cs="Arial"/>
          <w:sz w:val="22"/>
          <w:szCs w:val="22"/>
          <w:lang w:eastAsia="en-US"/>
        </w:rPr>
        <w:t>bontásban</w:t>
      </w:r>
      <w:r w:rsidR="008A1398">
        <w:rPr>
          <w:rFonts w:ascii="Arial" w:eastAsia="Calibri" w:hAnsi="Arial" w:cs="Arial"/>
          <w:sz w:val="22"/>
          <w:szCs w:val="22"/>
          <w:lang w:eastAsia="en-US"/>
        </w:rPr>
        <w:t xml:space="preserve"> is bemutatásra kerülnek.</w:t>
      </w:r>
    </w:p>
    <w:p w14:paraId="46FC83FE" w14:textId="77777777" w:rsidR="00704B8B" w:rsidRDefault="00704B8B" w:rsidP="00EF3458">
      <w:pPr>
        <w:spacing w:after="160" w:line="276" w:lineRule="auto"/>
        <w:rPr>
          <w:rFonts w:ascii="Arial" w:eastAsia="Calibri" w:hAnsi="Arial" w:cs="Arial"/>
          <w:b/>
          <w:sz w:val="22"/>
          <w:szCs w:val="22"/>
          <w:lang w:eastAsia="en-US"/>
        </w:rPr>
      </w:pPr>
    </w:p>
    <w:p w14:paraId="644078C5" w14:textId="538ACCD5" w:rsidR="006325C2" w:rsidRPr="00FA172D" w:rsidRDefault="006325C2" w:rsidP="00EF3458">
      <w:pPr>
        <w:spacing w:after="160" w:line="276" w:lineRule="auto"/>
        <w:rPr>
          <w:rFonts w:ascii="Arial" w:eastAsia="Calibri" w:hAnsi="Arial" w:cs="Arial"/>
          <w:b/>
          <w:sz w:val="22"/>
          <w:szCs w:val="22"/>
          <w:u w:val="single"/>
          <w:lang w:eastAsia="en-US"/>
        </w:rPr>
      </w:pPr>
      <w:r w:rsidRPr="00FA172D">
        <w:rPr>
          <w:rFonts w:ascii="Arial" w:eastAsia="Calibri" w:hAnsi="Arial" w:cs="Arial"/>
          <w:b/>
          <w:sz w:val="22"/>
          <w:szCs w:val="22"/>
          <w:u w:val="single"/>
          <w:lang w:eastAsia="en-US"/>
        </w:rPr>
        <w:t xml:space="preserve">Az Önkormányzat </w:t>
      </w:r>
      <w:proofErr w:type="gramStart"/>
      <w:r w:rsidR="00C02C27">
        <w:rPr>
          <w:rFonts w:ascii="Arial" w:eastAsia="Calibri" w:hAnsi="Arial" w:cs="Arial"/>
          <w:b/>
          <w:sz w:val="22"/>
          <w:szCs w:val="22"/>
          <w:u w:val="single"/>
          <w:lang w:eastAsia="en-US"/>
        </w:rPr>
        <w:t>konszolidált</w:t>
      </w:r>
      <w:proofErr w:type="gramEnd"/>
      <w:r w:rsidR="00C02C27">
        <w:rPr>
          <w:rFonts w:ascii="Arial" w:eastAsia="Calibri" w:hAnsi="Arial" w:cs="Arial"/>
          <w:b/>
          <w:sz w:val="22"/>
          <w:szCs w:val="22"/>
          <w:u w:val="single"/>
          <w:lang w:eastAsia="en-US"/>
        </w:rPr>
        <w:t xml:space="preserve"> adatai szerinti </w:t>
      </w:r>
      <w:r w:rsidRPr="00FA172D">
        <w:rPr>
          <w:rFonts w:ascii="Arial" w:eastAsia="Calibri" w:hAnsi="Arial" w:cs="Arial"/>
          <w:b/>
          <w:sz w:val="22"/>
          <w:szCs w:val="22"/>
          <w:u w:val="single"/>
          <w:lang w:eastAsia="en-US"/>
        </w:rPr>
        <w:t>költségvetés</w:t>
      </w:r>
      <w:r w:rsidR="00C02C27">
        <w:rPr>
          <w:rFonts w:ascii="Arial" w:eastAsia="Calibri" w:hAnsi="Arial" w:cs="Arial"/>
          <w:b/>
          <w:sz w:val="22"/>
          <w:szCs w:val="22"/>
          <w:u w:val="single"/>
          <w:lang w:eastAsia="en-US"/>
        </w:rPr>
        <w:t xml:space="preserve"> </w:t>
      </w:r>
      <w:r w:rsidRPr="00FA172D">
        <w:rPr>
          <w:rFonts w:ascii="Arial" w:eastAsia="Calibri" w:hAnsi="Arial" w:cs="Arial"/>
          <w:b/>
          <w:sz w:val="22"/>
          <w:szCs w:val="22"/>
          <w:u w:val="single"/>
          <w:lang w:eastAsia="en-US"/>
        </w:rPr>
        <w:t>előirányzata</w:t>
      </w:r>
      <w:r w:rsidR="00E62BE6" w:rsidRPr="00FA172D">
        <w:rPr>
          <w:rFonts w:ascii="Arial" w:eastAsia="Calibri" w:hAnsi="Arial" w:cs="Arial"/>
          <w:b/>
          <w:sz w:val="22"/>
          <w:szCs w:val="22"/>
          <w:u w:val="single"/>
          <w:lang w:eastAsia="en-US"/>
        </w:rPr>
        <w:t>i</w:t>
      </w:r>
    </w:p>
    <w:p w14:paraId="186608CB" w14:textId="77777777" w:rsidR="006325C2" w:rsidRPr="00E40A56" w:rsidRDefault="006325C2" w:rsidP="006325C2">
      <w:pPr>
        <w:spacing w:after="160" w:line="276" w:lineRule="auto"/>
        <w:rPr>
          <w:rFonts w:ascii="Arial" w:eastAsia="Calibri" w:hAnsi="Arial" w:cs="Arial"/>
          <w:b/>
          <w:sz w:val="22"/>
          <w:szCs w:val="22"/>
          <w:lang w:eastAsia="en-US"/>
        </w:rPr>
      </w:pPr>
      <w:r w:rsidRPr="00E40A56">
        <w:rPr>
          <w:rFonts w:ascii="Arial" w:eastAsia="Calibri" w:hAnsi="Arial" w:cs="Arial"/>
          <w:b/>
          <w:sz w:val="22"/>
          <w:szCs w:val="22"/>
          <w:lang w:eastAsia="en-US"/>
        </w:rPr>
        <w:t>BEVÉTELEK:</w:t>
      </w:r>
    </w:p>
    <w:p w14:paraId="1D6C0474" w14:textId="0E70A0D5" w:rsidR="006325C2" w:rsidRDefault="006325C2" w:rsidP="006325C2">
      <w:pPr>
        <w:spacing w:before="120" w:line="276" w:lineRule="auto"/>
        <w:jc w:val="both"/>
        <w:rPr>
          <w:rFonts w:ascii="Arial" w:hAnsi="Arial" w:cs="Arial"/>
          <w:sz w:val="22"/>
          <w:szCs w:val="22"/>
        </w:rPr>
      </w:pPr>
      <w:r w:rsidRPr="00E40A56">
        <w:rPr>
          <w:rFonts w:ascii="Arial" w:hAnsi="Arial" w:cs="Arial"/>
          <w:sz w:val="22"/>
          <w:szCs w:val="22"/>
        </w:rPr>
        <w:t>A költségvetési rendeletben szereplő bevételi jogcímek részletezése:</w:t>
      </w:r>
    </w:p>
    <w:tbl>
      <w:tblPr>
        <w:tblW w:w="9780" w:type="dxa"/>
        <w:tblCellMar>
          <w:left w:w="70" w:type="dxa"/>
          <w:right w:w="70" w:type="dxa"/>
        </w:tblCellMar>
        <w:tblLook w:val="04A0" w:firstRow="1" w:lastRow="0" w:firstColumn="1" w:lastColumn="0" w:noHBand="0" w:noVBand="1"/>
      </w:tblPr>
      <w:tblGrid>
        <w:gridCol w:w="3760"/>
        <w:gridCol w:w="2100"/>
        <w:gridCol w:w="2020"/>
        <w:gridCol w:w="1900"/>
      </w:tblGrid>
      <w:tr w:rsidR="00F31C81" w14:paraId="276AC0B5" w14:textId="77777777" w:rsidTr="00F31C81">
        <w:trPr>
          <w:trHeight w:val="615"/>
        </w:trPr>
        <w:tc>
          <w:tcPr>
            <w:tcW w:w="3760" w:type="dxa"/>
            <w:tcBorders>
              <w:top w:val="single" w:sz="8" w:space="0" w:color="auto"/>
              <w:left w:val="single" w:sz="8" w:space="0" w:color="auto"/>
              <w:bottom w:val="single" w:sz="8" w:space="0" w:color="auto"/>
              <w:right w:val="single" w:sz="4" w:space="0" w:color="auto"/>
            </w:tcBorders>
            <w:noWrap/>
            <w:vAlign w:val="bottom"/>
            <w:hideMark/>
          </w:tcPr>
          <w:p w14:paraId="39B1707D" w14:textId="77777777" w:rsidR="00F31C81" w:rsidRDefault="00F31C81">
            <w:pPr>
              <w:rPr>
                <w:rFonts w:ascii="Arial" w:hAnsi="Arial" w:cs="Arial"/>
                <w:color w:val="000000"/>
                <w:sz w:val="22"/>
                <w:szCs w:val="22"/>
                <w:lang w:eastAsia="hu-HU"/>
              </w:rPr>
            </w:pPr>
            <w:r>
              <w:rPr>
                <w:rFonts w:ascii="Arial" w:hAnsi="Arial" w:cs="Arial"/>
                <w:color w:val="000000"/>
                <w:sz w:val="22"/>
                <w:szCs w:val="22"/>
              </w:rPr>
              <w:t> </w:t>
            </w:r>
          </w:p>
        </w:tc>
        <w:tc>
          <w:tcPr>
            <w:tcW w:w="2100" w:type="dxa"/>
            <w:tcBorders>
              <w:top w:val="single" w:sz="8" w:space="0" w:color="auto"/>
              <w:left w:val="nil"/>
              <w:bottom w:val="single" w:sz="8" w:space="0" w:color="auto"/>
              <w:right w:val="single" w:sz="4" w:space="0" w:color="auto"/>
            </w:tcBorders>
            <w:noWrap/>
            <w:vAlign w:val="bottom"/>
            <w:hideMark/>
          </w:tcPr>
          <w:p w14:paraId="67352BB2" w14:textId="77777777" w:rsidR="00F31C81" w:rsidRDefault="00F31C81">
            <w:pPr>
              <w:jc w:val="both"/>
              <w:rPr>
                <w:rFonts w:ascii="Arial" w:hAnsi="Arial" w:cs="Arial"/>
                <w:b/>
                <w:bCs/>
                <w:color w:val="000000"/>
                <w:sz w:val="22"/>
                <w:szCs w:val="22"/>
              </w:rPr>
            </w:pPr>
            <w:r>
              <w:rPr>
                <w:rFonts w:ascii="Arial" w:hAnsi="Arial" w:cs="Arial"/>
                <w:b/>
                <w:bCs/>
                <w:color w:val="000000"/>
                <w:sz w:val="22"/>
                <w:szCs w:val="22"/>
              </w:rPr>
              <w:t>2025. év eredeti előirányzata</w:t>
            </w:r>
          </w:p>
        </w:tc>
        <w:tc>
          <w:tcPr>
            <w:tcW w:w="2020" w:type="dxa"/>
            <w:tcBorders>
              <w:top w:val="single" w:sz="8" w:space="0" w:color="auto"/>
              <w:left w:val="nil"/>
              <w:bottom w:val="single" w:sz="8" w:space="0" w:color="auto"/>
              <w:right w:val="single" w:sz="4" w:space="0" w:color="auto"/>
            </w:tcBorders>
            <w:noWrap/>
            <w:vAlign w:val="bottom"/>
            <w:hideMark/>
          </w:tcPr>
          <w:p w14:paraId="7DDA4605" w14:textId="77777777" w:rsidR="00F31C81" w:rsidRDefault="00F31C81">
            <w:pPr>
              <w:jc w:val="both"/>
              <w:rPr>
                <w:rFonts w:ascii="Arial" w:hAnsi="Arial" w:cs="Arial"/>
                <w:b/>
                <w:bCs/>
                <w:color w:val="000000"/>
                <w:sz w:val="22"/>
                <w:szCs w:val="22"/>
              </w:rPr>
            </w:pPr>
            <w:r>
              <w:rPr>
                <w:rFonts w:ascii="Arial" w:hAnsi="Arial" w:cs="Arial"/>
                <w:b/>
                <w:bCs/>
                <w:color w:val="000000"/>
                <w:sz w:val="22"/>
                <w:szCs w:val="22"/>
              </w:rPr>
              <w:t>2026. év eredeti előirányzata</w:t>
            </w:r>
          </w:p>
        </w:tc>
        <w:tc>
          <w:tcPr>
            <w:tcW w:w="1900" w:type="dxa"/>
            <w:tcBorders>
              <w:top w:val="single" w:sz="8" w:space="0" w:color="auto"/>
              <w:left w:val="nil"/>
              <w:bottom w:val="single" w:sz="8" w:space="0" w:color="auto"/>
              <w:right w:val="single" w:sz="8" w:space="0" w:color="auto"/>
            </w:tcBorders>
            <w:noWrap/>
            <w:vAlign w:val="bottom"/>
            <w:hideMark/>
          </w:tcPr>
          <w:p w14:paraId="39BD1F69" w14:textId="77777777" w:rsidR="00F31C81" w:rsidRDefault="00F31C81">
            <w:pPr>
              <w:rPr>
                <w:rFonts w:ascii="Arial" w:hAnsi="Arial" w:cs="Arial"/>
                <w:b/>
                <w:bCs/>
                <w:color w:val="000000"/>
                <w:sz w:val="22"/>
                <w:szCs w:val="22"/>
              </w:rPr>
            </w:pPr>
            <w:r>
              <w:rPr>
                <w:rFonts w:ascii="Arial" w:hAnsi="Arial" w:cs="Arial"/>
                <w:b/>
                <w:bCs/>
                <w:color w:val="000000"/>
                <w:sz w:val="22"/>
                <w:szCs w:val="22"/>
              </w:rPr>
              <w:t>Különbség</w:t>
            </w:r>
          </w:p>
        </w:tc>
      </w:tr>
      <w:tr w:rsidR="00F31C81" w14:paraId="287B389E" w14:textId="77777777" w:rsidTr="00F31C81">
        <w:trPr>
          <w:trHeight w:val="570"/>
        </w:trPr>
        <w:tc>
          <w:tcPr>
            <w:tcW w:w="3760" w:type="dxa"/>
            <w:tcBorders>
              <w:top w:val="nil"/>
              <w:left w:val="single" w:sz="8" w:space="0" w:color="auto"/>
              <w:bottom w:val="single" w:sz="4" w:space="0" w:color="auto"/>
              <w:right w:val="single" w:sz="4" w:space="0" w:color="auto"/>
            </w:tcBorders>
            <w:vAlign w:val="center"/>
            <w:hideMark/>
          </w:tcPr>
          <w:p w14:paraId="456FB71F" w14:textId="77777777" w:rsidR="00F31C81" w:rsidRDefault="00F31C81">
            <w:pPr>
              <w:jc w:val="both"/>
              <w:rPr>
                <w:rFonts w:ascii="Arial" w:hAnsi="Arial" w:cs="Arial"/>
                <w:color w:val="000000"/>
                <w:sz w:val="22"/>
                <w:szCs w:val="22"/>
              </w:rPr>
            </w:pPr>
            <w:r>
              <w:rPr>
                <w:rFonts w:ascii="Arial" w:hAnsi="Arial" w:cs="Arial"/>
                <w:color w:val="000000"/>
                <w:sz w:val="22"/>
                <w:szCs w:val="22"/>
              </w:rPr>
              <w:t>Működési célú támogatások államháztartáson belülről</w:t>
            </w:r>
          </w:p>
        </w:tc>
        <w:tc>
          <w:tcPr>
            <w:tcW w:w="2100" w:type="dxa"/>
            <w:tcBorders>
              <w:top w:val="nil"/>
              <w:left w:val="nil"/>
              <w:bottom w:val="single" w:sz="4" w:space="0" w:color="auto"/>
              <w:right w:val="single" w:sz="4" w:space="0" w:color="auto"/>
            </w:tcBorders>
            <w:vAlign w:val="bottom"/>
            <w:hideMark/>
          </w:tcPr>
          <w:p w14:paraId="69D0F228" w14:textId="77777777" w:rsidR="00F31C81" w:rsidRDefault="00F31C81">
            <w:pPr>
              <w:jc w:val="right"/>
              <w:rPr>
                <w:rFonts w:ascii="Arial" w:hAnsi="Arial" w:cs="Arial"/>
                <w:color w:val="000000"/>
                <w:sz w:val="22"/>
                <w:szCs w:val="22"/>
              </w:rPr>
            </w:pPr>
            <w:r>
              <w:rPr>
                <w:rFonts w:ascii="Arial" w:hAnsi="Arial" w:cs="Arial"/>
                <w:color w:val="000000"/>
                <w:sz w:val="22"/>
                <w:szCs w:val="22"/>
              </w:rPr>
              <w:t>1 106 665 269 Ft</w:t>
            </w:r>
          </w:p>
        </w:tc>
        <w:tc>
          <w:tcPr>
            <w:tcW w:w="2020" w:type="dxa"/>
            <w:tcBorders>
              <w:top w:val="nil"/>
              <w:left w:val="nil"/>
              <w:bottom w:val="single" w:sz="4" w:space="0" w:color="auto"/>
              <w:right w:val="single" w:sz="4" w:space="0" w:color="auto"/>
            </w:tcBorders>
            <w:noWrap/>
            <w:vAlign w:val="bottom"/>
            <w:hideMark/>
          </w:tcPr>
          <w:p w14:paraId="0FE6D6D4" w14:textId="77777777" w:rsidR="00F31C81" w:rsidRDefault="00F31C81">
            <w:pPr>
              <w:jc w:val="right"/>
              <w:rPr>
                <w:rFonts w:ascii="Arial" w:hAnsi="Arial" w:cs="Arial"/>
                <w:color w:val="000000"/>
                <w:sz w:val="22"/>
                <w:szCs w:val="22"/>
              </w:rPr>
            </w:pPr>
            <w:r>
              <w:rPr>
                <w:rFonts w:ascii="Arial" w:hAnsi="Arial" w:cs="Arial"/>
                <w:color w:val="000000"/>
                <w:sz w:val="22"/>
                <w:szCs w:val="22"/>
              </w:rPr>
              <w:t>1 267 839 796 Ft</w:t>
            </w:r>
          </w:p>
        </w:tc>
        <w:tc>
          <w:tcPr>
            <w:tcW w:w="1900" w:type="dxa"/>
            <w:tcBorders>
              <w:top w:val="nil"/>
              <w:left w:val="nil"/>
              <w:bottom w:val="single" w:sz="4" w:space="0" w:color="auto"/>
              <w:right w:val="single" w:sz="8" w:space="0" w:color="auto"/>
            </w:tcBorders>
            <w:noWrap/>
            <w:vAlign w:val="bottom"/>
            <w:hideMark/>
          </w:tcPr>
          <w:p w14:paraId="25CC44E1"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161 174 527 Ft</w:t>
            </w:r>
          </w:p>
        </w:tc>
      </w:tr>
      <w:tr w:rsidR="00F31C81" w14:paraId="5010D85B" w14:textId="77777777" w:rsidTr="00F31C81">
        <w:trPr>
          <w:trHeight w:val="570"/>
        </w:trPr>
        <w:tc>
          <w:tcPr>
            <w:tcW w:w="3760" w:type="dxa"/>
            <w:tcBorders>
              <w:top w:val="nil"/>
              <w:left w:val="single" w:sz="8" w:space="0" w:color="auto"/>
              <w:bottom w:val="single" w:sz="4" w:space="0" w:color="auto"/>
              <w:right w:val="single" w:sz="4" w:space="0" w:color="auto"/>
            </w:tcBorders>
            <w:vAlign w:val="center"/>
            <w:hideMark/>
          </w:tcPr>
          <w:p w14:paraId="1A37C6D0" w14:textId="77777777" w:rsidR="00F31C81" w:rsidRDefault="00F31C81">
            <w:pPr>
              <w:jc w:val="both"/>
              <w:rPr>
                <w:rFonts w:ascii="Arial" w:hAnsi="Arial" w:cs="Arial"/>
                <w:color w:val="000000"/>
                <w:sz w:val="22"/>
                <w:szCs w:val="22"/>
              </w:rPr>
            </w:pPr>
            <w:r>
              <w:rPr>
                <w:rFonts w:ascii="Arial" w:hAnsi="Arial" w:cs="Arial"/>
                <w:color w:val="000000"/>
                <w:sz w:val="22"/>
                <w:szCs w:val="22"/>
              </w:rPr>
              <w:t>Felhalmozási célú támogatások államháztartáson belülről</w:t>
            </w:r>
          </w:p>
        </w:tc>
        <w:tc>
          <w:tcPr>
            <w:tcW w:w="2100" w:type="dxa"/>
            <w:tcBorders>
              <w:top w:val="nil"/>
              <w:left w:val="nil"/>
              <w:bottom w:val="single" w:sz="4" w:space="0" w:color="auto"/>
              <w:right w:val="single" w:sz="4" w:space="0" w:color="auto"/>
            </w:tcBorders>
            <w:vAlign w:val="bottom"/>
            <w:hideMark/>
          </w:tcPr>
          <w:p w14:paraId="68D2E2FD" w14:textId="77777777" w:rsidR="00F31C81" w:rsidRDefault="00F31C81">
            <w:pPr>
              <w:jc w:val="right"/>
              <w:rPr>
                <w:rFonts w:ascii="Arial" w:hAnsi="Arial" w:cs="Arial"/>
                <w:color w:val="000000"/>
                <w:sz w:val="22"/>
                <w:szCs w:val="22"/>
              </w:rPr>
            </w:pPr>
            <w:r>
              <w:rPr>
                <w:rFonts w:ascii="Arial" w:hAnsi="Arial" w:cs="Arial"/>
                <w:color w:val="000000"/>
                <w:sz w:val="22"/>
                <w:szCs w:val="22"/>
              </w:rPr>
              <w:t>270 939 249 Ft</w:t>
            </w:r>
          </w:p>
        </w:tc>
        <w:tc>
          <w:tcPr>
            <w:tcW w:w="2020" w:type="dxa"/>
            <w:tcBorders>
              <w:top w:val="nil"/>
              <w:left w:val="nil"/>
              <w:bottom w:val="single" w:sz="4" w:space="0" w:color="auto"/>
              <w:right w:val="single" w:sz="4" w:space="0" w:color="auto"/>
            </w:tcBorders>
            <w:noWrap/>
            <w:vAlign w:val="bottom"/>
            <w:hideMark/>
          </w:tcPr>
          <w:p w14:paraId="7D5B0469" w14:textId="77777777" w:rsidR="00F31C81" w:rsidRDefault="00F31C81">
            <w:pPr>
              <w:jc w:val="right"/>
              <w:rPr>
                <w:rFonts w:ascii="Arial" w:hAnsi="Arial" w:cs="Arial"/>
                <w:color w:val="000000"/>
                <w:sz w:val="22"/>
                <w:szCs w:val="22"/>
              </w:rPr>
            </w:pPr>
            <w:r>
              <w:rPr>
                <w:rFonts w:ascii="Arial" w:hAnsi="Arial" w:cs="Arial"/>
                <w:color w:val="000000"/>
                <w:sz w:val="22"/>
                <w:szCs w:val="22"/>
              </w:rPr>
              <w:t>34 663 928 Ft</w:t>
            </w:r>
          </w:p>
        </w:tc>
        <w:tc>
          <w:tcPr>
            <w:tcW w:w="1900" w:type="dxa"/>
            <w:tcBorders>
              <w:top w:val="nil"/>
              <w:left w:val="nil"/>
              <w:bottom w:val="single" w:sz="4" w:space="0" w:color="auto"/>
              <w:right w:val="single" w:sz="8" w:space="0" w:color="auto"/>
            </w:tcBorders>
            <w:noWrap/>
            <w:vAlign w:val="bottom"/>
            <w:hideMark/>
          </w:tcPr>
          <w:p w14:paraId="27C51DB1"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-236 275 321 Ft</w:t>
            </w:r>
          </w:p>
        </w:tc>
      </w:tr>
      <w:tr w:rsidR="00F31C81" w14:paraId="2937B04B" w14:textId="77777777" w:rsidTr="00F31C81">
        <w:trPr>
          <w:trHeight w:val="285"/>
        </w:trPr>
        <w:tc>
          <w:tcPr>
            <w:tcW w:w="3760" w:type="dxa"/>
            <w:tcBorders>
              <w:top w:val="nil"/>
              <w:left w:val="single" w:sz="8" w:space="0" w:color="auto"/>
              <w:bottom w:val="single" w:sz="4" w:space="0" w:color="auto"/>
              <w:right w:val="single" w:sz="4" w:space="0" w:color="auto"/>
            </w:tcBorders>
            <w:vAlign w:val="center"/>
            <w:hideMark/>
          </w:tcPr>
          <w:p w14:paraId="3148F8B8" w14:textId="77777777" w:rsidR="00F31C81" w:rsidRDefault="00F31C81">
            <w:pPr>
              <w:jc w:val="both"/>
              <w:rPr>
                <w:rFonts w:ascii="Arial" w:hAnsi="Arial" w:cs="Arial"/>
                <w:color w:val="000000"/>
                <w:sz w:val="22"/>
                <w:szCs w:val="22"/>
              </w:rPr>
            </w:pPr>
            <w:r>
              <w:rPr>
                <w:rFonts w:ascii="Arial" w:hAnsi="Arial" w:cs="Arial"/>
                <w:color w:val="000000"/>
                <w:sz w:val="22"/>
                <w:szCs w:val="22"/>
              </w:rPr>
              <w:t>Közhatalmi bevételek</w:t>
            </w:r>
          </w:p>
        </w:tc>
        <w:tc>
          <w:tcPr>
            <w:tcW w:w="2100" w:type="dxa"/>
            <w:tcBorders>
              <w:top w:val="nil"/>
              <w:left w:val="nil"/>
              <w:bottom w:val="single" w:sz="4" w:space="0" w:color="auto"/>
              <w:right w:val="single" w:sz="4" w:space="0" w:color="auto"/>
            </w:tcBorders>
            <w:vAlign w:val="bottom"/>
            <w:hideMark/>
          </w:tcPr>
          <w:p w14:paraId="577A86A1" w14:textId="77777777" w:rsidR="00F31C81" w:rsidRDefault="00F31C81">
            <w:pPr>
              <w:jc w:val="right"/>
              <w:rPr>
                <w:rFonts w:ascii="Arial" w:hAnsi="Arial" w:cs="Arial"/>
                <w:color w:val="000000"/>
                <w:sz w:val="22"/>
                <w:szCs w:val="22"/>
              </w:rPr>
            </w:pPr>
            <w:r>
              <w:rPr>
                <w:rFonts w:ascii="Arial" w:hAnsi="Arial" w:cs="Arial"/>
                <w:color w:val="000000"/>
                <w:sz w:val="22"/>
                <w:szCs w:val="22"/>
              </w:rPr>
              <w:t>459 600 000 Ft</w:t>
            </w:r>
          </w:p>
        </w:tc>
        <w:tc>
          <w:tcPr>
            <w:tcW w:w="2020" w:type="dxa"/>
            <w:tcBorders>
              <w:top w:val="nil"/>
              <w:left w:val="nil"/>
              <w:bottom w:val="single" w:sz="4" w:space="0" w:color="auto"/>
              <w:right w:val="single" w:sz="4" w:space="0" w:color="auto"/>
            </w:tcBorders>
            <w:noWrap/>
            <w:vAlign w:val="bottom"/>
            <w:hideMark/>
          </w:tcPr>
          <w:p w14:paraId="128BBBE3" w14:textId="77777777" w:rsidR="00F31C81" w:rsidRDefault="00F31C81">
            <w:pPr>
              <w:jc w:val="right"/>
              <w:rPr>
                <w:rFonts w:ascii="Arial" w:hAnsi="Arial" w:cs="Arial"/>
                <w:color w:val="000000"/>
                <w:sz w:val="22"/>
                <w:szCs w:val="22"/>
              </w:rPr>
            </w:pPr>
            <w:r>
              <w:rPr>
                <w:rFonts w:ascii="Arial" w:hAnsi="Arial" w:cs="Arial"/>
                <w:color w:val="000000"/>
                <w:sz w:val="22"/>
                <w:szCs w:val="22"/>
              </w:rPr>
              <w:t>566 000 000 Ft</w:t>
            </w:r>
          </w:p>
        </w:tc>
        <w:tc>
          <w:tcPr>
            <w:tcW w:w="1900" w:type="dxa"/>
            <w:tcBorders>
              <w:top w:val="nil"/>
              <w:left w:val="nil"/>
              <w:bottom w:val="single" w:sz="4" w:space="0" w:color="auto"/>
              <w:right w:val="single" w:sz="8" w:space="0" w:color="auto"/>
            </w:tcBorders>
            <w:noWrap/>
            <w:vAlign w:val="bottom"/>
            <w:hideMark/>
          </w:tcPr>
          <w:p w14:paraId="15B3AE70"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106 400 000 Ft</w:t>
            </w:r>
          </w:p>
        </w:tc>
      </w:tr>
      <w:tr w:rsidR="00F31C81" w14:paraId="1D52353B" w14:textId="77777777" w:rsidTr="00F31C81">
        <w:trPr>
          <w:trHeight w:val="570"/>
        </w:trPr>
        <w:tc>
          <w:tcPr>
            <w:tcW w:w="3760" w:type="dxa"/>
            <w:tcBorders>
              <w:top w:val="nil"/>
              <w:left w:val="single" w:sz="8" w:space="0" w:color="auto"/>
              <w:bottom w:val="single" w:sz="4" w:space="0" w:color="auto"/>
              <w:right w:val="single" w:sz="4" w:space="0" w:color="auto"/>
            </w:tcBorders>
            <w:vAlign w:val="center"/>
            <w:hideMark/>
          </w:tcPr>
          <w:p w14:paraId="5872EA29" w14:textId="77777777" w:rsidR="00F31C81" w:rsidRDefault="00F31C81">
            <w:pPr>
              <w:jc w:val="both"/>
              <w:rPr>
                <w:rFonts w:ascii="Arial" w:hAnsi="Arial" w:cs="Arial"/>
                <w:color w:val="000000"/>
                <w:sz w:val="22"/>
                <w:szCs w:val="22"/>
              </w:rPr>
            </w:pPr>
            <w:r>
              <w:rPr>
                <w:rFonts w:ascii="Arial" w:hAnsi="Arial" w:cs="Arial"/>
                <w:color w:val="000000"/>
                <w:sz w:val="22"/>
                <w:szCs w:val="22"/>
              </w:rPr>
              <w:t>Működési bevételek</w:t>
            </w:r>
          </w:p>
        </w:tc>
        <w:tc>
          <w:tcPr>
            <w:tcW w:w="2100" w:type="dxa"/>
            <w:tcBorders>
              <w:top w:val="nil"/>
              <w:left w:val="nil"/>
              <w:bottom w:val="single" w:sz="4" w:space="0" w:color="auto"/>
              <w:right w:val="single" w:sz="4" w:space="0" w:color="auto"/>
            </w:tcBorders>
            <w:vAlign w:val="bottom"/>
            <w:hideMark/>
          </w:tcPr>
          <w:p w14:paraId="4B8E1A95" w14:textId="77777777" w:rsidR="00F31C81" w:rsidRDefault="00F31C81">
            <w:pPr>
              <w:jc w:val="right"/>
              <w:rPr>
                <w:rFonts w:ascii="Arial" w:hAnsi="Arial" w:cs="Arial"/>
                <w:color w:val="000000"/>
                <w:sz w:val="22"/>
                <w:szCs w:val="22"/>
              </w:rPr>
            </w:pPr>
            <w:r>
              <w:rPr>
                <w:rFonts w:ascii="Arial" w:hAnsi="Arial" w:cs="Arial"/>
                <w:color w:val="000000"/>
                <w:sz w:val="22"/>
                <w:szCs w:val="22"/>
              </w:rPr>
              <w:t>98 845 158 Ft</w:t>
            </w:r>
          </w:p>
        </w:tc>
        <w:tc>
          <w:tcPr>
            <w:tcW w:w="2020" w:type="dxa"/>
            <w:tcBorders>
              <w:top w:val="nil"/>
              <w:left w:val="nil"/>
              <w:bottom w:val="single" w:sz="4" w:space="0" w:color="auto"/>
              <w:right w:val="single" w:sz="4" w:space="0" w:color="auto"/>
            </w:tcBorders>
            <w:noWrap/>
            <w:vAlign w:val="bottom"/>
            <w:hideMark/>
          </w:tcPr>
          <w:p w14:paraId="259EB15A" w14:textId="77777777" w:rsidR="00F31C81" w:rsidRDefault="00F31C81">
            <w:pPr>
              <w:jc w:val="right"/>
              <w:rPr>
                <w:rFonts w:ascii="Arial" w:hAnsi="Arial" w:cs="Arial"/>
                <w:color w:val="000000"/>
                <w:sz w:val="22"/>
                <w:szCs w:val="22"/>
              </w:rPr>
            </w:pPr>
            <w:r>
              <w:rPr>
                <w:rFonts w:ascii="Arial" w:hAnsi="Arial" w:cs="Arial"/>
                <w:color w:val="000000"/>
                <w:sz w:val="22"/>
                <w:szCs w:val="22"/>
              </w:rPr>
              <w:t>93 076 540 Ft</w:t>
            </w:r>
          </w:p>
        </w:tc>
        <w:tc>
          <w:tcPr>
            <w:tcW w:w="1900" w:type="dxa"/>
            <w:tcBorders>
              <w:top w:val="nil"/>
              <w:left w:val="nil"/>
              <w:bottom w:val="single" w:sz="4" w:space="0" w:color="auto"/>
              <w:right w:val="single" w:sz="8" w:space="0" w:color="auto"/>
            </w:tcBorders>
            <w:noWrap/>
            <w:vAlign w:val="bottom"/>
            <w:hideMark/>
          </w:tcPr>
          <w:p w14:paraId="5406A0C3"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-5 768 618 Ft</w:t>
            </w:r>
          </w:p>
        </w:tc>
      </w:tr>
      <w:tr w:rsidR="00F31C81" w14:paraId="0BCBF4F4" w14:textId="77777777" w:rsidTr="00F31C81">
        <w:trPr>
          <w:trHeight w:val="285"/>
        </w:trPr>
        <w:tc>
          <w:tcPr>
            <w:tcW w:w="3760" w:type="dxa"/>
            <w:tcBorders>
              <w:top w:val="nil"/>
              <w:left w:val="single" w:sz="8" w:space="0" w:color="auto"/>
              <w:bottom w:val="single" w:sz="4" w:space="0" w:color="auto"/>
              <w:right w:val="single" w:sz="4" w:space="0" w:color="auto"/>
            </w:tcBorders>
            <w:vAlign w:val="center"/>
            <w:hideMark/>
          </w:tcPr>
          <w:p w14:paraId="75D0CA7C" w14:textId="77777777" w:rsidR="00F31C81" w:rsidRDefault="00F31C81">
            <w:pPr>
              <w:jc w:val="both"/>
              <w:rPr>
                <w:rFonts w:ascii="Arial" w:hAnsi="Arial" w:cs="Arial"/>
                <w:color w:val="000000"/>
                <w:sz w:val="22"/>
                <w:szCs w:val="22"/>
              </w:rPr>
            </w:pPr>
            <w:r>
              <w:rPr>
                <w:rFonts w:ascii="Arial" w:hAnsi="Arial" w:cs="Arial"/>
                <w:color w:val="000000"/>
                <w:sz w:val="22"/>
                <w:szCs w:val="22"/>
              </w:rPr>
              <w:t>Felhalmozási bevételek</w:t>
            </w:r>
          </w:p>
        </w:tc>
        <w:tc>
          <w:tcPr>
            <w:tcW w:w="2100" w:type="dxa"/>
            <w:tcBorders>
              <w:top w:val="nil"/>
              <w:left w:val="nil"/>
              <w:bottom w:val="single" w:sz="4" w:space="0" w:color="auto"/>
              <w:right w:val="single" w:sz="4" w:space="0" w:color="auto"/>
            </w:tcBorders>
            <w:vAlign w:val="bottom"/>
            <w:hideMark/>
          </w:tcPr>
          <w:p w14:paraId="65F4DDC6" w14:textId="77777777" w:rsidR="00F31C81" w:rsidRDefault="00F31C81">
            <w:pPr>
              <w:jc w:val="right"/>
              <w:rPr>
                <w:rFonts w:ascii="Arial" w:hAnsi="Arial" w:cs="Arial"/>
                <w:color w:val="000000"/>
                <w:sz w:val="22"/>
                <w:szCs w:val="22"/>
              </w:rPr>
            </w:pPr>
            <w:r>
              <w:rPr>
                <w:rFonts w:ascii="Arial" w:hAnsi="Arial" w:cs="Arial"/>
                <w:color w:val="000000"/>
                <w:sz w:val="22"/>
                <w:szCs w:val="22"/>
              </w:rPr>
              <w:t>131 987 333 Ft</w:t>
            </w:r>
          </w:p>
        </w:tc>
        <w:tc>
          <w:tcPr>
            <w:tcW w:w="2020" w:type="dxa"/>
            <w:tcBorders>
              <w:top w:val="nil"/>
              <w:left w:val="nil"/>
              <w:bottom w:val="single" w:sz="4" w:space="0" w:color="auto"/>
              <w:right w:val="single" w:sz="4" w:space="0" w:color="auto"/>
            </w:tcBorders>
            <w:noWrap/>
            <w:vAlign w:val="bottom"/>
            <w:hideMark/>
          </w:tcPr>
          <w:p w14:paraId="7DECCFF7" w14:textId="77777777" w:rsidR="00F31C81" w:rsidRDefault="00F31C81">
            <w:pPr>
              <w:jc w:val="right"/>
              <w:rPr>
                <w:rFonts w:ascii="Arial" w:hAnsi="Arial" w:cs="Arial"/>
                <w:color w:val="000000"/>
                <w:sz w:val="22"/>
                <w:szCs w:val="22"/>
              </w:rPr>
            </w:pPr>
            <w:r>
              <w:rPr>
                <w:rFonts w:ascii="Arial" w:hAnsi="Arial" w:cs="Arial"/>
                <w:color w:val="000000"/>
                <w:sz w:val="22"/>
                <w:szCs w:val="22"/>
              </w:rPr>
              <w:t>116 792 419 Ft</w:t>
            </w:r>
          </w:p>
        </w:tc>
        <w:tc>
          <w:tcPr>
            <w:tcW w:w="1900" w:type="dxa"/>
            <w:tcBorders>
              <w:top w:val="nil"/>
              <w:left w:val="nil"/>
              <w:bottom w:val="single" w:sz="4" w:space="0" w:color="auto"/>
              <w:right w:val="single" w:sz="8" w:space="0" w:color="auto"/>
            </w:tcBorders>
            <w:noWrap/>
            <w:vAlign w:val="bottom"/>
            <w:hideMark/>
          </w:tcPr>
          <w:p w14:paraId="00F32B2C"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-15 194 914 Ft</w:t>
            </w:r>
          </w:p>
        </w:tc>
      </w:tr>
      <w:tr w:rsidR="00F31C81" w14:paraId="2DB55A63" w14:textId="77777777" w:rsidTr="00F31C81">
        <w:trPr>
          <w:trHeight w:val="285"/>
        </w:trPr>
        <w:tc>
          <w:tcPr>
            <w:tcW w:w="3760" w:type="dxa"/>
            <w:tcBorders>
              <w:top w:val="nil"/>
              <w:left w:val="single" w:sz="8" w:space="0" w:color="auto"/>
              <w:bottom w:val="single" w:sz="4" w:space="0" w:color="auto"/>
              <w:right w:val="single" w:sz="4" w:space="0" w:color="auto"/>
            </w:tcBorders>
            <w:vAlign w:val="center"/>
            <w:hideMark/>
          </w:tcPr>
          <w:p w14:paraId="2A80F070" w14:textId="77777777" w:rsidR="00F31C81" w:rsidRDefault="00F31C81">
            <w:pPr>
              <w:jc w:val="both"/>
              <w:rPr>
                <w:rFonts w:ascii="Arial" w:hAnsi="Arial" w:cs="Arial"/>
                <w:color w:val="000000"/>
                <w:sz w:val="22"/>
                <w:szCs w:val="22"/>
              </w:rPr>
            </w:pPr>
            <w:r>
              <w:rPr>
                <w:rFonts w:ascii="Arial" w:hAnsi="Arial" w:cs="Arial"/>
                <w:color w:val="000000"/>
                <w:sz w:val="22"/>
                <w:szCs w:val="22"/>
              </w:rPr>
              <w:t>Működési célú átvett pénzeszközök</w:t>
            </w:r>
          </w:p>
        </w:tc>
        <w:tc>
          <w:tcPr>
            <w:tcW w:w="2100" w:type="dxa"/>
            <w:tcBorders>
              <w:top w:val="nil"/>
              <w:left w:val="nil"/>
              <w:bottom w:val="single" w:sz="4" w:space="0" w:color="auto"/>
              <w:right w:val="single" w:sz="4" w:space="0" w:color="auto"/>
            </w:tcBorders>
            <w:vAlign w:val="bottom"/>
            <w:hideMark/>
          </w:tcPr>
          <w:p w14:paraId="2F94B5B8" w14:textId="77777777" w:rsidR="00F31C81" w:rsidRDefault="00F31C81">
            <w:pPr>
              <w:jc w:val="right"/>
              <w:rPr>
                <w:rFonts w:ascii="Arial" w:hAnsi="Arial" w:cs="Arial"/>
                <w:color w:val="000000"/>
                <w:sz w:val="22"/>
                <w:szCs w:val="22"/>
              </w:rPr>
            </w:pPr>
            <w:r>
              <w:rPr>
                <w:rFonts w:ascii="Arial" w:hAnsi="Arial" w:cs="Arial"/>
                <w:color w:val="000000"/>
                <w:sz w:val="22"/>
                <w:szCs w:val="22"/>
              </w:rPr>
              <w:t>0 Ft</w:t>
            </w:r>
          </w:p>
        </w:tc>
        <w:tc>
          <w:tcPr>
            <w:tcW w:w="2020" w:type="dxa"/>
            <w:tcBorders>
              <w:top w:val="nil"/>
              <w:left w:val="nil"/>
              <w:bottom w:val="single" w:sz="4" w:space="0" w:color="auto"/>
              <w:right w:val="single" w:sz="4" w:space="0" w:color="auto"/>
            </w:tcBorders>
            <w:noWrap/>
            <w:vAlign w:val="bottom"/>
            <w:hideMark/>
          </w:tcPr>
          <w:p w14:paraId="770C1870" w14:textId="77777777" w:rsidR="00F31C81" w:rsidRDefault="00F31C81">
            <w:pPr>
              <w:jc w:val="right"/>
              <w:rPr>
                <w:rFonts w:ascii="Arial" w:hAnsi="Arial" w:cs="Arial"/>
                <w:color w:val="000000"/>
                <w:sz w:val="22"/>
                <w:szCs w:val="22"/>
              </w:rPr>
            </w:pPr>
            <w:r>
              <w:rPr>
                <w:rFonts w:ascii="Arial" w:hAnsi="Arial" w:cs="Arial"/>
                <w:color w:val="000000"/>
                <w:sz w:val="22"/>
                <w:szCs w:val="22"/>
              </w:rPr>
              <w:t>4 679 240 Ft</w:t>
            </w:r>
          </w:p>
        </w:tc>
        <w:tc>
          <w:tcPr>
            <w:tcW w:w="1900" w:type="dxa"/>
            <w:tcBorders>
              <w:top w:val="nil"/>
              <w:left w:val="nil"/>
              <w:bottom w:val="single" w:sz="4" w:space="0" w:color="auto"/>
              <w:right w:val="single" w:sz="8" w:space="0" w:color="auto"/>
            </w:tcBorders>
            <w:noWrap/>
            <w:vAlign w:val="bottom"/>
            <w:hideMark/>
          </w:tcPr>
          <w:p w14:paraId="261278E9"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4 679 240 Ft</w:t>
            </w:r>
          </w:p>
        </w:tc>
      </w:tr>
      <w:tr w:rsidR="00F31C81" w14:paraId="4B46526C" w14:textId="77777777" w:rsidTr="00F31C81">
        <w:trPr>
          <w:trHeight w:val="570"/>
        </w:trPr>
        <w:tc>
          <w:tcPr>
            <w:tcW w:w="3760" w:type="dxa"/>
            <w:tcBorders>
              <w:top w:val="nil"/>
              <w:left w:val="single" w:sz="8" w:space="0" w:color="auto"/>
              <w:bottom w:val="single" w:sz="4" w:space="0" w:color="auto"/>
              <w:right w:val="single" w:sz="4" w:space="0" w:color="auto"/>
            </w:tcBorders>
            <w:vAlign w:val="center"/>
            <w:hideMark/>
          </w:tcPr>
          <w:p w14:paraId="21595658" w14:textId="77777777" w:rsidR="00F31C81" w:rsidRDefault="00F31C81">
            <w:pPr>
              <w:jc w:val="both"/>
              <w:rPr>
                <w:rFonts w:ascii="Arial" w:hAnsi="Arial" w:cs="Arial"/>
                <w:color w:val="000000"/>
                <w:sz w:val="22"/>
                <w:szCs w:val="22"/>
              </w:rPr>
            </w:pPr>
            <w:r>
              <w:rPr>
                <w:rFonts w:ascii="Arial" w:hAnsi="Arial" w:cs="Arial"/>
                <w:color w:val="000000"/>
                <w:sz w:val="22"/>
                <w:szCs w:val="22"/>
              </w:rPr>
              <w:t>Felhalmozási célú átvett pénzeszközök</w:t>
            </w:r>
          </w:p>
        </w:tc>
        <w:tc>
          <w:tcPr>
            <w:tcW w:w="2100" w:type="dxa"/>
            <w:tcBorders>
              <w:top w:val="nil"/>
              <w:left w:val="nil"/>
              <w:bottom w:val="single" w:sz="4" w:space="0" w:color="auto"/>
              <w:right w:val="single" w:sz="4" w:space="0" w:color="auto"/>
            </w:tcBorders>
            <w:vAlign w:val="bottom"/>
            <w:hideMark/>
          </w:tcPr>
          <w:p w14:paraId="7B52214B" w14:textId="77777777" w:rsidR="00F31C81" w:rsidRDefault="00F31C81">
            <w:pPr>
              <w:jc w:val="right"/>
              <w:rPr>
                <w:rFonts w:ascii="Arial" w:hAnsi="Arial" w:cs="Arial"/>
                <w:color w:val="000000"/>
                <w:sz w:val="22"/>
                <w:szCs w:val="22"/>
              </w:rPr>
            </w:pPr>
            <w:r>
              <w:rPr>
                <w:rFonts w:ascii="Arial" w:hAnsi="Arial" w:cs="Arial"/>
                <w:color w:val="000000"/>
                <w:sz w:val="22"/>
                <w:szCs w:val="22"/>
              </w:rPr>
              <w:t>0 Ft</w:t>
            </w:r>
          </w:p>
        </w:tc>
        <w:tc>
          <w:tcPr>
            <w:tcW w:w="2020" w:type="dxa"/>
            <w:tcBorders>
              <w:top w:val="nil"/>
              <w:left w:val="nil"/>
              <w:bottom w:val="single" w:sz="4" w:space="0" w:color="auto"/>
              <w:right w:val="single" w:sz="4" w:space="0" w:color="auto"/>
            </w:tcBorders>
            <w:noWrap/>
            <w:vAlign w:val="bottom"/>
            <w:hideMark/>
          </w:tcPr>
          <w:p w14:paraId="18D42459" w14:textId="77777777" w:rsidR="00F31C81" w:rsidRDefault="00F31C81">
            <w:pPr>
              <w:jc w:val="right"/>
              <w:rPr>
                <w:rFonts w:ascii="Arial" w:hAnsi="Arial" w:cs="Arial"/>
                <w:color w:val="000000"/>
                <w:sz w:val="22"/>
                <w:szCs w:val="22"/>
              </w:rPr>
            </w:pPr>
            <w:r>
              <w:rPr>
                <w:rFonts w:ascii="Arial" w:hAnsi="Arial" w:cs="Arial"/>
                <w:color w:val="000000"/>
                <w:sz w:val="22"/>
                <w:szCs w:val="22"/>
              </w:rPr>
              <w:t>0 Ft</w:t>
            </w:r>
          </w:p>
        </w:tc>
        <w:tc>
          <w:tcPr>
            <w:tcW w:w="1900" w:type="dxa"/>
            <w:tcBorders>
              <w:top w:val="nil"/>
              <w:left w:val="nil"/>
              <w:bottom w:val="single" w:sz="4" w:space="0" w:color="auto"/>
              <w:right w:val="single" w:sz="8" w:space="0" w:color="auto"/>
            </w:tcBorders>
            <w:noWrap/>
            <w:vAlign w:val="bottom"/>
            <w:hideMark/>
          </w:tcPr>
          <w:p w14:paraId="1D83259A"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0 Ft</w:t>
            </w:r>
          </w:p>
        </w:tc>
      </w:tr>
      <w:tr w:rsidR="00F31C81" w14:paraId="06D51166" w14:textId="77777777" w:rsidTr="00F31C81">
        <w:trPr>
          <w:trHeight w:val="600"/>
        </w:trPr>
        <w:tc>
          <w:tcPr>
            <w:tcW w:w="3760" w:type="dxa"/>
            <w:tcBorders>
              <w:top w:val="nil"/>
              <w:left w:val="single" w:sz="8" w:space="0" w:color="auto"/>
              <w:bottom w:val="single" w:sz="4" w:space="0" w:color="auto"/>
              <w:right w:val="single" w:sz="4" w:space="0" w:color="auto"/>
            </w:tcBorders>
            <w:vAlign w:val="center"/>
            <w:hideMark/>
          </w:tcPr>
          <w:p w14:paraId="63D4CC07" w14:textId="77777777" w:rsidR="00F31C81" w:rsidRDefault="00F31C81">
            <w:pPr>
              <w:jc w:val="both"/>
              <w:rPr>
                <w:rFonts w:ascii="Arial" w:hAnsi="Arial" w:cs="Arial"/>
                <w:b/>
                <w:bCs/>
                <w:color w:val="000000"/>
                <w:sz w:val="22"/>
                <w:szCs w:val="22"/>
              </w:rPr>
            </w:pPr>
            <w:r>
              <w:rPr>
                <w:rFonts w:ascii="Arial" w:hAnsi="Arial" w:cs="Arial"/>
                <w:b/>
                <w:bCs/>
                <w:color w:val="000000"/>
                <w:sz w:val="22"/>
                <w:szCs w:val="22"/>
              </w:rPr>
              <w:t>Költségvetési bevételek összesen:</w:t>
            </w:r>
          </w:p>
        </w:tc>
        <w:tc>
          <w:tcPr>
            <w:tcW w:w="2100" w:type="dxa"/>
            <w:tcBorders>
              <w:top w:val="nil"/>
              <w:left w:val="nil"/>
              <w:bottom w:val="single" w:sz="4" w:space="0" w:color="auto"/>
              <w:right w:val="single" w:sz="4" w:space="0" w:color="auto"/>
            </w:tcBorders>
            <w:vAlign w:val="bottom"/>
            <w:hideMark/>
          </w:tcPr>
          <w:p w14:paraId="75A41DBA"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2 068 037 009 Ft</w:t>
            </w:r>
          </w:p>
        </w:tc>
        <w:tc>
          <w:tcPr>
            <w:tcW w:w="2020" w:type="dxa"/>
            <w:tcBorders>
              <w:top w:val="nil"/>
              <w:left w:val="nil"/>
              <w:bottom w:val="single" w:sz="4" w:space="0" w:color="auto"/>
              <w:right w:val="single" w:sz="4" w:space="0" w:color="auto"/>
            </w:tcBorders>
            <w:noWrap/>
            <w:vAlign w:val="bottom"/>
            <w:hideMark/>
          </w:tcPr>
          <w:p w14:paraId="34156C12"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2 083 051 923 Ft</w:t>
            </w:r>
          </w:p>
        </w:tc>
        <w:tc>
          <w:tcPr>
            <w:tcW w:w="1900" w:type="dxa"/>
            <w:tcBorders>
              <w:top w:val="nil"/>
              <w:left w:val="nil"/>
              <w:bottom w:val="single" w:sz="4" w:space="0" w:color="auto"/>
              <w:right w:val="single" w:sz="8" w:space="0" w:color="auto"/>
            </w:tcBorders>
            <w:noWrap/>
            <w:vAlign w:val="bottom"/>
            <w:hideMark/>
          </w:tcPr>
          <w:p w14:paraId="34DFBFFD" w14:textId="77777777" w:rsidR="00F31C81" w:rsidRDefault="00F31C81">
            <w:pPr>
              <w:jc w:val="right"/>
              <w:rPr>
                <w:rFonts w:ascii="Aptos Narrow" w:hAnsi="Aptos Narrow"/>
                <w:b/>
                <w:bCs/>
                <w:color w:val="000000"/>
                <w:sz w:val="22"/>
                <w:szCs w:val="22"/>
              </w:rPr>
            </w:pPr>
            <w:r>
              <w:rPr>
                <w:rFonts w:ascii="Aptos Narrow" w:hAnsi="Aptos Narrow"/>
                <w:b/>
                <w:bCs/>
                <w:color w:val="000000"/>
                <w:sz w:val="22"/>
                <w:szCs w:val="22"/>
              </w:rPr>
              <w:t>15 014 914 Ft</w:t>
            </w:r>
          </w:p>
        </w:tc>
      </w:tr>
      <w:tr w:rsidR="00F31C81" w14:paraId="35D0384A" w14:textId="77777777" w:rsidTr="00F31C81">
        <w:trPr>
          <w:trHeight w:val="570"/>
        </w:trPr>
        <w:tc>
          <w:tcPr>
            <w:tcW w:w="3760" w:type="dxa"/>
            <w:tcBorders>
              <w:top w:val="nil"/>
              <w:left w:val="single" w:sz="8" w:space="0" w:color="auto"/>
              <w:bottom w:val="single" w:sz="4" w:space="0" w:color="auto"/>
              <w:right w:val="single" w:sz="4" w:space="0" w:color="auto"/>
            </w:tcBorders>
            <w:vAlign w:val="center"/>
            <w:hideMark/>
          </w:tcPr>
          <w:p w14:paraId="37092A48" w14:textId="77777777" w:rsidR="00F31C81" w:rsidRDefault="00F31C81">
            <w:pPr>
              <w:jc w:val="both"/>
              <w:rPr>
                <w:rFonts w:ascii="Arial" w:hAnsi="Arial" w:cs="Arial"/>
                <w:color w:val="000000"/>
                <w:sz w:val="22"/>
                <w:szCs w:val="22"/>
              </w:rPr>
            </w:pPr>
            <w:r>
              <w:rPr>
                <w:rFonts w:ascii="Arial" w:hAnsi="Arial" w:cs="Arial"/>
                <w:color w:val="000000"/>
                <w:sz w:val="22"/>
                <w:szCs w:val="22"/>
              </w:rPr>
              <w:t>Költségvetési maradvány igénybevétele</w:t>
            </w:r>
          </w:p>
        </w:tc>
        <w:tc>
          <w:tcPr>
            <w:tcW w:w="2100" w:type="dxa"/>
            <w:tcBorders>
              <w:top w:val="nil"/>
              <w:left w:val="nil"/>
              <w:bottom w:val="single" w:sz="4" w:space="0" w:color="auto"/>
              <w:right w:val="single" w:sz="4" w:space="0" w:color="auto"/>
            </w:tcBorders>
            <w:vAlign w:val="bottom"/>
            <w:hideMark/>
          </w:tcPr>
          <w:p w14:paraId="75A7D6C8" w14:textId="77777777" w:rsidR="00F31C81" w:rsidRDefault="00F31C81">
            <w:pPr>
              <w:jc w:val="right"/>
              <w:rPr>
                <w:rFonts w:ascii="Arial" w:hAnsi="Arial" w:cs="Arial"/>
                <w:color w:val="000000"/>
                <w:sz w:val="22"/>
                <w:szCs w:val="22"/>
              </w:rPr>
            </w:pPr>
            <w:r>
              <w:rPr>
                <w:rFonts w:ascii="Arial" w:hAnsi="Arial" w:cs="Arial"/>
                <w:color w:val="000000"/>
                <w:sz w:val="22"/>
                <w:szCs w:val="22"/>
              </w:rPr>
              <w:t>706 729 294 Ft</w:t>
            </w:r>
          </w:p>
        </w:tc>
        <w:tc>
          <w:tcPr>
            <w:tcW w:w="2020" w:type="dxa"/>
            <w:tcBorders>
              <w:top w:val="nil"/>
              <w:left w:val="nil"/>
              <w:bottom w:val="single" w:sz="4" w:space="0" w:color="auto"/>
              <w:right w:val="single" w:sz="4" w:space="0" w:color="auto"/>
            </w:tcBorders>
            <w:noWrap/>
            <w:vAlign w:val="bottom"/>
            <w:hideMark/>
          </w:tcPr>
          <w:p w14:paraId="42E7B390" w14:textId="77777777" w:rsidR="00F31C81" w:rsidRDefault="00F31C81">
            <w:pPr>
              <w:jc w:val="right"/>
              <w:rPr>
                <w:rFonts w:ascii="Arial" w:hAnsi="Arial" w:cs="Arial"/>
                <w:color w:val="000000"/>
                <w:sz w:val="22"/>
                <w:szCs w:val="22"/>
              </w:rPr>
            </w:pPr>
            <w:r>
              <w:rPr>
                <w:rFonts w:ascii="Arial" w:hAnsi="Arial" w:cs="Arial"/>
                <w:color w:val="000000"/>
                <w:sz w:val="22"/>
                <w:szCs w:val="22"/>
              </w:rPr>
              <w:t>1 044 842 293 Ft</w:t>
            </w:r>
          </w:p>
        </w:tc>
        <w:tc>
          <w:tcPr>
            <w:tcW w:w="1900" w:type="dxa"/>
            <w:tcBorders>
              <w:top w:val="nil"/>
              <w:left w:val="nil"/>
              <w:bottom w:val="single" w:sz="4" w:space="0" w:color="auto"/>
              <w:right w:val="single" w:sz="8" w:space="0" w:color="auto"/>
            </w:tcBorders>
            <w:noWrap/>
            <w:vAlign w:val="bottom"/>
            <w:hideMark/>
          </w:tcPr>
          <w:p w14:paraId="4DE06D5C" w14:textId="77777777" w:rsidR="00F31C81" w:rsidRDefault="00F31C81">
            <w:pPr>
              <w:jc w:val="right"/>
              <w:rPr>
                <w:rFonts w:ascii="Aptos Narrow" w:hAnsi="Aptos Narrow"/>
                <w:color w:val="000000"/>
                <w:sz w:val="22"/>
                <w:szCs w:val="22"/>
              </w:rPr>
            </w:pPr>
            <w:r>
              <w:rPr>
                <w:rFonts w:ascii="Aptos Narrow" w:hAnsi="Aptos Narrow"/>
                <w:color w:val="000000"/>
                <w:sz w:val="22"/>
                <w:szCs w:val="22"/>
              </w:rPr>
              <w:t>338 112 999 Ft</w:t>
            </w:r>
          </w:p>
        </w:tc>
      </w:tr>
      <w:tr w:rsidR="00F31C81" w14:paraId="16C318FE" w14:textId="77777777" w:rsidTr="00F31C81">
        <w:trPr>
          <w:trHeight w:val="615"/>
        </w:trPr>
        <w:tc>
          <w:tcPr>
            <w:tcW w:w="3760" w:type="dxa"/>
            <w:tcBorders>
              <w:top w:val="nil"/>
              <w:left w:val="single" w:sz="8" w:space="0" w:color="auto"/>
              <w:bottom w:val="single" w:sz="8" w:space="0" w:color="auto"/>
              <w:right w:val="single" w:sz="4" w:space="0" w:color="auto"/>
            </w:tcBorders>
            <w:vAlign w:val="center"/>
            <w:hideMark/>
          </w:tcPr>
          <w:p w14:paraId="100C4EDF" w14:textId="77777777" w:rsidR="00F31C81" w:rsidRDefault="00F31C81">
            <w:pPr>
              <w:jc w:val="both"/>
              <w:rPr>
                <w:rFonts w:ascii="Arial" w:hAnsi="Arial" w:cs="Arial"/>
                <w:b/>
                <w:bCs/>
                <w:color w:val="000000"/>
                <w:sz w:val="22"/>
                <w:szCs w:val="22"/>
              </w:rPr>
            </w:pPr>
            <w:proofErr w:type="gramStart"/>
            <w:r>
              <w:rPr>
                <w:rFonts w:ascii="Arial" w:hAnsi="Arial" w:cs="Arial"/>
                <w:b/>
                <w:bCs/>
                <w:color w:val="000000"/>
                <w:sz w:val="22"/>
                <w:szCs w:val="22"/>
              </w:rPr>
              <w:t>Finanszírozási</w:t>
            </w:r>
            <w:proofErr w:type="gramEnd"/>
            <w:r>
              <w:rPr>
                <w:rFonts w:ascii="Arial" w:hAnsi="Arial" w:cs="Arial"/>
                <w:b/>
                <w:bCs/>
                <w:color w:val="000000"/>
                <w:sz w:val="22"/>
                <w:szCs w:val="22"/>
              </w:rPr>
              <w:t xml:space="preserve"> bevételek összesen:</w:t>
            </w:r>
          </w:p>
        </w:tc>
        <w:tc>
          <w:tcPr>
            <w:tcW w:w="2100" w:type="dxa"/>
            <w:tcBorders>
              <w:top w:val="nil"/>
              <w:left w:val="nil"/>
              <w:bottom w:val="single" w:sz="8" w:space="0" w:color="auto"/>
              <w:right w:val="single" w:sz="4" w:space="0" w:color="auto"/>
            </w:tcBorders>
            <w:vAlign w:val="bottom"/>
            <w:hideMark/>
          </w:tcPr>
          <w:p w14:paraId="433A6846"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706 729 294 Ft</w:t>
            </w:r>
          </w:p>
        </w:tc>
        <w:tc>
          <w:tcPr>
            <w:tcW w:w="2020" w:type="dxa"/>
            <w:tcBorders>
              <w:top w:val="nil"/>
              <w:left w:val="nil"/>
              <w:bottom w:val="single" w:sz="8" w:space="0" w:color="auto"/>
              <w:right w:val="single" w:sz="4" w:space="0" w:color="auto"/>
            </w:tcBorders>
            <w:noWrap/>
            <w:vAlign w:val="bottom"/>
            <w:hideMark/>
          </w:tcPr>
          <w:p w14:paraId="32BF262A"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1 044 842 293 Ft</w:t>
            </w:r>
          </w:p>
        </w:tc>
        <w:tc>
          <w:tcPr>
            <w:tcW w:w="1900" w:type="dxa"/>
            <w:tcBorders>
              <w:top w:val="nil"/>
              <w:left w:val="nil"/>
              <w:bottom w:val="single" w:sz="8" w:space="0" w:color="auto"/>
              <w:right w:val="single" w:sz="8" w:space="0" w:color="auto"/>
            </w:tcBorders>
            <w:noWrap/>
            <w:vAlign w:val="bottom"/>
            <w:hideMark/>
          </w:tcPr>
          <w:p w14:paraId="6A27DFD7" w14:textId="77777777" w:rsidR="00F31C81" w:rsidRDefault="00F31C81">
            <w:pPr>
              <w:jc w:val="right"/>
              <w:rPr>
                <w:rFonts w:ascii="Aptos Narrow" w:hAnsi="Aptos Narrow"/>
                <w:b/>
                <w:bCs/>
                <w:color w:val="000000"/>
                <w:sz w:val="22"/>
                <w:szCs w:val="22"/>
              </w:rPr>
            </w:pPr>
            <w:r>
              <w:rPr>
                <w:rFonts w:ascii="Aptos Narrow" w:hAnsi="Aptos Narrow"/>
                <w:b/>
                <w:bCs/>
                <w:color w:val="000000"/>
                <w:sz w:val="22"/>
                <w:szCs w:val="22"/>
              </w:rPr>
              <w:t>338 112 999 Ft</w:t>
            </w:r>
          </w:p>
        </w:tc>
      </w:tr>
      <w:tr w:rsidR="00F31C81" w14:paraId="27662E11" w14:textId="77777777" w:rsidTr="00F31C81">
        <w:trPr>
          <w:trHeight w:val="315"/>
        </w:trPr>
        <w:tc>
          <w:tcPr>
            <w:tcW w:w="3760" w:type="dxa"/>
            <w:tcBorders>
              <w:top w:val="nil"/>
              <w:left w:val="single" w:sz="8" w:space="0" w:color="auto"/>
              <w:bottom w:val="single" w:sz="8" w:space="0" w:color="auto"/>
              <w:right w:val="single" w:sz="4" w:space="0" w:color="auto"/>
            </w:tcBorders>
            <w:vAlign w:val="center"/>
            <w:hideMark/>
          </w:tcPr>
          <w:p w14:paraId="55A2929A" w14:textId="77777777" w:rsidR="00F31C81" w:rsidRDefault="00F31C81">
            <w:pPr>
              <w:jc w:val="both"/>
              <w:rPr>
                <w:rFonts w:ascii="Arial" w:hAnsi="Arial" w:cs="Arial"/>
                <w:b/>
                <w:bCs/>
                <w:color w:val="000000"/>
                <w:sz w:val="22"/>
                <w:szCs w:val="22"/>
              </w:rPr>
            </w:pPr>
            <w:r>
              <w:rPr>
                <w:rFonts w:ascii="Arial" w:hAnsi="Arial" w:cs="Arial"/>
                <w:b/>
                <w:bCs/>
                <w:color w:val="000000"/>
                <w:sz w:val="22"/>
                <w:szCs w:val="22"/>
              </w:rPr>
              <w:t>BEVÉTELEK ÖSSZESEN:</w:t>
            </w:r>
          </w:p>
        </w:tc>
        <w:tc>
          <w:tcPr>
            <w:tcW w:w="2100" w:type="dxa"/>
            <w:tcBorders>
              <w:top w:val="nil"/>
              <w:left w:val="nil"/>
              <w:bottom w:val="single" w:sz="8" w:space="0" w:color="auto"/>
              <w:right w:val="single" w:sz="4" w:space="0" w:color="auto"/>
            </w:tcBorders>
            <w:noWrap/>
            <w:vAlign w:val="bottom"/>
            <w:hideMark/>
          </w:tcPr>
          <w:p w14:paraId="58DEFEFA"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2 774 766 303 Ft</w:t>
            </w:r>
          </w:p>
        </w:tc>
        <w:tc>
          <w:tcPr>
            <w:tcW w:w="2020" w:type="dxa"/>
            <w:tcBorders>
              <w:top w:val="nil"/>
              <w:left w:val="nil"/>
              <w:bottom w:val="single" w:sz="8" w:space="0" w:color="auto"/>
              <w:right w:val="single" w:sz="4" w:space="0" w:color="auto"/>
            </w:tcBorders>
            <w:noWrap/>
            <w:vAlign w:val="bottom"/>
            <w:hideMark/>
          </w:tcPr>
          <w:p w14:paraId="7DE89F46" w14:textId="77777777" w:rsidR="00F31C81" w:rsidRDefault="00F31C81">
            <w:pPr>
              <w:jc w:val="right"/>
              <w:rPr>
                <w:rFonts w:ascii="Arial" w:hAnsi="Arial" w:cs="Arial"/>
                <w:b/>
                <w:bCs/>
                <w:color w:val="000000"/>
                <w:sz w:val="22"/>
                <w:szCs w:val="22"/>
              </w:rPr>
            </w:pPr>
            <w:r>
              <w:rPr>
                <w:rFonts w:ascii="Arial" w:hAnsi="Arial" w:cs="Arial"/>
                <w:b/>
                <w:bCs/>
                <w:color w:val="000000"/>
                <w:sz w:val="22"/>
                <w:szCs w:val="22"/>
              </w:rPr>
              <w:t>3 127 894 216 Ft</w:t>
            </w:r>
          </w:p>
        </w:tc>
        <w:tc>
          <w:tcPr>
            <w:tcW w:w="1900" w:type="dxa"/>
            <w:tcBorders>
              <w:top w:val="nil"/>
              <w:left w:val="nil"/>
              <w:bottom w:val="single" w:sz="8" w:space="0" w:color="auto"/>
              <w:right w:val="single" w:sz="8" w:space="0" w:color="auto"/>
            </w:tcBorders>
            <w:noWrap/>
            <w:vAlign w:val="bottom"/>
            <w:hideMark/>
          </w:tcPr>
          <w:p w14:paraId="60333431" w14:textId="77777777" w:rsidR="00F31C81" w:rsidRDefault="00F31C81">
            <w:pPr>
              <w:jc w:val="right"/>
              <w:rPr>
                <w:rFonts w:ascii="Aptos Narrow" w:hAnsi="Aptos Narrow"/>
                <w:b/>
                <w:bCs/>
                <w:color w:val="000000"/>
                <w:sz w:val="22"/>
                <w:szCs w:val="22"/>
              </w:rPr>
            </w:pPr>
            <w:r>
              <w:rPr>
                <w:rFonts w:ascii="Aptos Narrow" w:hAnsi="Aptos Narrow"/>
                <w:b/>
                <w:bCs/>
                <w:color w:val="000000"/>
                <w:sz w:val="22"/>
                <w:szCs w:val="22"/>
              </w:rPr>
              <w:t>353 127 913 Ft</w:t>
            </w:r>
          </w:p>
        </w:tc>
      </w:tr>
    </w:tbl>
    <w:p w14:paraId="02E34D99" w14:textId="77777777" w:rsidR="006325C2" w:rsidRPr="00AE7B18" w:rsidRDefault="006325C2" w:rsidP="006325C2">
      <w:pPr>
        <w:spacing w:after="160" w:line="276" w:lineRule="auto"/>
        <w:jc w:val="both"/>
        <w:rPr>
          <w:rFonts w:ascii="Arial" w:eastAsia="Calibri" w:hAnsi="Arial" w:cs="Arial"/>
          <w:sz w:val="22"/>
          <w:szCs w:val="22"/>
          <w:highlight w:val="yellow"/>
          <w:lang w:eastAsia="en-US"/>
        </w:rPr>
      </w:pPr>
    </w:p>
    <w:p w14:paraId="448FC0E4" w14:textId="7AE4C71D" w:rsidR="00E40A56" w:rsidRDefault="004B6EC0" w:rsidP="006325C2">
      <w:pPr>
        <w:spacing w:line="276" w:lineRule="auto"/>
        <w:jc w:val="both"/>
        <w:rPr>
          <w:rFonts w:ascii="Arial" w:hAnsi="Arial" w:cs="Arial"/>
          <w:sz w:val="22"/>
          <w:szCs w:val="22"/>
        </w:rPr>
      </w:pPr>
      <w:r>
        <w:rPr>
          <w:rFonts w:ascii="Arial" w:hAnsi="Arial" w:cs="Arial"/>
          <w:sz w:val="22"/>
          <w:szCs w:val="22"/>
        </w:rPr>
        <w:t>A működési célú támogatások államháztartáson belülről előirányzat 1 267 839 796 Ft összege tartalmazza az önkormányzat működési támogatásait 1 096 274 042 Ft összegben, a működési célú visszatérítendő támogatások 3 000 000 Ft összegű előirányzatát és egyéb működési célú támogatások bevételeit 168 565 754 Ft összegű előirányzatát.</w:t>
      </w:r>
    </w:p>
    <w:p w14:paraId="62245332" w14:textId="77777777" w:rsidR="00264968" w:rsidRDefault="00264968" w:rsidP="006325C2">
      <w:pPr>
        <w:spacing w:line="276" w:lineRule="auto"/>
        <w:jc w:val="both"/>
        <w:rPr>
          <w:rFonts w:ascii="Arial" w:hAnsi="Arial" w:cs="Arial"/>
          <w:b/>
          <w:sz w:val="22"/>
          <w:szCs w:val="22"/>
        </w:rPr>
      </w:pPr>
    </w:p>
    <w:p w14:paraId="2B624671" w14:textId="030A4572" w:rsidR="00C06B54" w:rsidRPr="00EB10D0" w:rsidRDefault="006325C2" w:rsidP="006325C2">
      <w:pPr>
        <w:spacing w:line="276" w:lineRule="auto"/>
        <w:jc w:val="both"/>
        <w:rPr>
          <w:rFonts w:ascii="Arial" w:hAnsi="Arial" w:cs="Arial"/>
          <w:sz w:val="22"/>
          <w:szCs w:val="22"/>
        </w:rPr>
      </w:pPr>
      <w:r w:rsidRPr="00E40A56">
        <w:rPr>
          <w:rFonts w:ascii="Arial" w:hAnsi="Arial" w:cs="Arial"/>
          <w:b/>
          <w:sz w:val="22"/>
          <w:szCs w:val="22"/>
        </w:rPr>
        <w:t xml:space="preserve">Az </w:t>
      </w:r>
      <w:r w:rsidRPr="00E40A56">
        <w:rPr>
          <w:rFonts w:ascii="Arial" w:hAnsi="Arial" w:cs="Arial"/>
          <w:b/>
          <w:sz w:val="22"/>
          <w:szCs w:val="22"/>
          <w:u w:val="single"/>
        </w:rPr>
        <w:t>Önkormányzat működési támogatása</w:t>
      </w:r>
      <w:r w:rsidR="00E40A56">
        <w:rPr>
          <w:rFonts w:ascii="Arial" w:hAnsi="Arial" w:cs="Arial"/>
          <w:b/>
          <w:sz w:val="22"/>
          <w:szCs w:val="22"/>
          <w:u w:val="single"/>
        </w:rPr>
        <w:t>i</w:t>
      </w:r>
      <w:r w:rsidR="00E40A56" w:rsidRPr="00E40A56">
        <w:rPr>
          <w:rFonts w:ascii="Arial" w:hAnsi="Arial" w:cs="Arial"/>
          <w:b/>
          <w:sz w:val="22"/>
          <w:szCs w:val="22"/>
          <w:u w:val="single"/>
        </w:rPr>
        <w:t xml:space="preserve"> előirányzat</w:t>
      </w:r>
      <w:r w:rsidR="004B6EC0">
        <w:rPr>
          <w:rFonts w:ascii="Arial" w:hAnsi="Arial" w:cs="Arial"/>
          <w:b/>
          <w:sz w:val="22"/>
          <w:szCs w:val="22"/>
        </w:rPr>
        <w:t xml:space="preserve">a 1 096 274 042 </w:t>
      </w:r>
      <w:r w:rsidRPr="00E40A56">
        <w:rPr>
          <w:rFonts w:ascii="Arial" w:hAnsi="Arial" w:cs="Arial"/>
          <w:b/>
          <w:sz w:val="22"/>
          <w:szCs w:val="22"/>
        </w:rPr>
        <w:t>Ft</w:t>
      </w:r>
      <w:r w:rsidR="00E40A56">
        <w:rPr>
          <w:rFonts w:ascii="Arial" w:hAnsi="Arial" w:cs="Arial"/>
          <w:b/>
          <w:sz w:val="22"/>
          <w:szCs w:val="22"/>
        </w:rPr>
        <w:t>,</w:t>
      </w:r>
      <w:r w:rsidRPr="00E40A56">
        <w:rPr>
          <w:rFonts w:ascii="Arial" w:hAnsi="Arial" w:cs="Arial"/>
          <w:sz w:val="22"/>
          <w:szCs w:val="22"/>
        </w:rPr>
        <w:t xml:space="preserve"> </w:t>
      </w:r>
      <w:r w:rsidR="00E40A56" w:rsidRPr="00E40A56">
        <w:rPr>
          <w:rFonts w:ascii="Arial" w:hAnsi="Arial" w:cs="Arial"/>
          <w:sz w:val="22"/>
          <w:szCs w:val="22"/>
        </w:rPr>
        <w:t xml:space="preserve">ami a kötelező feladataink </w:t>
      </w:r>
      <w:r w:rsidRPr="00E40A56">
        <w:rPr>
          <w:rFonts w:ascii="Arial" w:hAnsi="Arial" w:cs="Arial"/>
          <w:sz w:val="22"/>
          <w:szCs w:val="22"/>
        </w:rPr>
        <w:t>ellátásához nyújtott állami támogatás</w:t>
      </w:r>
      <w:r w:rsidR="00F31C81">
        <w:rPr>
          <w:rFonts w:ascii="Arial" w:hAnsi="Arial" w:cs="Arial"/>
          <w:sz w:val="22"/>
          <w:szCs w:val="22"/>
        </w:rPr>
        <w:t>t tartalmazza</w:t>
      </w:r>
      <w:r w:rsidRPr="00E40A56">
        <w:rPr>
          <w:rFonts w:ascii="Arial" w:hAnsi="Arial" w:cs="Arial"/>
          <w:sz w:val="22"/>
          <w:szCs w:val="22"/>
        </w:rPr>
        <w:t xml:space="preserve">. </w:t>
      </w:r>
      <w:r w:rsidR="00C06B54">
        <w:rPr>
          <w:rFonts w:ascii="Arial" w:hAnsi="Arial" w:cs="Arial"/>
          <w:sz w:val="22"/>
          <w:szCs w:val="22"/>
        </w:rPr>
        <w:t>(</w:t>
      </w:r>
      <w:r w:rsidRPr="00EB10D0">
        <w:rPr>
          <w:rFonts w:ascii="Arial" w:hAnsi="Arial" w:cs="Arial"/>
          <w:sz w:val="22"/>
          <w:szCs w:val="22"/>
        </w:rPr>
        <w:t>Részletesen a 11. melléklet tartalmazza.</w:t>
      </w:r>
      <w:r w:rsidR="00C06B54" w:rsidRPr="00EB10D0">
        <w:rPr>
          <w:rFonts w:ascii="Arial" w:hAnsi="Arial" w:cs="Arial"/>
          <w:sz w:val="22"/>
          <w:szCs w:val="22"/>
        </w:rPr>
        <w:t xml:space="preserve">) </w:t>
      </w:r>
    </w:p>
    <w:p w14:paraId="743524AE" w14:textId="41EE6142" w:rsidR="00C06B54" w:rsidRDefault="00FD496E" w:rsidP="006325C2">
      <w:pPr>
        <w:spacing w:line="276" w:lineRule="auto"/>
        <w:jc w:val="both"/>
        <w:rPr>
          <w:rFonts w:ascii="Arial" w:hAnsi="Arial" w:cs="Arial"/>
          <w:sz w:val="22"/>
          <w:szCs w:val="22"/>
        </w:rPr>
      </w:pPr>
      <w:r w:rsidRPr="00343BC1">
        <w:rPr>
          <w:rFonts w:ascii="Arial" w:hAnsi="Arial" w:cs="Arial"/>
          <w:sz w:val="22"/>
          <w:szCs w:val="22"/>
        </w:rPr>
        <w:t xml:space="preserve">Az </w:t>
      </w:r>
      <w:r w:rsidR="00710636" w:rsidRPr="00343BC1">
        <w:rPr>
          <w:rFonts w:ascii="Arial" w:hAnsi="Arial" w:cs="Arial"/>
          <w:sz w:val="22"/>
          <w:szCs w:val="22"/>
        </w:rPr>
        <w:t>Ö</w:t>
      </w:r>
      <w:r w:rsidR="00C06B54" w:rsidRPr="00343BC1">
        <w:rPr>
          <w:rFonts w:ascii="Arial" w:hAnsi="Arial" w:cs="Arial"/>
          <w:sz w:val="22"/>
          <w:szCs w:val="22"/>
        </w:rPr>
        <w:t>nkormányza</w:t>
      </w:r>
      <w:r w:rsidR="00EB10D0">
        <w:rPr>
          <w:rFonts w:ascii="Arial" w:hAnsi="Arial" w:cs="Arial"/>
          <w:sz w:val="22"/>
          <w:szCs w:val="22"/>
        </w:rPr>
        <w:t>t</w:t>
      </w:r>
      <w:r w:rsidR="00E83AA0" w:rsidRPr="00343BC1">
        <w:rPr>
          <w:rFonts w:ascii="Arial" w:hAnsi="Arial" w:cs="Arial"/>
          <w:sz w:val="22"/>
          <w:szCs w:val="22"/>
        </w:rPr>
        <w:t xml:space="preserve"> </w:t>
      </w:r>
      <w:r w:rsidR="00E83AA0" w:rsidRPr="00343BC1">
        <w:rPr>
          <w:rFonts w:ascii="Arial" w:hAnsi="Arial" w:cs="Arial"/>
          <w:b/>
          <w:bCs/>
          <w:sz w:val="22"/>
          <w:szCs w:val="22"/>
        </w:rPr>
        <w:t>legnagyobb bevételi</w:t>
      </w:r>
      <w:r w:rsidR="00C06B54" w:rsidRPr="00343BC1">
        <w:rPr>
          <w:rFonts w:ascii="Arial" w:hAnsi="Arial" w:cs="Arial"/>
          <w:b/>
          <w:bCs/>
          <w:sz w:val="22"/>
          <w:szCs w:val="22"/>
        </w:rPr>
        <w:t xml:space="preserve"> forrásá</w:t>
      </w:r>
      <w:r w:rsidR="00E83AA0" w:rsidRPr="00343BC1">
        <w:rPr>
          <w:rFonts w:ascii="Arial" w:hAnsi="Arial" w:cs="Arial"/>
          <w:b/>
          <w:bCs/>
          <w:sz w:val="22"/>
          <w:szCs w:val="22"/>
        </w:rPr>
        <w:t>t jelentő állami támogatást</w:t>
      </w:r>
      <w:r w:rsidR="00E83AA0" w:rsidRPr="00343BC1">
        <w:rPr>
          <w:rFonts w:ascii="Arial" w:hAnsi="Arial" w:cs="Arial"/>
          <w:sz w:val="22"/>
          <w:szCs w:val="22"/>
        </w:rPr>
        <w:t xml:space="preserve"> </w:t>
      </w:r>
      <w:r w:rsidR="00C06B54" w:rsidRPr="00343BC1">
        <w:rPr>
          <w:rFonts w:ascii="Arial" w:hAnsi="Arial" w:cs="Arial"/>
          <w:sz w:val="22"/>
          <w:szCs w:val="22"/>
        </w:rPr>
        <w:t>az előző évvel összehasonlítva az alábbi táblázat szemlélteti:</w:t>
      </w:r>
    </w:p>
    <w:p w14:paraId="5C1BFD33" w14:textId="5C99CBD4" w:rsidR="00B8573C" w:rsidRDefault="00B8573C" w:rsidP="006325C2">
      <w:pPr>
        <w:spacing w:line="276" w:lineRule="auto"/>
        <w:jc w:val="both"/>
        <w:rPr>
          <w:rFonts w:ascii="Arial" w:hAnsi="Arial" w:cs="Arial"/>
          <w:sz w:val="22"/>
          <w:szCs w:val="22"/>
        </w:rPr>
      </w:pPr>
    </w:p>
    <w:p w14:paraId="132D5F0E" w14:textId="019C8B03" w:rsidR="00DB5219" w:rsidRDefault="00DB5219" w:rsidP="006325C2">
      <w:pPr>
        <w:spacing w:line="276" w:lineRule="auto"/>
        <w:jc w:val="both"/>
        <w:rPr>
          <w:rFonts w:ascii="Arial" w:hAnsi="Arial" w:cs="Arial"/>
          <w:sz w:val="22"/>
          <w:szCs w:val="22"/>
        </w:rPr>
      </w:pPr>
      <w:r w:rsidRPr="00DB5219">
        <w:rPr>
          <w:noProof/>
          <w:lang w:eastAsia="hu-HU"/>
        </w:rPr>
        <w:drawing>
          <wp:inline distT="0" distB="0" distL="0" distR="0" wp14:anchorId="7CC0ED0E" wp14:editId="6A3483E2">
            <wp:extent cx="5760720" cy="3123869"/>
            <wp:effectExtent l="0" t="0" r="0" b="63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123869"/>
                    </a:xfrm>
                    <a:prstGeom prst="rect">
                      <a:avLst/>
                    </a:prstGeom>
                    <a:noFill/>
                    <a:ln>
                      <a:noFill/>
                    </a:ln>
                  </pic:spPr>
                </pic:pic>
              </a:graphicData>
            </a:graphic>
          </wp:inline>
        </w:drawing>
      </w:r>
    </w:p>
    <w:p w14:paraId="056B805E" w14:textId="6015A257" w:rsidR="00DB5219" w:rsidRDefault="00DB5219" w:rsidP="006325C2">
      <w:pPr>
        <w:spacing w:line="276" w:lineRule="auto"/>
        <w:jc w:val="both"/>
        <w:rPr>
          <w:rFonts w:ascii="Arial" w:hAnsi="Arial" w:cs="Arial"/>
          <w:sz w:val="22"/>
          <w:szCs w:val="22"/>
        </w:rPr>
      </w:pPr>
    </w:p>
    <w:p w14:paraId="3901D5A6" w14:textId="77777777" w:rsidR="00DB5219" w:rsidRDefault="00DB5219" w:rsidP="006325C2">
      <w:pPr>
        <w:spacing w:line="276" w:lineRule="auto"/>
        <w:jc w:val="both"/>
        <w:rPr>
          <w:rFonts w:ascii="Arial" w:hAnsi="Arial" w:cs="Arial"/>
          <w:sz w:val="22"/>
          <w:szCs w:val="22"/>
        </w:rPr>
      </w:pPr>
    </w:p>
    <w:p w14:paraId="3F3C2232" w14:textId="39BA998A" w:rsidR="00B8573C" w:rsidRPr="00343BC1" w:rsidRDefault="00B8573C" w:rsidP="006325C2">
      <w:pPr>
        <w:spacing w:line="276" w:lineRule="auto"/>
        <w:jc w:val="both"/>
        <w:rPr>
          <w:rFonts w:ascii="Arial" w:hAnsi="Arial" w:cs="Arial"/>
          <w:sz w:val="22"/>
          <w:szCs w:val="22"/>
        </w:rPr>
      </w:pPr>
    </w:p>
    <w:p w14:paraId="35CD19ED" w14:textId="370F6D85" w:rsidR="006325C2" w:rsidRPr="00CC2779" w:rsidRDefault="006325C2" w:rsidP="006325C2">
      <w:pPr>
        <w:spacing w:line="276" w:lineRule="auto"/>
        <w:jc w:val="both"/>
        <w:rPr>
          <w:rFonts w:ascii="Arial" w:hAnsi="Arial" w:cs="Arial"/>
          <w:sz w:val="22"/>
          <w:szCs w:val="22"/>
          <w:highlight w:val="yellow"/>
        </w:rPr>
      </w:pPr>
    </w:p>
    <w:p w14:paraId="18687689" w14:textId="7592CE49" w:rsidR="006325C2" w:rsidRPr="00CC2779" w:rsidRDefault="006325C2" w:rsidP="004C1694">
      <w:pPr>
        <w:spacing w:line="276" w:lineRule="auto"/>
        <w:jc w:val="both"/>
        <w:rPr>
          <w:rFonts w:ascii="Arial" w:hAnsi="Arial" w:cs="Arial"/>
          <w:sz w:val="22"/>
          <w:szCs w:val="22"/>
          <w:highlight w:val="yellow"/>
        </w:rPr>
      </w:pPr>
    </w:p>
    <w:p w14:paraId="49210034" w14:textId="5D3D90CA" w:rsidR="00C4594F" w:rsidRDefault="006B1FA7" w:rsidP="004C1694">
      <w:pPr>
        <w:spacing w:line="276" w:lineRule="auto"/>
        <w:jc w:val="both"/>
        <w:rPr>
          <w:rFonts w:ascii="Arial" w:hAnsi="Arial" w:cs="Arial"/>
          <w:sz w:val="22"/>
          <w:szCs w:val="22"/>
        </w:rPr>
      </w:pPr>
      <w:r w:rsidRPr="00990DD5">
        <w:rPr>
          <w:rFonts w:ascii="Arial" w:hAnsi="Arial" w:cs="Arial"/>
          <w:sz w:val="22"/>
          <w:szCs w:val="22"/>
        </w:rPr>
        <w:t xml:space="preserve">Az eredeti előirányzatokat tekintve </w:t>
      </w:r>
      <w:r w:rsidR="00EB10D0">
        <w:rPr>
          <w:rFonts w:ascii="Arial" w:hAnsi="Arial" w:cs="Arial"/>
          <w:sz w:val="22"/>
          <w:szCs w:val="22"/>
        </w:rPr>
        <w:t xml:space="preserve">az </w:t>
      </w:r>
      <w:r w:rsidRPr="00990DD5">
        <w:rPr>
          <w:rFonts w:ascii="Arial" w:hAnsi="Arial" w:cs="Arial"/>
          <w:sz w:val="22"/>
          <w:szCs w:val="22"/>
        </w:rPr>
        <w:t>Önkormányzat a 202</w:t>
      </w:r>
      <w:r w:rsidR="001B60AA">
        <w:rPr>
          <w:rFonts w:ascii="Arial" w:hAnsi="Arial" w:cs="Arial"/>
          <w:sz w:val="22"/>
          <w:szCs w:val="22"/>
        </w:rPr>
        <w:t>6</w:t>
      </w:r>
      <w:r w:rsidR="008519DF" w:rsidRPr="00990DD5">
        <w:rPr>
          <w:rFonts w:ascii="Arial" w:hAnsi="Arial" w:cs="Arial"/>
          <w:sz w:val="22"/>
          <w:szCs w:val="22"/>
        </w:rPr>
        <w:t xml:space="preserve">. évben </w:t>
      </w:r>
      <w:r w:rsidRPr="00990DD5">
        <w:rPr>
          <w:rFonts w:ascii="Arial" w:hAnsi="Arial" w:cs="Arial"/>
          <w:sz w:val="22"/>
          <w:szCs w:val="22"/>
        </w:rPr>
        <w:t xml:space="preserve">közel </w:t>
      </w:r>
      <w:r w:rsidR="001B60AA">
        <w:rPr>
          <w:rFonts w:ascii="Arial" w:hAnsi="Arial" w:cs="Arial"/>
          <w:sz w:val="22"/>
          <w:szCs w:val="22"/>
        </w:rPr>
        <w:t>180</w:t>
      </w:r>
      <w:r w:rsidRPr="00990DD5">
        <w:rPr>
          <w:rFonts w:ascii="Arial" w:hAnsi="Arial" w:cs="Arial"/>
          <w:sz w:val="22"/>
          <w:szCs w:val="22"/>
        </w:rPr>
        <w:t xml:space="preserve"> millió Ft-tal</w:t>
      </w:r>
      <w:r w:rsidR="00581F5C" w:rsidRPr="00990DD5">
        <w:rPr>
          <w:rFonts w:ascii="Arial" w:hAnsi="Arial" w:cs="Arial"/>
          <w:sz w:val="22"/>
          <w:szCs w:val="22"/>
        </w:rPr>
        <w:t xml:space="preserve"> több állami támogatási bevétellel számolhat</w:t>
      </w:r>
      <w:r w:rsidR="006618D1" w:rsidRPr="00990DD5">
        <w:rPr>
          <w:rFonts w:ascii="Arial" w:hAnsi="Arial" w:cs="Arial"/>
          <w:sz w:val="22"/>
          <w:szCs w:val="22"/>
        </w:rPr>
        <w:t xml:space="preserve"> a kötelező feladatok </w:t>
      </w:r>
      <w:proofErr w:type="gramStart"/>
      <w:r w:rsidR="006618D1" w:rsidRPr="00990DD5">
        <w:rPr>
          <w:rFonts w:ascii="Arial" w:hAnsi="Arial" w:cs="Arial"/>
          <w:sz w:val="22"/>
          <w:szCs w:val="22"/>
        </w:rPr>
        <w:t>finanszírozásához</w:t>
      </w:r>
      <w:proofErr w:type="gramEnd"/>
      <w:r w:rsidRPr="00990DD5">
        <w:rPr>
          <w:rFonts w:ascii="Arial" w:hAnsi="Arial" w:cs="Arial"/>
          <w:sz w:val="22"/>
          <w:szCs w:val="22"/>
        </w:rPr>
        <w:t xml:space="preserve">, </w:t>
      </w:r>
      <w:r w:rsidR="006618D1" w:rsidRPr="00990DD5">
        <w:rPr>
          <w:rFonts w:ascii="Arial" w:hAnsi="Arial" w:cs="Arial"/>
          <w:sz w:val="22"/>
          <w:szCs w:val="22"/>
        </w:rPr>
        <w:t xml:space="preserve">mint az előző évi költségvetés összeállításánál. </w:t>
      </w:r>
    </w:p>
    <w:p w14:paraId="4ADDD79E" w14:textId="77777777" w:rsidR="00C4594F" w:rsidRDefault="00C4594F" w:rsidP="004C1694">
      <w:pPr>
        <w:spacing w:line="276" w:lineRule="auto"/>
        <w:jc w:val="both"/>
        <w:rPr>
          <w:rFonts w:ascii="Arial" w:hAnsi="Arial" w:cs="Arial"/>
          <w:sz w:val="22"/>
          <w:szCs w:val="22"/>
        </w:rPr>
      </w:pPr>
    </w:p>
    <w:p w14:paraId="06FFFEF6" w14:textId="77777777" w:rsidR="00476253" w:rsidRPr="00476253" w:rsidRDefault="003F0C3C"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A műkö</w:t>
      </w:r>
      <w:r w:rsidR="008375FF" w:rsidRPr="00476253">
        <w:rPr>
          <w:rFonts w:ascii="Arial" w:hAnsi="Arial" w:cs="Arial"/>
          <w:sz w:val="22"/>
          <w:szCs w:val="22"/>
        </w:rPr>
        <w:t xml:space="preserve">dés általános támogatására </w:t>
      </w:r>
      <w:r w:rsidR="001B60AA" w:rsidRPr="00476253">
        <w:rPr>
          <w:rFonts w:ascii="Arial" w:hAnsi="Arial" w:cs="Arial"/>
          <w:sz w:val="22"/>
          <w:szCs w:val="22"/>
        </w:rPr>
        <w:t>98</w:t>
      </w:r>
      <w:r w:rsidRPr="00476253">
        <w:rPr>
          <w:rFonts w:ascii="Arial" w:hAnsi="Arial" w:cs="Arial"/>
          <w:sz w:val="22"/>
          <w:szCs w:val="22"/>
        </w:rPr>
        <w:t xml:space="preserve"> millió Ft-ta</w:t>
      </w:r>
      <w:r w:rsidR="004653FF" w:rsidRPr="00476253">
        <w:rPr>
          <w:rFonts w:ascii="Arial" w:hAnsi="Arial" w:cs="Arial"/>
          <w:sz w:val="22"/>
          <w:szCs w:val="22"/>
        </w:rPr>
        <w:t>l több központi forrás szerepel</w:t>
      </w:r>
      <w:r w:rsidRPr="00476253">
        <w:rPr>
          <w:rFonts w:ascii="Arial" w:hAnsi="Arial" w:cs="Arial"/>
          <w:sz w:val="22"/>
          <w:szCs w:val="22"/>
        </w:rPr>
        <w:t>, mint az előző évben</w:t>
      </w:r>
      <w:r w:rsidR="00476253" w:rsidRPr="00476253">
        <w:rPr>
          <w:rFonts w:ascii="Arial" w:hAnsi="Arial" w:cs="Arial"/>
          <w:sz w:val="22"/>
          <w:szCs w:val="22"/>
        </w:rPr>
        <w:t>, összege 337 649 754 Ft</w:t>
      </w:r>
      <w:r w:rsidRPr="00476253">
        <w:rPr>
          <w:rFonts w:ascii="Arial" w:hAnsi="Arial" w:cs="Arial"/>
          <w:sz w:val="22"/>
          <w:szCs w:val="22"/>
        </w:rPr>
        <w:t xml:space="preserve">. </w:t>
      </w:r>
      <w:r w:rsidR="004653FF" w:rsidRPr="00476253">
        <w:rPr>
          <w:rFonts w:ascii="Arial" w:hAnsi="Arial" w:cs="Arial"/>
          <w:sz w:val="22"/>
          <w:szCs w:val="22"/>
        </w:rPr>
        <w:t>Ez az összeg több jogcímet (Önkormányzati hivatal működésének támogatása, településüzemeltetés támogatása,</w:t>
      </w:r>
      <w:r w:rsidR="004653FF" w:rsidRPr="00990DD5">
        <w:t xml:space="preserve"> </w:t>
      </w:r>
      <w:r w:rsidR="004653FF" w:rsidRPr="00476253">
        <w:rPr>
          <w:rFonts w:ascii="Arial" w:hAnsi="Arial" w:cs="Arial"/>
          <w:sz w:val="22"/>
          <w:szCs w:val="22"/>
        </w:rPr>
        <w:t>egyéb önkormányzati feladatok támogatása,</w:t>
      </w:r>
      <w:r w:rsidR="004653FF" w:rsidRPr="00990DD5">
        <w:t xml:space="preserve"> </w:t>
      </w:r>
      <w:r w:rsidR="004653FF" w:rsidRPr="00476253">
        <w:rPr>
          <w:rFonts w:ascii="Arial" w:hAnsi="Arial" w:cs="Arial"/>
          <w:sz w:val="22"/>
          <w:szCs w:val="22"/>
        </w:rPr>
        <w:t>lakott külterülettel kapcsolatos feladatok támogatása</w:t>
      </w:r>
      <w:r w:rsidR="00067881" w:rsidRPr="00476253">
        <w:rPr>
          <w:rFonts w:ascii="Arial" w:hAnsi="Arial" w:cs="Arial"/>
          <w:sz w:val="22"/>
          <w:szCs w:val="22"/>
        </w:rPr>
        <w:t>, közvilágítási üzemeltetési kiadásokra nyújtott támogatás</w:t>
      </w:r>
      <w:r w:rsidR="00204800" w:rsidRPr="00476253">
        <w:rPr>
          <w:rFonts w:ascii="Arial" w:hAnsi="Arial" w:cs="Arial"/>
          <w:sz w:val="22"/>
          <w:szCs w:val="22"/>
        </w:rPr>
        <w:t>) ér</w:t>
      </w:r>
      <w:r w:rsidR="00067881" w:rsidRPr="00476253">
        <w:rPr>
          <w:rFonts w:ascii="Arial" w:hAnsi="Arial" w:cs="Arial"/>
          <w:sz w:val="22"/>
          <w:szCs w:val="22"/>
        </w:rPr>
        <w:t xml:space="preserve">int. </w:t>
      </w:r>
    </w:p>
    <w:p w14:paraId="57B6C6C5" w14:textId="77777777" w:rsidR="00476253" w:rsidRPr="00476253" w:rsidRDefault="00067881" w:rsidP="00476253">
      <w:pPr>
        <w:pStyle w:val="Listaszerbekezds"/>
        <w:spacing w:line="276" w:lineRule="auto"/>
        <w:jc w:val="both"/>
        <w:rPr>
          <w:rFonts w:ascii="Arial" w:hAnsi="Arial" w:cs="Arial"/>
          <w:sz w:val="22"/>
          <w:szCs w:val="22"/>
        </w:rPr>
      </w:pPr>
      <w:r w:rsidRPr="00476253">
        <w:rPr>
          <w:rFonts w:ascii="Arial" w:hAnsi="Arial" w:cs="Arial"/>
          <w:sz w:val="22"/>
          <w:szCs w:val="22"/>
        </w:rPr>
        <w:t xml:space="preserve">A KÖH fenntartására </w:t>
      </w:r>
      <w:r w:rsidR="00990DD5" w:rsidRPr="00476253">
        <w:rPr>
          <w:rFonts w:ascii="Arial" w:hAnsi="Arial" w:cs="Arial"/>
          <w:sz w:val="22"/>
          <w:szCs w:val="22"/>
        </w:rPr>
        <w:t xml:space="preserve">eredeti előirányzatként biztosított állami támogatás </w:t>
      </w:r>
      <w:r w:rsidR="001B60AA" w:rsidRPr="00476253">
        <w:rPr>
          <w:rFonts w:ascii="Arial" w:hAnsi="Arial" w:cs="Arial"/>
          <w:sz w:val="22"/>
          <w:szCs w:val="22"/>
        </w:rPr>
        <w:t>283 839 946</w:t>
      </w:r>
      <w:r w:rsidR="00990DD5" w:rsidRPr="00476253">
        <w:rPr>
          <w:rFonts w:ascii="Arial" w:hAnsi="Arial" w:cs="Arial"/>
          <w:sz w:val="22"/>
          <w:szCs w:val="22"/>
        </w:rPr>
        <w:t xml:space="preserve"> Ft, ami </w:t>
      </w:r>
      <w:r w:rsidR="001B60AA" w:rsidRPr="00476253">
        <w:rPr>
          <w:rFonts w:ascii="Arial" w:hAnsi="Arial" w:cs="Arial"/>
          <w:sz w:val="22"/>
          <w:szCs w:val="22"/>
        </w:rPr>
        <w:t>a köztisztviselők 2025. július 1-jével és 2026. január 1-jével bekövetkező kötelező illetményemelésének összegével magasabb az előző évinél.</w:t>
      </w:r>
      <w:r w:rsidR="00990DD5" w:rsidRPr="00476253">
        <w:rPr>
          <w:rFonts w:ascii="Arial" w:hAnsi="Arial" w:cs="Arial"/>
          <w:sz w:val="22"/>
          <w:szCs w:val="22"/>
        </w:rPr>
        <w:t xml:space="preserve"> </w:t>
      </w:r>
    </w:p>
    <w:p w14:paraId="24DE122B" w14:textId="75A4892A" w:rsidR="004653FF" w:rsidRPr="00476253" w:rsidRDefault="00990DD5" w:rsidP="00476253">
      <w:pPr>
        <w:pStyle w:val="Listaszerbekezds"/>
        <w:spacing w:line="276" w:lineRule="auto"/>
        <w:jc w:val="both"/>
        <w:rPr>
          <w:rFonts w:ascii="Arial" w:hAnsi="Arial" w:cs="Arial"/>
          <w:sz w:val="22"/>
          <w:szCs w:val="22"/>
        </w:rPr>
      </w:pPr>
      <w:r w:rsidRPr="00476253">
        <w:rPr>
          <w:rFonts w:ascii="Arial" w:hAnsi="Arial" w:cs="Arial"/>
          <w:sz w:val="22"/>
          <w:szCs w:val="22"/>
        </w:rPr>
        <w:t>A</w:t>
      </w:r>
      <w:r w:rsidR="00204800" w:rsidRPr="00476253">
        <w:rPr>
          <w:rFonts w:ascii="Arial" w:hAnsi="Arial" w:cs="Arial"/>
          <w:sz w:val="22"/>
          <w:szCs w:val="22"/>
        </w:rPr>
        <w:t xml:space="preserve"> többi jogcím esetén </w:t>
      </w:r>
      <w:r w:rsidR="00067881" w:rsidRPr="00476253">
        <w:rPr>
          <w:rFonts w:ascii="Arial" w:hAnsi="Arial" w:cs="Arial"/>
          <w:sz w:val="22"/>
          <w:szCs w:val="22"/>
        </w:rPr>
        <w:t>közel azonos nagyságrendű az állami támogatá</w:t>
      </w:r>
      <w:r w:rsidRPr="00476253">
        <w:rPr>
          <w:rFonts w:ascii="Arial" w:hAnsi="Arial" w:cs="Arial"/>
          <w:sz w:val="22"/>
          <w:szCs w:val="22"/>
        </w:rPr>
        <w:t xml:space="preserve">s. </w:t>
      </w:r>
      <w:r w:rsidR="00476253" w:rsidRPr="00476253">
        <w:rPr>
          <w:rFonts w:ascii="Arial" w:hAnsi="Arial" w:cs="Arial"/>
          <w:sz w:val="22"/>
          <w:szCs w:val="22"/>
        </w:rPr>
        <w:t>A</w:t>
      </w:r>
      <w:r w:rsidRPr="00476253">
        <w:rPr>
          <w:rFonts w:ascii="Arial" w:hAnsi="Arial" w:cs="Arial"/>
          <w:sz w:val="22"/>
          <w:szCs w:val="22"/>
        </w:rPr>
        <w:t xml:space="preserve"> polgármesteri illetményhez és költségtérítéshez nyújtott támogatás összege </w:t>
      </w:r>
      <w:r w:rsidR="00476253" w:rsidRPr="00476253">
        <w:rPr>
          <w:rFonts w:ascii="Arial" w:hAnsi="Arial" w:cs="Arial"/>
          <w:sz w:val="22"/>
          <w:szCs w:val="22"/>
        </w:rPr>
        <w:t>3 745 088</w:t>
      </w:r>
      <w:r w:rsidRPr="00476253">
        <w:rPr>
          <w:rFonts w:ascii="Arial" w:hAnsi="Arial" w:cs="Arial"/>
          <w:sz w:val="22"/>
          <w:szCs w:val="22"/>
        </w:rPr>
        <w:t xml:space="preserve"> Ft. (</w:t>
      </w:r>
      <w:r w:rsidR="00CD3628">
        <w:rPr>
          <w:rFonts w:ascii="Arial" w:hAnsi="Arial" w:cs="Arial"/>
          <w:sz w:val="22"/>
          <w:szCs w:val="22"/>
        </w:rPr>
        <w:t>Az</w:t>
      </w:r>
      <w:r w:rsidR="00E83EB3" w:rsidRPr="00476253">
        <w:rPr>
          <w:rFonts w:ascii="Arial" w:hAnsi="Arial" w:cs="Arial"/>
          <w:sz w:val="22"/>
          <w:szCs w:val="22"/>
        </w:rPr>
        <w:t xml:space="preserve"> idei év hét</w:t>
      </w:r>
      <w:r w:rsidRPr="00476253">
        <w:rPr>
          <w:rFonts w:ascii="Arial" w:hAnsi="Arial" w:cs="Arial"/>
          <w:sz w:val="22"/>
          <w:szCs w:val="22"/>
        </w:rPr>
        <w:t xml:space="preserve"> havi többletteher ellentételezés</w:t>
      </w:r>
      <w:r w:rsidR="00540853" w:rsidRPr="00476253">
        <w:rPr>
          <w:rFonts w:ascii="Arial" w:hAnsi="Arial" w:cs="Arial"/>
          <w:sz w:val="22"/>
          <w:szCs w:val="22"/>
        </w:rPr>
        <w:t>e</w:t>
      </w:r>
      <w:r w:rsidRPr="00476253">
        <w:rPr>
          <w:rFonts w:ascii="Arial" w:hAnsi="Arial" w:cs="Arial"/>
          <w:sz w:val="22"/>
          <w:szCs w:val="22"/>
        </w:rPr>
        <w:t>k</w:t>
      </w:r>
      <w:r w:rsidR="00540853" w:rsidRPr="00476253">
        <w:rPr>
          <w:rFonts w:ascii="Arial" w:hAnsi="Arial" w:cs="Arial"/>
          <w:sz w:val="22"/>
          <w:szCs w:val="22"/>
        </w:rPr>
        <w:t>é</w:t>
      </w:r>
      <w:r w:rsidRPr="00476253">
        <w:rPr>
          <w:rFonts w:ascii="Arial" w:hAnsi="Arial" w:cs="Arial"/>
          <w:sz w:val="22"/>
          <w:szCs w:val="22"/>
        </w:rPr>
        <w:t>nt van jelen.)</w:t>
      </w:r>
    </w:p>
    <w:p w14:paraId="7949994C" w14:textId="0FDAF27D" w:rsidR="00CF0C39" w:rsidRPr="00476253" w:rsidRDefault="00733F5A"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Az egyes köznevelési feladat</w:t>
      </w:r>
      <w:r w:rsidR="00476253" w:rsidRPr="00476253">
        <w:rPr>
          <w:rFonts w:ascii="Arial" w:hAnsi="Arial" w:cs="Arial"/>
          <w:sz w:val="22"/>
          <w:szCs w:val="22"/>
        </w:rPr>
        <w:t>ok</w:t>
      </w:r>
      <w:r w:rsidRPr="00476253">
        <w:rPr>
          <w:rFonts w:ascii="Arial" w:hAnsi="Arial" w:cs="Arial"/>
          <w:sz w:val="22"/>
          <w:szCs w:val="22"/>
        </w:rPr>
        <w:t xml:space="preserve"> támogatása </w:t>
      </w:r>
      <w:r w:rsidR="00990DD5" w:rsidRPr="00476253">
        <w:rPr>
          <w:rFonts w:ascii="Arial" w:hAnsi="Arial" w:cs="Arial"/>
          <w:sz w:val="22"/>
          <w:szCs w:val="22"/>
        </w:rPr>
        <w:t xml:space="preserve">közel </w:t>
      </w:r>
      <w:r w:rsidR="00476253" w:rsidRPr="00476253">
        <w:rPr>
          <w:rFonts w:ascii="Arial" w:hAnsi="Arial" w:cs="Arial"/>
          <w:sz w:val="22"/>
          <w:szCs w:val="22"/>
        </w:rPr>
        <w:t>45</w:t>
      </w:r>
      <w:r w:rsidR="00990DD5" w:rsidRPr="00476253">
        <w:rPr>
          <w:rFonts w:ascii="Arial" w:hAnsi="Arial" w:cs="Arial"/>
          <w:sz w:val="22"/>
          <w:szCs w:val="22"/>
        </w:rPr>
        <w:t xml:space="preserve"> </w:t>
      </w:r>
      <w:r w:rsidRPr="00476253">
        <w:rPr>
          <w:rFonts w:ascii="Arial" w:hAnsi="Arial" w:cs="Arial"/>
          <w:sz w:val="22"/>
          <w:szCs w:val="22"/>
        </w:rPr>
        <w:t xml:space="preserve">millió Ft-tal növekedett az előző évi tényszámhoz képest, </w:t>
      </w:r>
      <w:r w:rsidR="003C2235" w:rsidRPr="00476253">
        <w:rPr>
          <w:rFonts w:ascii="Arial" w:hAnsi="Arial" w:cs="Arial"/>
          <w:sz w:val="22"/>
          <w:szCs w:val="22"/>
        </w:rPr>
        <w:t xml:space="preserve">ami </w:t>
      </w:r>
      <w:r w:rsidR="00EB10D0">
        <w:rPr>
          <w:rFonts w:ascii="Arial" w:hAnsi="Arial" w:cs="Arial"/>
          <w:sz w:val="22"/>
          <w:szCs w:val="22"/>
        </w:rPr>
        <w:t>tartalmazza</w:t>
      </w:r>
      <w:r w:rsidRPr="00476253">
        <w:rPr>
          <w:rFonts w:ascii="Arial" w:hAnsi="Arial" w:cs="Arial"/>
          <w:sz w:val="22"/>
          <w:szCs w:val="22"/>
        </w:rPr>
        <w:t xml:space="preserve"> a</w:t>
      </w:r>
      <w:r w:rsidR="006F65D1" w:rsidRPr="00476253">
        <w:rPr>
          <w:rFonts w:ascii="Arial" w:hAnsi="Arial" w:cs="Arial"/>
          <w:sz w:val="22"/>
          <w:szCs w:val="22"/>
        </w:rPr>
        <w:t xml:space="preserve"> pedagógus életpálya bevezetésével összefüggő béremelés </w:t>
      </w:r>
      <w:r w:rsidR="00EB10D0">
        <w:rPr>
          <w:rFonts w:ascii="Arial" w:hAnsi="Arial" w:cs="Arial"/>
          <w:sz w:val="22"/>
          <w:szCs w:val="22"/>
        </w:rPr>
        <w:t>fedezetét</w:t>
      </w:r>
      <w:r w:rsidR="006F65D1" w:rsidRPr="00476253">
        <w:rPr>
          <w:rFonts w:ascii="Arial" w:hAnsi="Arial" w:cs="Arial"/>
          <w:sz w:val="22"/>
          <w:szCs w:val="22"/>
        </w:rPr>
        <w:t>.</w:t>
      </w:r>
      <w:r w:rsidR="00476253" w:rsidRPr="00476253">
        <w:rPr>
          <w:rFonts w:ascii="Arial" w:hAnsi="Arial" w:cs="Arial"/>
          <w:sz w:val="22"/>
          <w:szCs w:val="22"/>
        </w:rPr>
        <w:t xml:space="preserve"> A támogatás összege 429 250 858 Ft.</w:t>
      </w:r>
    </w:p>
    <w:p w14:paraId="6140E926" w14:textId="43B3A38C" w:rsidR="00C75570" w:rsidRPr="00476253" w:rsidRDefault="00EB743D"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 xml:space="preserve">A család- és gyermekjóléti szolgálattal összefüggő feladatokra rendelkezésre álló fedezet közel </w:t>
      </w:r>
      <w:r w:rsidR="00476253" w:rsidRPr="00476253">
        <w:rPr>
          <w:rFonts w:ascii="Arial" w:hAnsi="Arial" w:cs="Arial"/>
          <w:sz w:val="22"/>
          <w:szCs w:val="22"/>
        </w:rPr>
        <w:t>21 994 000</w:t>
      </w:r>
      <w:r w:rsidRPr="00476253">
        <w:rPr>
          <w:rFonts w:ascii="Arial" w:hAnsi="Arial" w:cs="Arial"/>
          <w:sz w:val="22"/>
          <w:szCs w:val="22"/>
        </w:rPr>
        <w:t xml:space="preserve"> Ft</w:t>
      </w:r>
      <w:r w:rsidR="00654560">
        <w:rPr>
          <w:rFonts w:ascii="Arial" w:hAnsi="Arial" w:cs="Arial"/>
          <w:sz w:val="22"/>
          <w:szCs w:val="22"/>
        </w:rPr>
        <w:t>.</w:t>
      </w:r>
    </w:p>
    <w:p w14:paraId="178AEEC6" w14:textId="439520B8" w:rsidR="00CF0C39" w:rsidRPr="00983EFF" w:rsidRDefault="00C75570"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Szociális feladatellátás</w:t>
      </w:r>
      <w:r w:rsidR="006F65D1" w:rsidRPr="00476253">
        <w:rPr>
          <w:rFonts w:ascii="Arial" w:hAnsi="Arial" w:cs="Arial"/>
          <w:sz w:val="22"/>
          <w:szCs w:val="22"/>
        </w:rPr>
        <w:t xml:space="preserve">ra közel </w:t>
      </w:r>
      <w:r w:rsidR="00476253" w:rsidRPr="00476253">
        <w:rPr>
          <w:rFonts w:ascii="Arial" w:hAnsi="Arial" w:cs="Arial"/>
          <w:sz w:val="22"/>
          <w:szCs w:val="22"/>
        </w:rPr>
        <w:t>10,7</w:t>
      </w:r>
      <w:r w:rsidR="00EB743D" w:rsidRPr="00476253">
        <w:rPr>
          <w:rFonts w:ascii="Arial" w:hAnsi="Arial" w:cs="Arial"/>
          <w:sz w:val="22"/>
          <w:szCs w:val="22"/>
        </w:rPr>
        <w:t xml:space="preserve"> millió Ft-</w:t>
      </w:r>
      <w:r w:rsidR="00324F0B" w:rsidRPr="00476253">
        <w:rPr>
          <w:rFonts w:ascii="Arial" w:hAnsi="Arial" w:cs="Arial"/>
          <w:sz w:val="22"/>
          <w:szCs w:val="22"/>
        </w:rPr>
        <w:t xml:space="preserve">tal </w:t>
      </w:r>
      <w:r w:rsidR="00EB743D" w:rsidRPr="00476253">
        <w:rPr>
          <w:rFonts w:ascii="Arial" w:hAnsi="Arial" w:cs="Arial"/>
          <w:sz w:val="22"/>
          <w:szCs w:val="22"/>
        </w:rPr>
        <w:t>tö</w:t>
      </w:r>
      <w:r w:rsidR="00324F0B" w:rsidRPr="00476253">
        <w:rPr>
          <w:rFonts w:ascii="Arial" w:hAnsi="Arial" w:cs="Arial"/>
          <w:sz w:val="22"/>
          <w:szCs w:val="22"/>
        </w:rPr>
        <w:t>bb forrással számolhatunk</w:t>
      </w:r>
      <w:r w:rsidR="00EB743D" w:rsidRPr="00476253">
        <w:rPr>
          <w:rFonts w:ascii="Arial" w:hAnsi="Arial" w:cs="Arial"/>
          <w:sz w:val="22"/>
          <w:szCs w:val="22"/>
        </w:rPr>
        <w:t xml:space="preserve"> az előző évi eredeti előirányzathoz képest</w:t>
      </w:r>
      <w:r w:rsidR="00476253" w:rsidRPr="00476253">
        <w:rPr>
          <w:rFonts w:ascii="Arial" w:hAnsi="Arial" w:cs="Arial"/>
          <w:sz w:val="22"/>
          <w:szCs w:val="22"/>
        </w:rPr>
        <w:t xml:space="preserve">, 94 216 210 támogatásban részesül az önkormányzat. </w:t>
      </w:r>
      <w:r w:rsidR="00476253" w:rsidRPr="00983EFF">
        <w:rPr>
          <w:rFonts w:ascii="Arial" w:hAnsi="Arial" w:cs="Arial"/>
          <w:sz w:val="22"/>
          <w:szCs w:val="22"/>
        </w:rPr>
        <w:t xml:space="preserve">Az összeg tartalmazza a minimálbér és </w:t>
      </w:r>
      <w:proofErr w:type="gramStart"/>
      <w:r w:rsidR="00476253" w:rsidRPr="00983EFF">
        <w:rPr>
          <w:rFonts w:ascii="Arial" w:hAnsi="Arial" w:cs="Arial"/>
          <w:sz w:val="22"/>
          <w:szCs w:val="22"/>
        </w:rPr>
        <w:t>garantált</w:t>
      </w:r>
      <w:proofErr w:type="gramEnd"/>
      <w:r w:rsidR="00476253" w:rsidRPr="00983EFF">
        <w:rPr>
          <w:rFonts w:ascii="Arial" w:hAnsi="Arial" w:cs="Arial"/>
          <w:sz w:val="22"/>
          <w:szCs w:val="22"/>
        </w:rPr>
        <w:t xml:space="preserve"> bérminimum emelkedésével kapcsolatos személyi jellegű kiadások emelkedésének összegét.</w:t>
      </w:r>
    </w:p>
    <w:p w14:paraId="3AADEBAA" w14:textId="49C1AE90" w:rsidR="00324F0B" w:rsidRPr="00476253" w:rsidRDefault="00324F0B"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 xml:space="preserve">Bölcsődei feladatellátásra </w:t>
      </w:r>
      <w:r w:rsidR="00476253" w:rsidRPr="00476253">
        <w:rPr>
          <w:rFonts w:ascii="Arial" w:hAnsi="Arial" w:cs="Arial"/>
          <w:sz w:val="22"/>
          <w:szCs w:val="22"/>
        </w:rPr>
        <w:t xml:space="preserve">43 663 800 Ft támogatásban részesül az önkormányzat, ami </w:t>
      </w:r>
      <w:r w:rsidRPr="00476253">
        <w:rPr>
          <w:rFonts w:ascii="Arial" w:hAnsi="Arial" w:cs="Arial"/>
          <w:sz w:val="22"/>
          <w:szCs w:val="22"/>
        </w:rPr>
        <w:t xml:space="preserve">mintegy </w:t>
      </w:r>
      <w:r w:rsidR="00476253" w:rsidRPr="00476253">
        <w:rPr>
          <w:rFonts w:ascii="Arial" w:hAnsi="Arial" w:cs="Arial"/>
          <w:sz w:val="22"/>
          <w:szCs w:val="22"/>
        </w:rPr>
        <w:t>5</w:t>
      </w:r>
      <w:r w:rsidR="00EB743D" w:rsidRPr="00476253">
        <w:rPr>
          <w:rFonts w:ascii="Arial" w:hAnsi="Arial" w:cs="Arial"/>
          <w:sz w:val="22"/>
          <w:szCs w:val="22"/>
        </w:rPr>
        <w:t>,5</w:t>
      </w:r>
      <w:r w:rsidRPr="00476253">
        <w:rPr>
          <w:rFonts w:ascii="Arial" w:hAnsi="Arial" w:cs="Arial"/>
          <w:sz w:val="22"/>
          <w:szCs w:val="22"/>
        </w:rPr>
        <w:t xml:space="preserve"> millió Ft</w:t>
      </w:r>
      <w:r w:rsidR="00EB10D0">
        <w:rPr>
          <w:rFonts w:ascii="Arial" w:hAnsi="Arial" w:cs="Arial"/>
          <w:sz w:val="22"/>
          <w:szCs w:val="22"/>
        </w:rPr>
        <w:t>. Az összeg tartalmazza a bérnövekedés összegét.</w:t>
      </w:r>
      <w:r w:rsidRPr="00476253">
        <w:rPr>
          <w:rFonts w:ascii="Arial" w:hAnsi="Arial" w:cs="Arial"/>
          <w:sz w:val="22"/>
          <w:szCs w:val="22"/>
        </w:rPr>
        <w:t xml:space="preserve"> </w:t>
      </w:r>
    </w:p>
    <w:p w14:paraId="28965290" w14:textId="55887788" w:rsidR="003B2D24" w:rsidRPr="00476253" w:rsidRDefault="003B2D24"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A gyermekétkeztet</w:t>
      </w:r>
      <w:r w:rsidR="0060691B" w:rsidRPr="00476253">
        <w:rPr>
          <w:rFonts w:ascii="Arial" w:hAnsi="Arial" w:cs="Arial"/>
          <w:sz w:val="22"/>
          <w:szCs w:val="22"/>
        </w:rPr>
        <w:t>ési feladat</w:t>
      </w:r>
      <w:r w:rsidR="00476253" w:rsidRPr="00476253">
        <w:rPr>
          <w:rFonts w:ascii="Arial" w:hAnsi="Arial" w:cs="Arial"/>
          <w:sz w:val="22"/>
          <w:szCs w:val="22"/>
        </w:rPr>
        <w:t>ok támogatása 153 013 022</w:t>
      </w:r>
      <w:r w:rsidRPr="00476253">
        <w:rPr>
          <w:rFonts w:ascii="Arial" w:hAnsi="Arial" w:cs="Arial"/>
          <w:sz w:val="22"/>
          <w:szCs w:val="22"/>
        </w:rPr>
        <w:t xml:space="preserve"> Ft</w:t>
      </w:r>
      <w:r w:rsidR="00EB10D0">
        <w:rPr>
          <w:rFonts w:ascii="Arial" w:hAnsi="Arial" w:cs="Arial"/>
          <w:sz w:val="22"/>
          <w:szCs w:val="22"/>
        </w:rPr>
        <w:t>.</w:t>
      </w:r>
    </w:p>
    <w:p w14:paraId="4CDAB714" w14:textId="0A5C6EDA" w:rsidR="007945B3" w:rsidRPr="00476253" w:rsidRDefault="007945B3" w:rsidP="00476253">
      <w:pPr>
        <w:pStyle w:val="Listaszerbekezds"/>
        <w:numPr>
          <w:ilvl w:val="0"/>
          <w:numId w:val="24"/>
        </w:numPr>
        <w:spacing w:line="276" w:lineRule="auto"/>
        <w:jc w:val="both"/>
        <w:rPr>
          <w:rFonts w:ascii="Arial" w:hAnsi="Arial" w:cs="Arial"/>
          <w:sz w:val="22"/>
          <w:szCs w:val="22"/>
        </w:rPr>
      </w:pPr>
      <w:r w:rsidRPr="00476253">
        <w:rPr>
          <w:rFonts w:ascii="Arial" w:hAnsi="Arial" w:cs="Arial"/>
          <w:sz w:val="22"/>
          <w:szCs w:val="22"/>
        </w:rPr>
        <w:t>Kulturális fel</w:t>
      </w:r>
      <w:r w:rsidR="0060691B" w:rsidRPr="00476253">
        <w:rPr>
          <w:rFonts w:ascii="Arial" w:hAnsi="Arial" w:cs="Arial"/>
          <w:sz w:val="22"/>
          <w:szCs w:val="22"/>
        </w:rPr>
        <w:t>adat</w:t>
      </w:r>
      <w:r w:rsidR="00476253" w:rsidRPr="00476253">
        <w:rPr>
          <w:rFonts w:ascii="Arial" w:hAnsi="Arial" w:cs="Arial"/>
          <w:sz w:val="22"/>
          <w:szCs w:val="22"/>
        </w:rPr>
        <w:t>ok</w:t>
      </w:r>
      <w:r w:rsidR="0060691B" w:rsidRPr="00476253">
        <w:rPr>
          <w:rFonts w:ascii="Arial" w:hAnsi="Arial" w:cs="Arial"/>
          <w:sz w:val="22"/>
          <w:szCs w:val="22"/>
        </w:rPr>
        <w:t xml:space="preserve"> támogatására </w:t>
      </w:r>
      <w:r w:rsidR="00476253" w:rsidRPr="00476253">
        <w:rPr>
          <w:rFonts w:ascii="Arial" w:hAnsi="Arial" w:cs="Arial"/>
          <w:sz w:val="22"/>
          <w:szCs w:val="22"/>
        </w:rPr>
        <w:t>13 811 333</w:t>
      </w:r>
      <w:r w:rsidR="005161F2" w:rsidRPr="00476253">
        <w:rPr>
          <w:rFonts w:ascii="Arial" w:hAnsi="Arial" w:cs="Arial"/>
          <w:sz w:val="22"/>
          <w:szCs w:val="22"/>
        </w:rPr>
        <w:t xml:space="preserve"> Ft</w:t>
      </w:r>
      <w:r w:rsidR="00CB4F3B" w:rsidRPr="00476253">
        <w:rPr>
          <w:rFonts w:ascii="Arial" w:hAnsi="Arial" w:cs="Arial"/>
          <w:sz w:val="22"/>
          <w:szCs w:val="22"/>
        </w:rPr>
        <w:t xml:space="preserve"> </w:t>
      </w:r>
      <w:r w:rsidRPr="00476253">
        <w:rPr>
          <w:rFonts w:ascii="Arial" w:hAnsi="Arial" w:cs="Arial"/>
          <w:sz w:val="22"/>
          <w:szCs w:val="22"/>
        </w:rPr>
        <w:t>központi költségvetési fedezet áll rendelkezésünkre,</w:t>
      </w:r>
      <w:r w:rsidR="0060691B" w:rsidRPr="00476253">
        <w:rPr>
          <w:rFonts w:ascii="Arial" w:hAnsi="Arial" w:cs="Arial"/>
          <w:sz w:val="22"/>
          <w:szCs w:val="22"/>
        </w:rPr>
        <w:t xml:space="preserve"> ez az összeg közel </w:t>
      </w:r>
      <w:r w:rsidR="00476253" w:rsidRPr="00476253">
        <w:rPr>
          <w:rFonts w:ascii="Arial" w:hAnsi="Arial" w:cs="Arial"/>
          <w:sz w:val="22"/>
          <w:szCs w:val="22"/>
        </w:rPr>
        <w:t>hasonló</w:t>
      </w:r>
      <w:r w:rsidR="00CB4F3B" w:rsidRPr="00476253">
        <w:rPr>
          <w:rFonts w:ascii="Arial" w:hAnsi="Arial" w:cs="Arial"/>
          <w:sz w:val="22"/>
          <w:szCs w:val="22"/>
        </w:rPr>
        <w:t xml:space="preserve"> összegű</w:t>
      </w:r>
      <w:r w:rsidR="00654560">
        <w:rPr>
          <w:rFonts w:ascii="Arial" w:hAnsi="Arial" w:cs="Arial"/>
          <w:sz w:val="22"/>
          <w:szCs w:val="22"/>
        </w:rPr>
        <w:t>,</w:t>
      </w:r>
      <w:r w:rsidR="00CB4F3B" w:rsidRPr="00476253">
        <w:rPr>
          <w:rFonts w:ascii="Arial" w:hAnsi="Arial" w:cs="Arial"/>
          <w:sz w:val="22"/>
          <w:szCs w:val="22"/>
        </w:rPr>
        <w:t xml:space="preserve"> </w:t>
      </w:r>
      <w:r w:rsidR="00476253" w:rsidRPr="00476253">
        <w:rPr>
          <w:rFonts w:ascii="Arial" w:hAnsi="Arial" w:cs="Arial"/>
          <w:sz w:val="22"/>
          <w:szCs w:val="22"/>
        </w:rPr>
        <w:t>mint az előző évi előirányzat.</w:t>
      </w:r>
    </w:p>
    <w:p w14:paraId="735481E7" w14:textId="2A3CEEBD" w:rsidR="00C06B54" w:rsidRPr="00CC2779" w:rsidRDefault="00C06B54" w:rsidP="00110DD6">
      <w:pPr>
        <w:spacing w:line="276" w:lineRule="auto"/>
        <w:jc w:val="both"/>
        <w:rPr>
          <w:rFonts w:ascii="Arial" w:hAnsi="Arial" w:cs="Arial"/>
          <w:sz w:val="22"/>
          <w:szCs w:val="22"/>
          <w:highlight w:val="yellow"/>
        </w:rPr>
      </w:pPr>
    </w:p>
    <w:p w14:paraId="7FE3780A" w14:textId="2CC4D514" w:rsidR="007A0EDF" w:rsidRDefault="007A0EDF" w:rsidP="006325C2">
      <w:pPr>
        <w:spacing w:line="276" w:lineRule="auto"/>
        <w:jc w:val="both"/>
        <w:rPr>
          <w:rFonts w:ascii="Arial" w:hAnsi="Arial" w:cs="Arial"/>
          <w:bCs/>
          <w:iCs/>
          <w:sz w:val="22"/>
          <w:szCs w:val="22"/>
        </w:rPr>
      </w:pPr>
      <w:r w:rsidRPr="00BE43E5">
        <w:rPr>
          <w:rFonts w:ascii="Arial" w:hAnsi="Arial" w:cs="Arial"/>
          <w:b/>
          <w:sz w:val="22"/>
          <w:szCs w:val="22"/>
          <w:u w:val="single"/>
        </w:rPr>
        <w:t>A működési célú visszatérítendő támogatások, kölcsönök visszatérülése</w:t>
      </w:r>
      <w:r w:rsidRPr="0011001D">
        <w:rPr>
          <w:rFonts w:ascii="Arial" w:hAnsi="Arial" w:cs="Arial"/>
          <w:b/>
          <w:i/>
          <w:sz w:val="22"/>
          <w:szCs w:val="22"/>
          <w:u w:val="single"/>
        </w:rPr>
        <w:t xml:space="preserve"> </w:t>
      </w:r>
      <w:r w:rsidRPr="0011001D">
        <w:rPr>
          <w:rFonts w:ascii="Arial" w:hAnsi="Arial" w:cs="Arial"/>
          <w:bCs/>
          <w:iCs/>
          <w:sz w:val="22"/>
          <w:szCs w:val="22"/>
        </w:rPr>
        <w:t xml:space="preserve">3 000 000 Ft összeggel tartalmazza </w:t>
      </w:r>
      <w:r w:rsidR="0011001D" w:rsidRPr="0011001D">
        <w:rPr>
          <w:rFonts w:ascii="Arial" w:hAnsi="Arial" w:cs="Arial"/>
          <w:bCs/>
          <w:iCs/>
          <w:sz w:val="22"/>
          <w:szCs w:val="22"/>
        </w:rPr>
        <w:t>a TETT</w:t>
      </w:r>
      <w:r w:rsidR="0011001D">
        <w:rPr>
          <w:rFonts w:ascii="Arial" w:hAnsi="Arial" w:cs="Arial"/>
          <w:bCs/>
          <w:iCs/>
          <w:sz w:val="22"/>
          <w:szCs w:val="22"/>
        </w:rPr>
        <w:t xml:space="preserve"> által a részére év eleji költségei </w:t>
      </w:r>
      <w:proofErr w:type="gramStart"/>
      <w:r w:rsidR="00654560">
        <w:rPr>
          <w:rFonts w:ascii="Arial" w:hAnsi="Arial" w:cs="Arial"/>
          <w:bCs/>
          <w:iCs/>
          <w:sz w:val="22"/>
          <w:szCs w:val="22"/>
        </w:rPr>
        <w:t>finanszírozása</w:t>
      </w:r>
      <w:proofErr w:type="gramEnd"/>
      <w:r w:rsidR="0011001D">
        <w:rPr>
          <w:rFonts w:ascii="Arial" w:hAnsi="Arial" w:cs="Arial"/>
          <w:bCs/>
          <w:iCs/>
          <w:sz w:val="22"/>
          <w:szCs w:val="22"/>
        </w:rPr>
        <w:t xml:space="preserve"> céljából átadásra kerülő összeg visszafizetésének bevételét.</w:t>
      </w:r>
    </w:p>
    <w:p w14:paraId="48A0AD1C" w14:textId="77777777" w:rsidR="007A0EDF" w:rsidRPr="007A0EDF" w:rsidRDefault="007A0EDF" w:rsidP="006325C2">
      <w:pPr>
        <w:spacing w:line="276" w:lineRule="auto"/>
        <w:jc w:val="both"/>
        <w:rPr>
          <w:rFonts w:ascii="Arial" w:hAnsi="Arial" w:cs="Arial"/>
          <w:bCs/>
          <w:iCs/>
          <w:sz w:val="22"/>
          <w:szCs w:val="22"/>
        </w:rPr>
      </w:pPr>
    </w:p>
    <w:p w14:paraId="1C7BE4B1" w14:textId="5B89D3B0" w:rsidR="00884C78" w:rsidRPr="00C4594F" w:rsidRDefault="00110DD6" w:rsidP="006325C2">
      <w:pPr>
        <w:spacing w:line="276" w:lineRule="auto"/>
        <w:jc w:val="both"/>
        <w:rPr>
          <w:rFonts w:ascii="Arial" w:hAnsi="Arial" w:cs="Arial"/>
          <w:bCs/>
          <w:iCs/>
          <w:sz w:val="22"/>
          <w:szCs w:val="22"/>
        </w:rPr>
      </w:pPr>
      <w:r w:rsidRPr="00BE43E5">
        <w:rPr>
          <w:rFonts w:ascii="Arial" w:hAnsi="Arial" w:cs="Arial"/>
          <w:b/>
          <w:sz w:val="22"/>
          <w:szCs w:val="22"/>
          <w:u w:val="single"/>
        </w:rPr>
        <w:t>Az e</w:t>
      </w:r>
      <w:r w:rsidR="006325C2" w:rsidRPr="00BE43E5">
        <w:rPr>
          <w:rFonts w:ascii="Arial" w:hAnsi="Arial" w:cs="Arial"/>
          <w:b/>
          <w:sz w:val="22"/>
          <w:szCs w:val="22"/>
          <w:u w:val="single"/>
        </w:rPr>
        <w:t>gyéb műkö</w:t>
      </w:r>
      <w:r w:rsidRPr="00BE43E5">
        <w:rPr>
          <w:rFonts w:ascii="Arial" w:hAnsi="Arial" w:cs="Arial"/>
          <w:b/>
          <w:sz w:val="22"/>
          <w:szCs w:val="22"/>
          <w:u w:val="single"/>
        </w:rPr>
        <w:t>dési célú támogatások bevételei</w:t>
      </w:r>
      <w:r w:rsidRPr="005F74F7">
        <w:rPr>
          <w:rFonts w:ascii="Arial" w:hAnsi="Arial" w:cs="Arial"/>
          <w:i/>
          <w:sz w:val="22"/>
          <w:szCs w:val="22"/>
        </w:rPr>
        <w:t xml:space="preserve"> </w:t>
      </w:r>
      <w:r w:rsidRPr="00C4594F">
        <w:rPr>
          <w:rFonts w:ascii="Arial" w:hAnsi="Arial" w:cs="Arial"/>
          <w:iCs/>
          <w:sz w:val="22"/>
          <w:szCs w:val="22"/>
        </w:rPr>
        <w:t xml:space="preserve">előirányzat összege </w:t>
      </w:r>
      <w:r w:rsidR="007A0EDF">
        <w:rPr>
          <w:rFonts w:ascii="Arial" w:hAnsi="Arial" w:cs="Arial"/>
          <w:iCs/>
          <w:sz w:val="22"/>
          <w:szCs w:val="22"/>
        </w:rPr>
        <w:t>168 565 754</w:t>
      </w:r>
      <w:r w:rsidRPr="00232A21">
        <w:rPr>
          <w:rFonts w:ascii="Arial" w:hAnsi="Arial" w:cs="Arial"/>
          <w:b/>
          <w:i/>
          <w:sz w:val="22"/>
          <w:szCs w:val="22"/>
        </w:rPr>
        <w:t xml:space="preserve"> </w:t>
      </w:r>
      <w:r w:rsidRPr="00C4594F">
        <w:rPr>
          <w:rFonts w:ascii="Arial" w:hAnsi="Arial" w:cs="Arial"/>
          <w:bCs/>
          <w:iCs/>
          <w:sz w:val="22"/>
          <w:szCs w:val="22"/>
        </w:rPr>
        <w:t xml:space="preserve">Ft. </w:t>
      </w:r>
    </w:p>
    <w:p w14:paraId="633F2FF3" w14:textId="24985025" w:rsidR="007F1ED5" w:rsidRDefault="005F74F7" w:rsidP="006325C2">
      <w:pPr>
        <w:spacing w:line="276" w:lineRule="auto"/>
        <w:jc w:val="both"/>
        <w:rPr>
          <w:rFonts w:ascii="Arial" w:hAnsi="Arial" w:cs="Arial"/>
          <w:sz w:val="22"/>
          <w:szCs w:val="22"/>
        </w:rPr>
      </w:pPr>
      <w:r w:rsidRPr="005F74F7">
        <w:rPr>
          <w:rFonts w:ascii="Arial" w:hAnsi="Arial" w:cs="Arial"/>
          <w:sz w:val="22"/>
          <w:szCs w:val="22"/>
        </w:rPr>
        <w:t>Itt jelenik meg</w:t>
      </w:r>
      <w:r w:rsidR="00387B9E">
        <w:rPr>
          <w:rFonts w:ascii="Arial" w:hAnsi="Arial" w:cs="Arial"/>
          <w:sz w:val="22"/>
          <w:szCs w:val="22"/>
        </w:rPr>
        <w:t xml:space="preserve"> többek között</w:t>
      </w:r>
      <w:r w:rsidRPr="005F74F7">
        <w:rPr>
          <w:rFonts w:ascii="Arial" w:hAnsi="Arial" w:cs="Arial"/>
          <w:sz w:val="22"/>
          <w:szCs w:val="22"/>
        </w:rPr>
        <w:t xml:space="preserve"> </w:t>
      </w:r>
      <w:r w:rsidR="00AF4BAC">
        <w:rPr>
          <w:rFonts w:ascii="Arial" w:hAnsi="Arial" w:cs="Arial"/>
          <w:sz w:val="22"/>
          <w:szCs w:val="22"/>
        </w:rPr>
        <w:t>a</w:t>
      </w:r>
      <w:r w:rsidR="007A0EDF" w:rsidRPr="00E8417F">
        <w:rPr>
          <w:rFonts w:ascii="Arial" w:hAnsi="Arial" w:cs="Arial"/>
          <w:sz w:val="22"/>
          <w:szCs w:val="22"/>
        </w:rPr>
        <w:t xml:space="preserve"> TOP Plusz 1.1.1. Kanizsai Dorottya Általános és Zeneiskola </w:t>
      </w:r>
      <w:proofErr w:type="gramStart"/>
      <w:r w:rsidR="007A0EDF" w:rsidRPr="00E8417F">
        <w:rPr>
          <w:rFonts w:ascii="Arial" w:hAnsi="Arial" w:cs="Arial"/>
          <w:sz w:val="22"/>
          <w:szCs w:val="22"/>
        </w:rPr>
        <w:t>Konyha korszerűsítés</w:t>
      </w:r>
      <w:proofErr w:type="gramEnd"/>
      <w:r w:rsidR="007A0EDF">
        <w:rPr>
          <w:rFonts w:ascii="Arial" w:hAnsi="Arial" w:cs="Arial"/>
          <w:sz w:val="22"/>
          <w:szCs w:val="22"/>
        </w:rPr>
        <w:t xml:space="preserve">, valamint a nappali </w:t>
      </w:r>
      <w:r w:rsidR="00AF4BAC">
        <w:rPr>
          <w:rFonts w:ascii="Arial" w:hAnsi="Arial" w:cs="Arial"/>
          <w:sz w:val="22"/>
          <w:szCs w:val="22"/>
        </w:rPr>
        <w:t>szociális ellátás fejlesztése</w:t>
      </w:r>
      <w:r w:rsidR="007A0EDF">
        <w:rPr>
          <w:rFonts w:ascii="Arial" w:hAnsi="Arial" w:cs="Arial"/>
          <w:sz w:val="22"/>
          <w:szCs w:val="22"/>
        </w:rPr>
        <w:t xml:space="preserve"> projektekkel</w:t>
      </w:r>
      <w:r w:rsidR="00AF4BAC">
        <w:rPr>
          <w:rFonts w:ascii="Arial" w:hAnsi="Arial" w:cs="Arial"/>
          <w:sz w:val="22"/>
          <w:szCs w:val="22"/>
        </w:rPr>
        <w:t xml:space="preserve"> kapcsolatban még várható 16 76</w:t>
      </w:r>
      <w:r w:rsidR="007A0EDF">
        <w:rPr>
          <w:rFonts w:ascii="Arial" w:hAnsi="Arial" w:cs="Arial"/>
          <w:sz w:val="22"/>
          <w:szCs w:val="22"/>
        </w:rPr>
        <w:t>8 981 Ft támogatás, a közfoglalkoztatás 9 425 463 Ft összege, a</w:t>
      </w:r>
      <w:r w:rsidRPr="005F74F7">
        <w:rPr>
          <w:rFonts w:ascii="Arial" w:hAnsi="Arial" w:cs="Arial"/>
          <w:sz w:val="22"/>
          <w:szCs w:val="22"/>
        </w:rPr>
        <w:t xml:space="preserve"> TETT-</w:t>
      </w:r>
      <w:proofErr w:type="spellStart"/>
      <w:r w:rsidRPr="005F74F7">
        <w:rPr>
          <w:rFonts w:ascii="Arial" w:hAnsi="Arial" w:cs="Arial"/>
          <w:sz w:val="22"/>
          <w:szCs w:val="22"/>
        </w:rPr>
        <w:t>től</w:t>
      </w:r>
      <w:proofErr w:type="spellEnd"/>
      <w:r w:rsidRPr="005F74F7">
        <w:rPr>
          <w:rFonts w:ascii="Arial" w:hAnsi="Arial" w:cs="Arial"/>
          <w:sz w:val="22"/>
          <w:szCs w:val="22"/>
        </w:rPr>
        <w:t xml:space="preserve"> a </w:t>
      </w:r>
      <w:r w:rsidR="006325C2" w:rsidRPr="005F74F7">
        <w:rPr>
          <w:rFonts w:ascii="Arial" w:hAnsi="Arial" w:cs="Arial"/>
          <w:sz w:val="22"/>
          <w:szCs w:val="22"/>
        </w:rPr>
        <w:t>működési</w:t>
      </w:r>
      <w:r w:rsidR="007F7A97">
        <w:rPr>
          <w:rFonts w:ascii="Arial" w:hAnsi="Arial" w:cs="Arial"/>
          <w:sz w:val="22"/>
          <w:szCs w:val="22"/>
        </w:rPr>
        <w:t xml:space="preserve"> kiadásokra biztosított </w:t>
      </w:r>
      <w:r w:rsidR="00CC2779" w:rsidRPr="00CC2779">
        <w:rPr>
          <w:rFonts w:ascii="Arial" w:hAnsi="Arial" w:cs="Arial"/>
          <w:sz w:val="22"/>
          <w:szCs w:val="22"/>
        </w:rPr>
        <w:t>79 158 000</w:t>
      </w:r>
      <w:r w:rsidR="006325C2" w:rsidRPr="005F74F7">
        <w:rPr>
          <w:rFonts w:ascii="Arial" w:hAnsi="Arial" w:cs="Arial"/>
          <w:sz w:val="22"/>
          <w:szCs w:val="22"/>
        </w:rPr>
        <w:t xml:space="preserve">Ft </w:t>
      </w:r>
      <w:r w:rsidRPr="005F74F7">
        <w:rPr>
          <w:rFonts w:ascii="Arial" w:hAnsi="Arial" w:cs="Arial"/>
          <w:sz w:val="22"/>
          <w:szCs w:val="22"/>
        </w:rPr>
        <w:t xml:space="preserve">támogatás. </w:t>
      </w:r>
    </w:p>
    <w:p w14:paraId="0C08726F" w14:textId="4592462C" w:rsidR="006325C2" w:rsidRPr="00232A21" w:rsidRDefault="00232A21" w:rsidP="006325C2">
      <w:pPr>
        <w:spacing w:line="276" w:lineRule="auto"/>
        <w:jc w:val="both"/>
        <w:rPr>
          <w:rFonts w:ascii="Arial" w:hAnsi="Arial" w:cs="Arial"/>
          <w:sz w:val="22"/>
          <w:szCs w:val="22"/>
        </w:rPr>
      </w:pPr>
      <w:r w:rsidRPr="00232A21">
        <w:rPr>
          <w:rFonts w:ascii="Arial" w:hAnsi="Arial" w:cs="Arial"/>
          <w:sz w:val="22"/>
          <w:szCs w:val="22"/>
        </w:rPr>
        <w:t xml:space="preserve">A </w:t>
      </w:r>
      <w:r w:rsidR="006325C2" w:rsidRPr="00232A21">
        <w:rPr>
          <w:rFonts w:ascii="Arial" w:hAnsi="Arial" w:cs="Arial"/>
          <w:sz w:val="22"/>
          <w:szCs w:val="22"/>
        </w:rPr>
        <w:t xml:space="preserve">Bátaszéki Közös Önkormányzati Hivatal </w:t>
      </w:r>
      <w:r w:rsidRPr="00232A21">
        <w:rPr>
          <w:rFonts w:ascii="Arial" w:hAnsi="Arial" w:cs="Arial"/>
          <w:sz w:val="22"/>
          <w:szCs w:val="22"/>
        </w:rPr>
        <w:t>vonatkozásában itt kerül megtervezésre</w:t>
      </w:r>
      <w:r w:rsidR="006325C2" w:rsidRPr="00232A21">
        <w:rPr>
          <w:rFonts w:ascii="Arial" w:hAnsi="Arial" w:cs="Arial"/>
          <w:sz w:val="22"/>
          <w:szCs w:val="22"/>
        </w:rPr>
        <w:t xml:space="preserve"> a </w:t>
      </w:r>
      <w:r w:rsidR="006325C2" w:rsidRPr="00D13891">
        <w:rPr>
          <w:rFonts w:ascii="Arial" w:hAnsi="Arial" w:cs="Arial"/>
          <w:sz w:val="22"/>
          <w:szCs w:val="22"/>
        </w:rPr>
        <w:t>társtelepülések által vállalt</w:t>
      </w:r>
      <w:r w:rsidRPr="00D13891">
        <w:rPr>
          <w:rFonts w:ascii="Arial" w:hAnsi="Arial" w:cs="Arial"/>
          <w:sz w:val="22"/>
          <w:szCs w:val="22"/>
        </w:rPr>
        <w:t xml:space="preserve"> hozzájárulás </w:t>
      </w:r>
      <w:r w:rsidR="007F1ED5">
        <w:rPr>
          <w:rFonts w:ascii="Arial" w:hAnsi="Arial" w:cs="Arial"/>
          <w:sz w:val="22"/>
          <w:szCs w:val="22"/>
        </w:rPr>
        <w:t>36 712 133</w:t>
      </w:r>
      <w:r w:rsidR="00A82F71" w:rsidRPr="00D13891">
        <w:rPr>
          <w:rFonts w:ascii="Arial" w:hAnsi="Arial" w:cs="Arial"/>
          <w:sz w:val="22"/>
          <w:szCs w:val="22"/>
        </w:rPr>
        <w:t xml:space="preserve"> Ft </w:t>
      </w:r>
      <w:r w:rsidRPr="00D13891">
        <w:rPr>
          <w:rFonts w:ascii="Arial" w:hAnsi="Arial" w:cs="Arial"/>
          <w:sz w:val="22"/>
          <w:szCs w:val="22"/>
        </w:rPr>
        <w:t>összegben, valamint a két</w:t>
      </w:r>
      <w:r w:rsidR="006325C2" w:rsidRPr="00D13891">
        <w:rPr>
          <w:rFonts w:ascii="Arial" w:hAnsi="Arial" w:cs="Arial"/>
          <w:sz w:val="22"/>
          <w:szCs w:val="22"/>
        </w:rPr>
        <w:t xml:space="preserve"> Társulás</w:t>
      </w:r>
      <w:r w:rsidRPr="00D13891">
        <w:rPr>
          <w:rFonts w:ascii="Arial" w:hAnsi="Arial" w:cs="Arial"/>
          <w:sz w:val="22"/>
          <w:szCs w:val="22"/>
        </w:rPr>
        <w:t xml:space="preserve">tól átvett hozzájárulás. Az ESZGY </w:t>
      </w:r>
      <w:r w:rsidR="00FB3395" w:rsidRPr="00D13891">
        <w:rPr>
          <w:rFonts w:ascii="Arial" w:hAnsi="Arial" w:cs="Arial"/>
          <w:sz w:val="22"/>
          <w:szCs w:val="22"/>
        </w:rPr>
        <w:t xml:space="preserve">Társulás </w:t>
      </w:r>
      <w:r w:rsidR="007F1ED5">
        <w:rPr>
          <w:rFonts w:ascii="Arial" w:hAnsi="Arial" w:cs="Arial"/>
          <w:sz w:val="22"/>
          <w:szCs w:val="22"/>
        </w:rPr>
        <w:t>8 210 018</w:t>
      </w:r>
      <w:r w:rsidR="006325C2" w:rsidRPr="00D13891">
        <w:rPr>
          <w:rFonts w:ascii="Arial" w:hAnsi="Arial" w:cs="Arial"/>
          <w:sz w:val="22"/>
          <w:szCs w:val="22"/>
        </w:rPr>
        <w:t xml:space="preserve"> Ft</w:t>
      </w:r>
      <w:r w:rsidRPr="00D13891">
        <w:rPr>
          <w:rFonts w:ascii="Arial" w:hAnsi="Arial" w:cs="Arial"/>
          <w:sz w:val="22"/>
          <w:szCs w:val="22"/>
        </w:rPr>
        <w:t xml:space="preserve">-tal, a MOB </w:t>
      </w:r>
      <w:r w:rsidR="00FB3395" w:rsidRPr="00D13891">
        <w:rPr>
          <w:rFonts w:ascii="Arial" w:hAnsi="Arial" w:cs="Arial"/>
          <w:sz w:val="22"/>
          <w:szCs w:val="22"/>
        </w:rPr>
        <w:t>Társulás</w:t>
      </w:r>
      <w:r w:rsidR="00D13891" w:rsidRPr="00D13891">
        <w:rPr>
          <w:rFonts w:ascii="Arial" w:hAnsi="Arial" w:cs="Arial"/>
          <w:sz w:val="22"/>
          <w:szCs w:val="22"/>
        </w:rPr>
        <w:t xml:space="preserve"> </w:t>
      </w:r>
      <w:r w:rsidR="007F1ED5">
        <w:rPr>
          <w:rFonts w:ascii="Arial" w:hAnsi="Arial" w:cs="Arial"/>
          <w:sz w:val="22"/>
          <w:szCs w:val="22"/>
        </w:rPr>
        <w:t>17 443 159</w:t>
      </w:r>
      <w:r w:rsidR="00D13891" w:rsidRPr="00D13891">
        <w:rPr>
          <w:rFonts w:ascii="Arial" w:hAnsi="Arial" w:cs="Arial"/>
          <w:sz w:val="22"/>
          <w:szCs w:val="22"/>
        </w:rPr>
        <w:t xml:space="preserve"> </w:t>
      </w:r>
      <w:r w:rsidR="006325C2" w:rsidRPr="00D13891">
        <w:rPr>
          <w:rFonts w:ascii="Arial" w:hAnsi="Arial" w:cs="Arial"/>
          <w:sz w:val="22"/>
          <w:szCs w:val="22"/>
        </w:rPr>
        <w:t>Ft</w:t>
      </w:r>
      <w:r w:rsidRPr="00D13891">
        <w:rPr>
          <w:rFonts w:ascii="Arial" w:hAnsi="Arial" w:cs="Arial"/>
          <w:sz w:val="22"/>
          <w:szCs w:val="22"/>
        </w:rPr>
        <w:t>-tal</w:t>
      </w:r>
      <w:r w:rsidR="006325C2" w:rsidRPr="00D13891">
        <w:rPr>
          <w:rFonts w:ascii="Arial" w:hAnsi="Arial" w:cs="Arial"/>
          <w:sz w:val="22"/>
          <w:szCs w:val="22"/>
        </w:rPr>
        <w:t xml:space="preserve"> </w:t>
      </w:r>
      <w:r w:rsidRPr="00D13891">
        <w:rPr>
          <w:rFonts w:ascii="Arial" w:hAnsi="Arial" w:cs="Arial"/>
          <w:sz w:val="22"/>
          <w:szCs w:val="22"/>
        </w:rPr>
        <w:t>járul hozzá a hatályos társulási megállapodásban rögzített teherviselési elveknek megfelelően a munkaszervezet költségeihez.</w:t>
      </w:r>
      <w:r w:rsidR="00AB2FE0" w:rsidRPr="00D13891">
        <w:rPr>
          <w:rFonts w:ascii="Arial" w:hAnsi="Arial" w:cs="Arial"/>
          <w:sz w:val="22"/>
          <w:szCs w:val="22"/>
        </w:rPr>
        <w:t xml:space="preserve"> </w:t>
      </w:r>
      <w:r w:rsidR="00AB2FE0" w:rsidRPr="0011001D">
        <w:rPr>
          <w:rFonts w:ascii="Arial" w:hAnsi="Arial" w:cs="Arial"/>
          <w:sz w:val="22"/>
          <w:szCs w:val="22"/>
        </w:rPr>
        <w:t>(</w:t>
      </w:r>
      <w:r w:rsidR="0011001D" w:rsidRPr="0011001D">
        <w:rPr>
          <w:rFonts w:ascii="Arial" w:hAnsi="Arial" w:cs="Arial"/>
          <w:sz w:val="22"/>
          <w:szCs w:val="22"/>
        </w:rPr>
        <w:t>19</w:t>
      </w:r>
      <w:r w:rsidR="004A1820" w:rsidRPr="0011001D">
        <w:rPr>
          <w:rFonts w:ascii="Arial" w:hAnsi="Arial" w:cs="Arial"/>
          <w:sz w:val="22"/>
          <w:szCs w:val="22"/>
        </w:rPr>
        <w:t>.</w:t>
      </w:r>
      <w:r w:rsidR="00AB2FE0" w:rsidRPr="0011001D">
        <w:rPr>
          <w:rFonts w:ascii="Arial" w:hAnsi="Arial" w:cs="Arial"/>
          <w:sz w:val="22"/>
          <w:szCs w:val="22"/>
        </w:rPr>
        <w:t xml:space="preserve"> </w:t>
      </w:r>
      <w:r w:rsidR="004A1820" w:rsidRPr="0011001D">
        <w:rPr>
          <w:rFonts w:ascii="Arial" w:hAnsi="Arial" w:cs="Arial"/>
          <w:sz w:val="22"/>
          <w:szCs w:val="22"/>
        </w:rPr>
        <w:t>melléklet)</w:t>
      </w:r>
    </w:p>
    <w:p w14:paraId="3B1AB503" w14:textId="77777777" w:rsidR="006325C2" w:rsidRPr="00232A21" w:rsidRDefault="006325C2" w:rsidP="006325C2">
      <w:pPr>
        <w:spacing w:line="276" w:lineRule="auto"/>
        <w:jc w:val="both"/>
        <w:rPr>
          <w:rFonts w:ascii="Arial" w:hAnsi="Arial" w:cs="Arial"/>
          <w:sz w:val="22"/>
          <w:szCs w:val="22"/>
        </w:rPr>
      </w:pPr>
    </w:p>
    <w:p w14:paraId="56564556" w14:textId="4061008E" w:rsidR="007F1ED5" w:rsidRDefault="006325C2" w:rsidP="007F1ED5">
      <w:pPr>
        <w:spacing w:line="276" w:lineRule="auto"/>
        <w:jc w:val="both"/>
        <w:rPr>
          <w:rFonts w:ascii="Arial" w:hAnsi="Arial" w:cs="Arial"/>
          <w:sz w:val="22"/>
          <w:szCs w:val="22"/>
        </w:rPr>
      </w:pPr>
      <w:r w:rsidRPr="00E8417F">
        <w:rPr>
          <w:rFonts w:ascii="Arial" w:hAnsi="Arial" w:cs="Arial"/>
          <w:sz w:val="22"/>
          <w:szCs w:val="22"/>
        </w:rPr>
        <w:t xml:space="preserve">A </w:t>
      </w:r>
      <w:r w:rsidRPr="00E8417F">
        <w:rPr>
          <w:rFonts w:ascii="Arial" w:hAnsi="Arial" w:cs="Arial"/>
          <w:b/>
          <w:sz w:val="22"/>
          <w:szCs w:val="22"/>
          <w:u w:val="single"/>
        </w:rPr>
        <w:t xml:space="preserve">felhalmozási célú támogatások államháztartáson </w:t>
      </w:r>
      <w:r w:rsidRPr="009A0F10">
        <w:rPr>
          <w:rFonts w:ascii="Arial" w:hAnsi="Arial" w:cs="Arial"/>
          <w:b/>
          <w:sz w:val="22"/>
          <w:szCs w:val="22"/>
          <w:u w:val="single"/>
        </w:rPr>
        <w:t>belülről</w:t>
      </w:r>
      <w:r w:rsidRPr="009A0F10">
        <w:rPr>
          <w:rFonts w:ascii="Arial" w:hAnsi="Arial" w:cs="Arial"/>
          <w:sz w:val="22"/>
          <w:szCs w:val="22"/>
          <w:u w:val="single"/>
        </w:rPr>
        <w:t xml:space="preserve"> </w:t>
      </w:r>
      <w:r w:rsidR="004A1820" w:rsidRPr="009A0F10">
        <w:rPr>
          <w:rFonts w:ascii="Arial" w:hAnsi="Arial" w:cs="Arial"/>
          <w:sz w:val="22"/>
          <w:szCs w:val="22"/>
        </w:rPr>
        <w:t xml:space="preserve">előirányzat </w:t>
      </w:r>
      <w:proofErr w:type="gramStart"/>
      <w:r w:rsidR="004A1820" w:rsidRPr="009A0F10">
        <w:rPr>
          <w:rFonts w:ascii="Arial" w:hAnsi="Arial" w:cs="Arial"/>
          <w:sz w:val="22"/>
          <w:szCs w:val="22"/>
        </w:rPr>
        <w:t xml:space="preserve">összege </w:t>
      </w:r>
      <w:r w:rsidR="00003B13">
        <w:rPr>
          <w:rFonts w:ascii="Arial" w:hAnsi="Arial" w:cs="Arial"/>
          <w:sz w:val="22"/>
          <w:szCs w:val="22"/>
        </w:rPr>
        <w:t xml:space="preserve">            </w:t>
      </w:r>
      <w:r w:rsidR="007F1ED5">
        <w:rPr>
          <w:rFonts w:ascii="Arial" w:hAnsi="Arial" w:cs="Arial"/>
          <w:sz w:val="22"/>
          <w:szCs w:val="22"/>
        </w:rPr>
        <w:t>34</w:t>
      </w:r>
      <w:proofErr w:type="gramEnd"/>
      <w:r w:rsidR="007F1ED5">
        <w:rPr>
          <w:rFonts w:ascii="Arial" w:hAnsi="Arial" w:cs="Arial"/>
          <w:sz w:val="22"/>
          <w:szCs w:val="22"/>
        </w:rPr>
        <w:t> 663 928</w:t>
      </w:r>
      <w:r w:rsidR="008A009F" w:rsidRPr="009A0F10">
        <w:rPr>
          <w:rFonts w:ascii="Arial" w:hAnsi="Arial" w:cs="Arial"/>
          <w:sz w:val="22"/>
          <w:szCs w:val="22"/>
        </w:rPr>
        <w:t xml:space="preserve"> </w:t>
      </w:r>
      <w:r w:rsidR="004A1820" w:rsidRPr="009A0F10">
        <w:rPr>
          <w:rFonts w:ascii="Arial" w:hAnsi="Arial" w:cs="Arial"/>
          <w:sz w:val="22"/>
          <w:szCs w:val="22"/>
        </w:rPr>
        <w:t>Ft.</w:t>
      </w:r>
      <w:r w:rsidRPr="00E8417F">
        <w:rPr>
          <w:rFonts w:ascii="Arial" w:hAnsi="Arial" w:cs="Arial"/>
          <w:sz w:val="22"/>
          <w:szCs w:val="22"/>
        </w:rPr>
        <w:t xml:space="preserve"> </w:t>
      </w:r>
      <w:r w:rsidR="007F1ED5">
        <w:rPr>
          <w:rFonts w:ascii="Arial" w:hAnsi="Arial" w:cs="Arial"/>
          <w:sz w:val="22"/>
          <w:szCs w:val="22"/>
        </w:rPr>
        <w:t>Az önkormányzat az általános iskola sportpályájának felújítására tavaly az Aktív Magyarország program keretében támogatást nyert</w:t>
      </w:r>
      <w:r w:rsidR="00AF4BAC">
        <w:rPr>
          <w:rFonts w:ascii="Arial" w:hAnsi="Arial" w:cs="Arial"/>
          <w:sz w:val="22"/>
          <w:szCs w:val="22"/>
        </w:rPr>
        <w:t>. A támogatás</w:t>
      </w:r>
      <w:r w:rsidR="007F1ED5">
        <w:rPr>
          <w:rFonts w:ascii="Arial" w:hAnsi="Arial" w:cs="Arial"/>
          <w:sz w:val="22"/>
          <w:szCs w:val="22"/>
        </w:rPr>
        <w:t xml:space="preserve"> 21 664 954 Ft összege, valamint a Tankerület által átadá</w:t>
      </w:r>
      <w:r w:rsidR="00AF4BAC">
        <w:rPr>
          <w:rFonts w:ascii="Arial" w:hAnsi="Arial" w:cs="Arial"/>
          <w:sz w:val="22"/>
          <w:szCs w:val="22"/>
        </w:rPr>
        <w:t>sra kerülő 12 998 974 Ft itt került megtervezésre</w:t>
      </w:r>
      <w:r w:rsidR="007F1ED5">
        <w:rPr>
          <w:rFonts w:ascii="Arial" w:hAnsi="Arial" w:cs="Arial"/>
          <w:sz w:val="22"/>
          <w:szCs w:val="22"/>
        </w:rPr>
        <w:t xml:space="preserve">. </w:t>
      </w:r>
    </w:p>
    <w:p w14:paraId="57A7DB82" w14:textId="46AEC76A" w:rsidR="00E8417F" w:rsidRPr="00A82F71" w:rsidRDefault="00E8417F" w:rsidP="006325C2">
      <w:pPr>
        <w:spacing w:line="276" w:lineRule="auto"/>
        <w:jc w:val="both"/>
        <w:rPr>
          <w:rFonts w:ascii="Arial" w:hAnsi="Arial" w:cs="Arial"/>
          <w:sz w:val="22"/>
          <w:szCs w:val="22"/>
          <w:highlight w:val="yellow"/>
        </w:rPr>
      </w:pPr>
    </w:p>
    <w:p w14:paraId="3A950568" w14:textId="5B52A750" w:rsidR="006325C2" w:rsidRPr="0001118B" w:rsidRDefault="006325C2" w:rsidP="006325C2">
      <w:pPr>
        <w:spacing w:line="276" w:lineRule="auto"/>
        <w:jc w:val="both"/>
        <w:rPr>
          <w:rFonts w:ascii="Arial" w:hAnsi="Arial" w:cs="Arial"/>
          <w:sz w:val="22"/>
          <w:szCs w:val="22"/>
        </w:rPr>
      </w:pPr>
      <w:r w:rsidRPr="00BE43E5">
        <w:rPr>
          <w:rFonts w:ascii="Arial" w:hAnsi="Arial" w:cs="Arial"/>
          <w:b/>
          <w:bCs/>
          <w:sz w:val="22"/>
          <w:szCs w:val="22"/>
          <w:u w:val="single"/>
        </w:rPr>
        <w:t>A közhatalmi bevételek</w:t>
      </w:r>
      <w:r w:rsidRPr="0001118B">
        <w:rPr>
          <w:rFonts w:ascii="Arial" w:hAnsi="Arial" w:cs="Arial"/>
          <w:sz w:val="22"/>
          <w:szCs w:val="22"/>
        </w:rPr>
        <w:t xml:space="preserve"> </w:t>
      </w:r>
      <w:r w:rsidR="00A765BC" w:rsidRPr="0001118B">
        <w:rPr>
          <w:rFonts w:ascii="Arial" w:hAnsi="Arial" w:cs="Arial"/>
          <w:sz w:val="22"/>
          <w:szCs w:val="22"/>
        </w:rPr>
        <w:t xml:space="preserve">előirányzata </w:t>
      </w:r>
      <w:r w:rsidR="00387B9E">
        <w:rPr>
          <w:rFonts w:ascii="Arial" w:hAnsi="Arial" w:cs="Arial"/>
          <w:sz w:val="22"/>
          <w:szCs w:val="22"/>
        </w:rPr>
        <w:t>566 000</w:t>
      </w:r>
      <w:r w:rsidR="00E8417F" w:rsidRPr="0001118B">
        <w:rPr>
          <w:rFonts w:ascii="Arial" w:hAnsi="Arial" w:cs="Arial"/>
          <w:sz w:val="22"/>
          <w:szCs w:val="22"/>
        </w:rPr>
        <w:t xml:space="preserve"> 000</w:t>
      </w:r>
      <w:r w:rsidR="00A765BC" w:rsidRPr="0001118B">
        <w:rPr>
          <w:rFonts w:ascii="Arial" w:hAnsi="Arial" w:cs="Arial"/>
          <w:b/>
          <w:bCs/>
          <w:sz w:val="22"/>
          <w:szCs w:val="22"/>
        </w:rPr>
        <w:t xml:space="preserve"> </w:t>
      </w:r>
      <w:r w:rsidR="00A765BC" w:rsidRPr="00D16DDC">
        <w:rPr>
          <w:rFonts w:ascii="Arial" w:hAnsi="Arial" w:cs="Arial"/>
          <w:sz w:val="22"/>
          <w:szCs w:val="22"/>
        </w:rPr>
        <w:t>Ft,</w:t>
      </w:r>
      <w:r w:rsidR="00A765BC" w:rsidRPr="0001118B">
        <w:rPr>
          <w:rFonts w:ascii="Arial" w:hAnsi="Arial" w:cs="Arial"/>
          <w:sz w:val="22"/>
          <w:szCs w:val="22"/>
        </w:rPr>
        <w:t xml:space="preserve"> </w:t>
      </w:r>
      <w:r w:rsidR="00C22FF4" w:rsidRPr="0001118B">
        <w:rPr>
          <w:rFonts w:ascii="Arial" w:hAnsi="Arial" w:cs="Arial"/>
          <w:sz w:val="22"/>
          <w:szCs w:val="22"/>
        </w:rPr>
        <w:t>mely</w:t>
      </w:r>
      <w:r w:rsidR="00392034" w:rsidRPr="0001118B">
        <w:rPr>
          <w:rFonts w:ascii="Arial" w:hAnsi="Arial" w:cs="Arial"/>
          <w:sz w:val="22"/>
          <w:szCs w:val="22"/>
        </w:rPr>
        <w:t xml:space="preserve"> bevételi forrás az előző évi eredeti</w:t>
      </w:r>
      <w:r w:rsidR="00C22FF4" w:rsidRPr="0001118B">
        <w:rPr>
          <w:rFonts w:ascii="Arial" w:hAnsi="Arial" w:cs="Arial"/>
          <w:sz w:val="22"/>
          <w:szCs w:val="22"/>
        </w:rPr>
        <w:t xml:space="preserve"> </w:t>
      </w:r>
      <w:r w:rsidR="00387B9E">
        <w:rPr>
          <w:rFonts w:ascii="Arial" w:hAnsi="Arial" w:cs="Arial"/>
          <w:sz w:val="22"/>
          <w:szCs w:val="22"/>
        </w:rPr>
        <w:t>459 600</w:t>
      </w:r>
      <w:r w:rsidR="00392034" w:rsidRPr="0001118B">
        <w:rPr>
          <w:rFonts w:ascii="Arial" w:hAnsi="Arial" w:cs="Arial"/>
          <w:sz w:val="22"/>
          <w:szCs w:val="22"/>
        </w:rPr>
        <w:t xml:space="preserve"> 000 Ft összegű előirányzathoz </w:t>
      </w:r>
      <w:r w:rsidR="00C22FF4" w:rsidRPr="0001118B">
        <w:rPr>
          <w:rFonts w:ascii="Arial" w:hAnsi="Arial" w:cs="Arial"/>
          <w:sz w:val="22"/>
          <w:szCs w:val="22"/>
        </w:rPr>
        <w:t xml:space="preserve">képest </w:t>
      </w:r>
      <w:r w:rsidR="00387B9E">
        <w:rPr>
          <w:rFonts w:ascii="Arial" w:hAnsi="Arial" w:cs="Arial"/>
          <w:sz w:val="22"/>
          <w:szCs w:val="22"/>
        </w:rPr>
        <w:t>106,4</w:t>
      </w:r>
      <w:r w:rsidR="00D16DDC">
        <w:rPr>
          <w:rFonts w:ascii="Arial" w:hAnsi="Arial" w:cs="Arial"/>
          <w:sz w:val="22"/>
          <w:szCs w:val="22"/>
        </w:rPr>
        <w:t xml:space="preserve"> millió</w:t>
      </w:r>
      <w:r w:rsidR="0019587B" w:rsidRPr="0001118B">
        <w:rPr>
          <w:rFonts w:ascii="Arial" w:hAnsi="Arial" w:cs="Arial"/>
          <w:sz w:val="22"/>
          <w:szCs w:val="22"/>
        </w:rPr>
        <w:t xml:space="preserve"> Ft-tal magasabb. E saját bevételnél a magánszemélyek </w:t>
      </w:r>
      <w:proofErr w:type="gramStart"/>
      <w:r w:rsidR="0019587B" w:rsidRPr="0001118B">
        <w:rPr>
          <w:rFonts w:ascii="Arial" w:hAnsi="Arial" w:cs="Arial"/>
          <w:sz w:val="22"/>
          <w:szCs w:val="22"/>
        </w:rPr>
        <w:t>kommunális</w:t>
      </w:r>
      <w:proofErr w:type="gramEnd"/>
      <w:r w:rsidR="0019587B" w:rsidRPr="0001118B">
        <w:rPr>
          <w:rFonts w:ascii="Arial" w:hAnsi="Arial" w:cs="Arial"/>
          <w:sz w:val="22"/>
          <w:szCs w:val="22"/>
        </w:rPr>
        <w:t xml:space="preserve"> adóját</w:t>
      </w:r>
      <w:r w:rsidRPr="0001118B">
        <w:rPr>
          <w:rFonts w:ascii="Arial" w:hAnsi="Arial" w:cs="Arial"/>
          <w:sz w:val="22"/>
          <w:szCs w:val="22"/>
        </w:rPr>
        <w:t xml:space="preserve"> </w:t>
      </w:r>
      <w:r w:rsidR="0019587B" w:rsidRPr="0001118B">
        <w:rPr>
          <w:rFonts w:ascii="Arial" w:hAnsi="Arial" w:cs="Arial"/>
          <w:sz w:val="22"/>
          <w:szCs w:val="22"/>
        </w:rPr>
        <w:t xml:space="preserve">az előző évivel azonos szinten, 32 000 000 Ft-tal vettük figyelembe. A talajterhelési díj </w:t>
      </w:r>
      <w:r w:rsidR="00387B9E">
        <w:rPr>
          <w:rFonts w:ascii="Arial" w:hAnsi="Arial" w:cs="Arial"/>
          <w:sz w:val="22"/>
          <w:szCs w:val="22"/>
        </w:rPr>
        <w:t>1 500 000</w:t>
      </w:r>
      <w:r w:rsidR="0019587B" w:rsidRPr="0001118B">
        <w:rPr>
          <w:rFonts w:ascii="Arial" w:hAnsi="Arial" w:cs="Arial"/>
          <w:sz w:val="22"/>
          <w:szCs w:val="22"/>
        </w:rPr>
        <w:t xml:space="preserve"> F</w:t>
      </w:r>
      <w:r w:rsidR="00B2026D" w:rsidRPr="0001118B">
        <w:rPr>
          <w:rFonts w:ascii="Arial" w:hAnsi="Arial" w:cs="Arial"/>
          <w:sz w:val="22"/>
          <w:szCs w:val="22"/>
        </w:rPr>
        <w:t>t</w:t>
      </w:r>
      <w:r w:rsidR="0019587B" w:rsidRPr="0001118B">
        <w:rPr>
          <w:rFonts w:ascii="Arial" w:hAnsi="Arial" w:cs="Arial"/>
          <w:sz w:val="22"/>
          <w:szCs w:val="22"/>
        </w:rPr>
        <w:t xml:space="preserve">-tal, </w:t>
      </w:r>
      <w:r w:rsidR="00A45508" w:rsidRPr="0001118B">
        <w:rPr>
          <w:rFonts w:ascii="Arial" w:hAnsi="Arial" w:cs="Arial"/>
          <w:sz w:val="22"/>
          <w:szCs w:val="22"/>
        </w:rPr>
        <w:t>az egyéb közhatalmi bevétel (pl. bírság</w:t>
      </w:r>
      <w:r w:rsidR="006C513A" w:rsidRPr="0001118B">
        <w:rPr>
          <w:rFonts w:ascii="Arial" w:hAnsi="Arial" w:cs="Arial"/>
          <w:sz w:val="22"/>
          <w:szCs w:val="22"/>
        </w:rPr>
        <w:t>, pótlék</w:t>
      </w:r>
      <w:r w:rsidR="00A45508" w:rsidRPr="0001118B">
        <w:rPr>
          <w:rFonts w:ascii="Arial" w:hAnsi="Arial" w:cs="Arial"/>
          <w:sz w:val="22"/>
          <w:szCs w:val="22"/>
        </w:rPr>
        <w:t xml:space="preserve">) </w:t>
      </w:r>
      <w:r w:rsidR="007176CB" w:rsidRPr="0001118B">
        <w:rPr>
          <w:rFonts w:ascii="Arial" w:hAnsi="Arial" w:cs="Arial"/>
          <w:sz w:val="22"/>
          <w:szCs w:val="22"/>
        </w:rPr>
        <w:t>2</w:t>
      </w:r>
      <w:r w:rsidR="0019587B" w:rsidRPr="0001118B">
        <w:rPr>
          <w:rFonts w:ascii="Arial" w:hAnsi="Arial" w:cs="Arial"/>
          <w:sz w:val="22"/>
          <w:szCs w:val="22"/>
        </w:rPr>
        <w:t> </w:t>
      </w:r>
      <w:r w:rsidR="00387B9E">
        <w:rPr>
          <w:rFonts w:ascii="Arial" w:hAnsi="Arial" w:cs="Arial"/>
          <w:sz w:val="22"/>
          <w:szCs w:val="22"/>
        </w:rPr>
        <w:t>5</w:t>
      </w:r>
      <w:r w:rsidR="0019587B" w:rsidRPr="0001118B">
        <w:rPr>
          <w:rFonts w:ascii="Arial" w:hAnsi="Arial" w:cs="Arial"/>
          <w:sz w:val="22"/>
          <w:szCs w:val="22"/>
        </w:rPr>
        <w:t xml:space="preserve">00 000 Ft-tal szerepel </w:t>
      </w:r>
      <w:r w:rsidR="00A45508" w:rsidRPr="0001118B">
        <w:rPr>
          <w:rFonts w:ascii="Arial" w:hAnsi="Arial" w:cs="Arial"/>
          <w:sz w:val="22"/>
          <w:szCs w:val="22"/>
        </w:rPr>
        <w:t>a javaslatban</w:t>
      </w:r>
      <w:r w:rsidR="00387B9E">
        <w:rPr>
          <w:rFonts w:ascii="Arial" w:hAnsi="Arial" w:cs="Arial"/>
          <w:sz w:val="22"/>
          <w:szCs w:val="22"/>
        </w:rPr>
        <w:t>.</w:t>
      </w:r>
    </w:p>
    <w:p w14:paraId="6ACA6F43" w14:textId="33522AEF" w:rsidR="006325C2" w:rsidRPr="0001118B" w:rsidRDefault="006325C2" w:rsidP="006325C2">
      <w:pPr>
        <w:spacing w:line="276" w:lineRule="auto"/>
        <w:jc w:val="both"/>
        <w:rPr>
          <w:rFonts w:ascii="Arial" w:hAnsi="Arial" w:cs="Arial"/>
          <w:sz w:val="22"/>
          <w:szCs w:val="22"/>
        </w:rPr>
      </w:pPr>
      <w:r w:rsidRPr="0001118B">
        <w:rPr>
          <w:rFonts w:ascii="Arial" w:hAnsi="Arial" w:cs="Arial"/>
          <w:sz w:val="22"/>
          <w:szCs w:val="22"/>
        </w:rPr>
        <w:t xml:space="preserve">Az iparűzési adó soron </w:t>
      </w:r>
      <w:r w:rsidR="00987FC0" w:rsidRPr="0001118B">
        <w:rPr>
          <w:rFonts w:ascii="Arial" w:hAnsi="Arial" w:cs="Arial"/>
          <w:sz w:val="22"/>
          <w:szCs w:val="22"/>
        </w:rPr>
        <w:t xml:space="preserve">eredeti előirányzatként </w:t>
      </w:r>
      <w:r w:rsidR="00387B9E">
        <w:rPr>
          <w:rFonts w:ascii="Arial" w:hAnsi="Arial" w:cs="Arial"/>
          <w:sz w:val="22"/>
          <w:szCs w:val="22"/>
        </w:rPr>
        <w:t xml:space="preserve">530 </w:t>
      </w:r>
      <w:r w:rsidR="00A45508" w:rsidRPr="0001118B">
        <w:rPr>
          <w:rFonts w:ascii="Arial" w:hAnsi="Arial" w:cs="Arial"/>
          <w:sz w:val="22"/>
          <w:szCs w:val="22"/>
        </w:rPr>
        <w:t>0</w:t>
      </w:r>
      <w:r w:rsidR="00B2026D" w:rsidRPr="0001118B">
        <w:rPr>
          <w:rFonts w:ascii="Arial" w:hAnsi="Arial" w:cs="Arial"/>
          <w:sz w:val="22"/>
          <w:szCs w:val="22"/>
        </w:rPr>
        <w:t>00 000 Ft bevétellel számol</w:t>
      </w:r>
      <w:r w:rsidR="0001118B" w:rsidRPr="0001118B">
        <w:rPr>
          <w:rFonts w:ascii="Arial" w:hAnsi="Arial" w:cs="Arial"/>
          <w:sz w:val="22"/>
          <w:szCs w:val="22"/>
        </w:rPr>
        <w:t>t</w:t>
      </w:r>
      <w:r w:rsidR="00B2026D" w:rsidRPr="0001118B">
        <w:rPr>
          <w:rFonts w:ascii="Arial" w:hAnsi="Arial" w:cs="Arial"/>
          <w:sz w:val="22"/>
          <w:szCs w:val="22"/>
        </w:rPr>
        <w:t>unk</w:t>
      </w:r>
      <w:r w:rsidR="0001118B" w:rsidRPr="0001118B">
        <w:rPr>
          <w:rFonts w:ascii="Arial" w:hAnsi="Arial" w:cs="Arial"/>
          <w:sz w:val="22"/>
          <w:szCs w:val="22"/>
        </w:rPr>
        <w:t xml:space="preserve">. </w:t>
      </w:r>
      <w:r w:rsidR="00392034" w:rsidRPr="0001118B">
        <w:rPr>
          <w:rFonts w:ascii="Arial" w:hAnsi="Arial" w:cs="Arial"/>
          <w:sz w:val="22"/>
          <w:szCs w:val="22"/>
        </w:rPr>
        <w:t xml:space="preserve">Az </w:t>
      </w:r>
      <w:r w:rsidR="00AF4BAC">
        <w:rPr>
          <w:rFonts w:ascii="Arial" w:hAnsi="Arial" w:cs="Arial"/>
          <w:sz w:val="22"/>
          <w:szCs w:val="22"/>
        </w:rPr>
        <w:t xml:space="preserve">elmúlt </w:t>
      </w:r>
      <w:r w:rsidR="00392034" w:rsidRPr="0001118B">
        <w:rPr>
          <w:rFonts w:ascii="Arial" w:hAnsi="Arial" w:cs="Arial"/>
          <w:sz w:val="22"/>
          <w:szCs w:val="22"/>
        </w:rPr>
        <w:t xml:space="preserve">év </w:t>
      </w:r>
      <w:proofErr w:type="gramStart"/>
      <w:r w:rsidR="00392034" w:rsidRPr="0001118B">
        <w:rPr>
          <w:rFonts w:ascii="Arial" w:hAnsi="Arial" w:cs="Arial"/>
          <w:sz w:val="22"/>
          <w:szCs w:val="22"/>
        </w:rPr>
        <w:t>során</w:t>
      </w:r>
      <w:proofErr w:type="gramEnd"/>
      <w:r w:rsidR="00392034" w:rsidRPr="0001118B">
        <w:rPr>
          <w:rFonts w:ascii="Arial" w:hAnsi="Arial" w:cs="Arial"/>
          <w:sz w:val="22"/>
          <w:szCs w:val="22"/>
        </w:rPr>
        <w:t xml:space="preserve"> e bevételi jogcímen</w:t>
      </w:r>
      <w:r w:rsidR="0001118B" w:rsidRPr="0001118B">
        <w:rPr>
          <w:rFonts w:ascii="Arial" w:hAnsi="Arial" w:cs="Arial"/>
          <w:sz w:val="22"/>
          <w:szCs w:val="22"/>
        </w:rPr>
        <w:t xml:space="preserve"> </w:t>
      </w:r>
      <w:r w:rsidR="00387B9E">
        <w:rPr>
          <w:rFonts w:ascii="Arial" w:hAnsi="Arial" w:cs="Arial"/>
          <w:sz w:val="22"/>
          <w:szCs w:val="22"/>
        </w:rPr>
        <w:t xml:space="preserve">515 </w:t>
      </w:r>
      <w:r w:rsidR="00E469AB" w:rsidRPr="0001118B">
        <w:rPr>
          <w:rFonts w:ascii="Arial" w:hAnsi="Arial" w:cs="Arial"/>
          <w:sz w:val="22"/>
          <w:szCs w:val="22"/>
        </w:rPr>
        <w:t>millió Ft volt</w:t>
      </w:r>
      <w:r w:rsidR="00392034" w:rsidRPr="0001118B">
        <w:rPr>
          <w:rFonts w:ascii="Arial" w:hAnsi="Arial" w:cs="Arial"/>
          <w:sz w:val="22"/>
          <w:szCs w:val="22"/>
        </w:rPr>
        <w:t xml:space="preserve"> a realizált saját forrásunk</w:t>
      </w:r>
      <w:r w:rsidR="0001118B" w:rsidRPr="0001118B">
        <w:rPr>
          <w:rFonts w:ascii="Arial" w:hAnsi="Arial" w:cs="Arial"/>
          <w:sz w:val="22"/>
          <w:szCs w:val="22"/>
        </w:rPr>
        <w:t xml:space="preserve">. </w:t>
      </w:r>
      <w:r w:rsidR="00E469AB" w:rsidRPr="0001118B">
        <w:rPr>
          <w:rFonts w:ascii="Arial" w:hAnsi="Arial" w:cs="Arial"/>
          <w:sz w:val="22"/>
          <w:szCs w:val="22"/>
        </w:rPr>
        <w:t>A teljesítés pontos meghatározása nem lehetséges, a kockázati tényezőt nem lehet kizárni.</w:t>
      </w:r>
    </w:p>
    <w:p w14:paraId="731B3D06" w14:textId="77777777" w:rsidR="006325C2" w:rsidRPr="00A82F71" w:rsidRDefault="006325C2" w:rsidP="006325C2">
      <w:pPr>
        <w:spacing w:line="276" w:lineRule="auto"/>
        <w:jc w:val="both"/>
        <w:rPr>
          <w:rFonts w:ascii="Arial" w:hAnsi="Arial" w:cs="Arial"/>
          <w:sz w:val="22"/>
          <w:szCs w:val="22"/>
          <w:highlight w:val="yellow"/>
        </w:rPr>
      </w:pPr>
    </w:p>
    <w:p w14:paraId="3B6F8BB2" w14:textId="1E44CF84" w:rsidR="006325C2" w:rsidRPr="0001118B" w:rsidRDefault="006325C2" w:rsidP="006325C2">
      <w:pPr>
        <w:spacing w:line="276" w:lineRule="auto"/>
        <w:jc w:val="both"/>
        <w:rPr>
          <w:rFonts w:ascii="Arial" w:hAnsi="Arial" w:cs="Arial"/>
          <w:sz w:val="22"/>
          <w:szCs w:val="22"/>
        </w:rPr>
      </w:pPr>
      <w:r w:rsidRPr="00BE43E5">
        <w:rPr>
          <w:rFonts w:ascii="Arial" w:hAnsi="Arial" w:cs="Arial"/>
          <w:sz w:val="22"/>
          <w:szCs w:val="22"/>
        </w:rPr>
        <w:t xml:space="preserve">A </w:t>
      </w:r>
      <w:r w:rsidR="00B2026D" w:rsidRPr="00BE43E5">
        <w:rPr>
          <w:rFonts w:ascii="Arial" w:hAnsi="Arial" w:cs="Arial"/>
          <w:b/>
          <w:bCs/>
          <w:sz w:val="22"/>
          <w:szCs w:val="22"/>
          <w:u w:val="single"/>
        </w:rPr>
        <w:t>működési</w:t>
      </w:r>
      <w:r w:rsidR="00E469AB" w:rsidRPr="00BE43E5">
        <w:rPr>
          <w:rFonts w:ascii="Arial" w:hAnsi="Arial" w:cs="Arial"/>
          <w:b/>
          <w:bCs/>
          <w:sz w:val="22"/>
          <w:szCs w:val="22"/>
          <w:u w:val="single"/>
        </w:rPr>
        <w:t xml:space="preserve"> </w:t>
      </w:r>
      <w:r w:rsidR="00B2026D" w:rsidRPr="00BE43E5">
        <w:rPr>
          <w:rFonts w:ascii="Arial" w:hAnsi="Arial" w:cs="Arial"/>
          <w:b/>
          <w:bCs/>
          <w:sz w:val="22"/>
          <w:szCs w:val="22"/>
        </w:rPr>
        <w:t>bevételek</w:t>
      </w:r>
      <w:r w:rsidR="00B2026D" w:rsidRPr="0001118B">
        <w:rPr>
          <w:rFonts w:ascii="Arial" w:hAnsi="Arial" w:cs="Arial"/>
          <w:sz w:val="22"/>
          <w:szCs w:val="22"/>
        </w:rPr>
        <w:t xml:space="preserve"> előirányzata</w:t>
      </w:r>
      <w:r w:rsidR="00A45508" w:rsidRPr="0001118B">
        <w:rPr>
          <w:rFonts w:ascii="Arial" w:hAnsi="Arial" w:cs="Arial"/>
          <w:sz w:val="22"/>
          <w:szCs w:val="22"/>
        </w:rPr>
        <w:t xml:space="preserve"> </w:t>
      </w:r>
      <w:r w:rsidR="00387B9E">
        <w:rPr>
          <w:rFonts w:ascii="Arial" w:hAnsi="Arial" w:cs="Arial"/>
          <w:sz w:val="22"/>
          <w:szCs w:val="22"/>
        </w:rPr>
        <w:t>93 076 540</w:t>
      </w:r>
      <w:r w:rsidR="00A45508" w:rsidRPr="0001118B">
        <w:rPr>
          <w:rFonts w:ascii="Arial" w:hAnsi="Arial" w:cs="Arial"/>
          <w:sz w:val="22"/>
          <w:szCs w:val="22"/>
        </w:rPr>
        <w:t xml:space="preserve"> Ft.  </w:t>
      </w:r>
      <w:r w:rsidR="001709EB" w:rsidRPr="0001118B">
        <w:rPr>
          <w:rFonts w:ascii="Arial" w:hAnsi="Arial" w:cs="Arial"/>
          <w:sz w:val="22"/>
          <w:szCs w:val="22"/>
        </w:rPr>
        <w:t xml:space="preserve">Ez az előirányzat tartalmazza </w:t>
      </w:r>
      <w:r w:rsidRPr="0001118B">
        <w:rPr>
          <w:rFonts w:ascii="Arial" w:hAnsi="Arial" w:cs="Arial"/>
          <w:sz w:val="22"/>
          <w:szCs w:val="22"/>
        </w:rPr>
        <w:t>az önkormányzat tulajdonában lévő ingatlanok és egyéb vagyontárgyak bérbeadásának, használatának díja</w:t>
      </w:r>
      <w:r w:rsidR="00195881" w:rsidRPr="0001118B">
        <w:rPr>
          <w:rFonts w:ascii="Arial" w:hAnsi="Arial" w:cs="Arial"/>
          <w:sz w:val="22"/>
          <w:szCs w:val="22"/>
        </w:rPr>
        <w:t>it</w:t>
      </w:r>
      <w:r w:rsidRPr="0001118B">
        <w:rPr>
          <w:rFonts w:ascii="Arial" w:hAnsi="Arial" w:cs="Arial"/>
          <w:sz w:val="22"/>
          <w:szCs w:val="22"/>
        </w:rPr>
        <w:t>, a továbbszámlázott közvetített szolgáltatások</w:t>
      </w:r>
      <w:r w:rsidR="00086A82" w:rsidRPr="0001118B">
        <w:rPr>
          <w:rFonts w:ascii="Arial" w:hAnsi="Arial" w:cs="Arial"/>
          <w:sz w:val="22"/>
          <w:szCs w:val="22"/>
        </w:rPr>
        <w:t>at</w:t>
      </w:r>
      <w:r w:rsidRPr="0001118B">
        <w:rPr>
          <w:rFonts w:ascii="Arial" w:hAnsi="Arial" w:cs="Arial"/>
          <w:sz w:val="22"/>
          <w:szCs w:val="22"/>
        </w:rPr>
        <w:t>, valamint ezek áfa vonzatai</w:t>
      </w:r>
      <w:r w:rsidR="00195881" w:rsidRPr="0001118B">
        <w:rPr>
          <w:rFonts w:ascii="Arial" w:hAnsi="Arial" w:cs="Arial"/>
          <w:sz w:val="22"/>
          <w:szCs w:val="22"/>
        </w:rPr>
        <w:t>t</w:t>
      </w:r>
      <w:r w:rsidR="00F755D3" w:rsidRPr="0001118B">
        <w:rPr>
          <w:rFonts w:ascii="Arial" w:hAnsi="Arial" w:cs="Arial"/>
          <w:sz w:val="22"/>
          <w:szCs w:val="22"/>
        </w:rPr>
        <w:t xml:space="preserve">. </w:t>
      </w:r>
      <w:r w:rsidR="001709EB" w:rsidRPr="0001118B">
        <w:rPr>
          <w:rFonts w:ascii="Arial" w:hAnsi="Arial" w:cs="Arial"/>
          <w:sz w:val="22"/>
          <w:szCs w:val="22"/>
        </w:rPr>
        <w:t>A KÖH-</w:t>
      </w:r>
      <w:proofErr w:type="spellStart"/>
      <w:r w:rsidR="001709EB" w:rsidRPr="0001118B">
        <w:rPr>
          <w:rFonts w:ascii="Arial" w:hAnsi="Arial" w:cs="Arial"/>
          <w:sz w:val="22"/>
          <w:szCs w:val="22"/>
        </w:rPr>
        <w:t>nél</w:t>
      </w:r>
      <w:proofErr w:type="spellEnd"/>
      <w:r w:rsidRPr="0001118B">
        <w:rPr>
          <w:rFonts w:ascii="Arial" w:hAnsi="Arial" w:cs="Arial"/>
          <w:sz w:val="22"/>
          <w:szCs w:val="22"/>
        </w:rPr>
        <w:t xml:space="preserve"> kerültek betervezésre a közvetített szolgáltatások ellenértékei</w:t>
      </w:r>
      <w:r w:rsidR="001709EB" w:rsidRPr="0001118B">
        <w:rPr>
          <w:rFonts w:ascii="Arial" w:hAnsi="Arial" w:cs="Arial"/>
          <w:sz w:val="22"/>
          <w:szCs w:val="22"/>
        </w:rPr>
        <w:t xml:space="preserve">, valamint ezek áfa vonzata, </w:t>
      </w:r>
      <w:r w:rsidRPr="0001118B">
        <w:rPr>
          <w:rFonts w:ascii="Arial" w:hAnsi="Arial" w:cs="Arial"/>
          <w:sz w:val="22"/>
          <w:szCs w:val="22"/>
        </w:rPr>
        <w:t>a Könyvtárnál pedig a</w:t>
      </w:r>
      <w:r w:rsidR="00A87490" w:rsidRPr="0001118B">
        <w:rPr>
          <w:rFonts w:ascii="Arial" w:hAnsi="Arial" w:cs="Arial"/>
          <w:sz w:val="22"/>
          <w:szCs w:val="22"/>
        </w:rPr>
        <w:t xml:space="preserve"> könyvtári szolgáltatások díjbevételei.</w:t>
      </w:r>
    </w:p>
    <w:p w14:paraId="414EF41F" w14:textId="77777777" w:rsidR="006325C2" w:rsidRPr="0001118B" w:rsidRDefault="006325C2" w:rsidP="006325C2">
      <w:pPr>
        <w:spacing w:line="276" w:lineRule="auto"/>
        <w:jc w:val="both"/>
        <w:rPr>
          <w:rFonts w:ascii="Arial" w:hAnsi="Arial" w:cs="Arial"/>
          <w:sz w:val="22"/>
          <w:szCs w:val="22"/>
        </w:rPr>
      </w:pPr>
    </w:p>
    <w:p w14:paraId="0CF8158B" w14:textId="1AD3DE80" w:rsidR="006325C2" w:rsidRPr="0001118B" w:rsidRDefault="00316B16" w:rsidP="006325C2">
      <w:pPr>
        <w:spacing w:line="276" w:lineRule="auto"/>
        <w:jc w:val="both"/>
        <w:rPr>
          <w:rFonts w:ascii="Arial" w:hAnsi="Arial" w:cs="Arial"/>
          <w:sz w:val="22"/>
          <w:szCs w:val="22"/>
        </w:rPr>
      </w:pPr>
      <w:r w:rsidRPr="00BE43E5">
        <w:rPr>
          <w:rFonts w:ascii="Arial" w:hAnsi="Arial" w:cs="Arial"/>
          <w:b/>
          <w:bCs/>
          <w:sz w:val="22"/>
          <w:szCs w:val="22"/>
          <w:u w:val="single"/>
        </w:rPr>
        <w:t>A f</w:t>
      </w:r>
      <w:r w:rsidR="00A17198" w:rsidRPr="00BE43E5">
        <w:rPr>
          <w:rFonts w:ascii="Arial" w:hAnsi="Arial" w:cs="Arial"/>
          <w:b/>
          <w:bCs/>
          <w:sz w:val="22"/>
          <w:szCs w:val="22"/>
          <w:u w:val="single"/>
        </w:rPr>
        <w:t>elhalmozási bevételek</w:t>
      </w:r>
      <w:r w:rsidR="00A17198" w:rsidRPr="0001118B">
        <w:rPr>
          <w:rFonts w:ascii="Arial" w:hAnsi="Arial" w:cs="Arial"/>
          <w:sz w:val="22"/>
          <w:szCs w:val="22"/>
        </w:rPr>
        <w:t xml:space="preserve"> előirányzat</w:t>
      </w:r>
      <w:r w:rsidR="00E469AB" w:rsidRPr="0001118B">
        <w:rPr>
          <w:rFonts w:ascii="Arial" w:hAnsi="Arial" w:cs="Arial"/>
          <w:sz w:val="22"/>
          <w:szCs w:val="22"/>
        </w:rPr>
        <w:t xml:space="preserve">a </w:t>
      </w:r>
      <w:r w:rsidR="00AF4BAC">
        <w:rPr>
          <w:rFonts w:ascii="Arial" w:hAnsi="Arial" w:cs="Arial"/>
          <w:sz w:val="22"/>
          <w:szCs w:val="22"/>
        </w:rPr>
        <w:t>116 792 419</w:t>
      </w:r>
      <w:r w:rsidR="00A17198" w:rsidRPr="0001118B">
        <w:rPr>
          <w:rFonts w:ascii="Arial" w:hAnsi="Arial" w:cs="Arial"/>
          <w:sz w:val="22"/>
          <w:szCs w:val="22"/>
        </w:rPr>
        <w:t xml:space="preserve"> Ft, melynek tartalmát </w:t>
      </w:r>
      <w:r w:rsidR="006325C2" w:rsidRPr="0001118B">
        <w:rPr>
          <w:rFonts w:ascii="Arial" w:hAnsi="Arial" w:cs="Arial"/>
          <w:sz w:val="22"/>
          <w:szCs w:val="22"/>
        </w:rPr>
        <w:t>ingatlan</w:t>
      </w:r>
      <w:r w:rsidR="00823389" w:rsidRPr="0001118B">
        <w:rPr>
          <w:rFonts w:ascii="Arial" w:hAnsi="Arial" w:cs="Arial"/>
          <w:sz w:val="22"/>
          <w:szCs w:val="22"/>
        </w:rPr>
        <w:t xml:space="preserve">értékesítési </w:t>
      </w:r>
      <w:r w:rsidR="00A17198" w:rsidRPr="0001118B">
        <w:rPr>
          <w:rFonts w:ascii="Arial" w:hAnsi="Arial" w:cs="Arial"/>
          <w:sz w:val="22"/>
          <w:szCs w:val="22"/>
        </w:rPr>
        <w:t>bevétel adja</w:t>
      </w:r>
      <w:r w:rsidR="00823389" w:rsidRPr="0001118B">
        <w:rPr>
          <w:rFonts w:ascii="Arial" w:hAnsi="Arial" w:cs="Arial"/>
          <w:sz w:val="22"/>
          <w:szCs w:val="22"/>
        </w:rPr>
        <w:t xml:space="preserve">, teljesülése </w:t>
      </w:r>
      <w:r w:rsidR="0001118B" w:rsidRPr="0001118B">
        <w:rPr>
          <w:rFonts w:ascii="Arial" w:hAnsi="Arial" w:cs="Arial"/>
          <w:sz w:val="22"/>
          <w:szCs w:val="22"/>
        </w:rPr>
        <w:t xml:space="preserve">jelentős </w:t>
      </w:r>
      <w:r w:rsidR="00823389" w:rsidRPr="0001118B">
        <w:rPr>
          <w:rFonts w:ascii="Arial" w:hAnsi="Arial" w:cs="Arial"/>
          <w:sz w:val="22"/>
          <w:szCs w:val="22"/>
        </w:rPr>
        <w:t>kockázati tényező.</w:t>
      </w:r>
      <w:r w:rsidR="00E469AB" w:rsidRPr="0001118B">
        <w:rPr>
          <w:rFonts w:ascii="Arial" w:hAnsi="Arial" w:cs="Arial"/>
          <w:sz w:val="22"/>
          <w:szCs w:val="22"/>
        </w:rPr>
        <w:t xml:space="preserve"> </w:t>
      </w:r>
      <w:r w:rsidR="00627AC8" w:rsidRPr="0001118B">
        <w:rPr>
          <w:rFonts w:ascii="Arial" w:hAnsi="Arial" w:cs="Arial"/>
          <w:sz w:val="22"/>
          <w:szCs w:val="22"/>
        </w:rPr>
        <w:t xml:space="preserve">A jelenlegi információk </w:t>
      </w:r>
      <w:proofErr w:type="gramStart"/>
      <w:r w:rsidR="00627AC8" w:rsidRPr="0001118B">
        <w:rPr>
          <w:rFonts w:ascii="Arial" w:hAnsi="Arial" w:cs="Arial"/>
          <w:sz w:val="22"/>
          <w:szCs w:val="22"/>
        </w:rPr>
        <w:t>alapján</w:t>
      </w:r>
      <w:proofErr w:type="gramEnd"/>
      <w:r w:rsidR="00627AC8" w:rsidRPr="0001118B">
        <w:rPr>
          <w:rFonts w:ascii="Arial" w:hAnsi="Arial" w:cs="Arial"/>
          <w:sz w:val="22"/>
          <w:szCs w:val="22"/>
        </w:rPr>
        <w:t xml:space="preserve"> az</w:t>
      </w:r>
      <w:r w:rsidR="00E469AB" w:rsidRPr="0001118B">
        <w:rPr>
          <w:rFonts w:ascii="Arial" w:hAnsi="Arial" w:cs="Arial"/>
          <w:sz w:val="22"/>
          <w:szCs w:val="22"/>
        </w:rPr>
        <w:t xml:space="preserve"> év során képződő, </w:t>
      </w:r>
      <w:r w:rsidR="00627AC8" w:rsidRPr="0001118B">
        <w:rPr>
          <w:rFonts w:ascii="Arial" w:hAnsi="Arial" w:cs="Arial"/>
          <w:sz w:val="22"/>
          <w:szCs w:val="22"/>
        </w:rPr>
        <w:t xml:space="preserve">de </w:t>
      </w:r>
      <w:r w:rsidR="00E469AB" w:rsidRPr="0001118B">
        <w:rPr>
          <w:rFonts w:ascii="Arial" w:hAnsi="Arial" w:cs="Arial"/>
          <w:sz w:val="22"/>
          <w:szCs w:val="22"/>
        </w:rPr>
        <w:t>eredeti előirányzatként nem ter</w:t>
      </w:r>
      <w:r w:rsidR="00B344F3" w:rsidRPr="0001118B">
        <w:rPr>
          <w:rFonts w:ascii="Arial" w:hAnsi="Arial" w:cs="Arial"/>
          <w:sz w:val="22"/>
          <w:szCs w:val="22"/>
        </w:rPr>
        <w:t>vezhető bevételek (202</w:t>
      </w:r>
      <w:r w:rsidR="00387B9E">
        <w:rPr>
          <w:rFonts w:ascii="Arial" w:hAnsi="Arial" w:cs="Arial"/>
          <w:sz w:val="22"/>
          <w:szCs w:val="22"/>
        </w:rPr>
        <w:t>5</w:t>
      </w:r>
      <w:r w:rsidR="00B344F3" w:rsidRPr="0001118B">
        <w:rPr>
          <w:rFonts w:ascii="Arial" w:hAnsi="Arial" w:cs="Arial"/>
          <w:sz w:val="22"/>
          <w:szCs w:val="22"/>
        </w:rPr>
        <w:t>. évi társulási elszámolások</w:t>
      </w:r>
      <w:r w:rsidR="00D50B44">
        <w:rPr>
          <w:rFonts w:ascii="Arial" w:hAnsi="Arial" w:cs="Arial"/>
          <w:sz w:val="22"/>
          <w:szCs w:val="22"/>
        </w:rPr>
        <w:t xml:space="preserve">, REKI pályázat </w:t>
      </w:r>
      <w:r w:rsidR="00B344F3" w:rsidRPr="0001118B">
        <w:rPr>
          <w:rFonts w:ascii="Arial" w:hAnsi="Arial" w:cs="Arial"/>
          <w:sz w:val="22"/>
          <w:szCs w:val="22"/>
        </w:rPr>
        <w:t xml:space="preserve">stb.) összegét e forráselem kiváltására </w:t>
      </w:r>
      <w:r w:rsidR="00A55C7A" w:rsidRPr="0001118B">
        <w:rPr>
          <w:rFonts w:ascii="Arial" w:hAnsi="Arial" w:cs="Arial"/>
          <w:sz w:val="22"/>
          <w:szCs w:val="22"/>
        </w:rPr>
        <w:t>lehet és kell fordítani.</w:t>
      </w:r>
    </w:p>
    <w:p w14:paraId="245F2587" w14:textId="77777777" w:rsidR="006325C2" w:rsidRPr="0001118B" w:rsidRDefault="006325C2" w:rsidP="006325C2">
      <w:pPr>
        <w:spacing w:line="276" w:lineRule="auto"/>
        <w:jc w:val="both"/>
        <w:rPr>
          <w:rFonts w:ascii="Arial" w:hAnsi="Arial" w:cs="Arial"/>
          <w:sz w:val="22"/>
          <w:szCs w:val="22"/>
        </w:rPr>
      </w:pPr>
    </w:p>
    <w:p w14:paraId="43EB8668" w14:textId="50EEC5A2" w:rsidR="006325C2" w:rsidRDefault="00316B16" w:rsidP="006325C2">
      <w:pPr>
        <w:spacing w:line="276" w:lineRule="auto"/>
        <w:jc w:val="both"/>
        <w:rPr>
          <w:rFonts w:ascii="Arial" w:hAnsi="Arial" w:cs="Arial"/>
          <w:sz w:val="22"/>
          <w:szCs w:val="22"/>
        </w:rPr>
      </w:pPr>
      <w:r w:rsidRPr="00BE43E5">
        <w:rPr>
          <w:rFonts w:ascii="Arial" w:hAnsi="Arial" w:cs="Arial"/>
          <w:sz w:val="22"/>
          <w:szCs w:val="22"/>
          <w:u w:val="single"/>
        </w:rPr>
        <w:t xml:space="preserve">A </w:t>
      </w:r>
      <w:r w:rsidRPr="00BE43E5">
        <w:rPr>
          <w:rFonts w:ascii="Arial" w:hAnsi="Arial" w:cs="Arial"/>
          <w:b/>
          <w:bCs/>
          <w:sz w:val="22"/>
          <w:szCs w:val="22"/>
          <w:u w:val="single"/>
        </w:rPr>
        <w:t>m</w:t>
      </w:r>
      <w:r w:rsidR="006325C2" w:rsidRPr="00BE43E5">
        <w:rPr>
          <w:rFonts w:ascii="Arial" w:hAnsi="Arial" w:cs="Arial"/>
          <w:b/>
          <w:bCs/>
          <w:sz w:val="22"/>
          <w:szCs w:val="22"/>
          <w:u w:val="single"/>
        </w:rPr>
        <w:t>űködési célú átvett pénzeszközök</w:t>
      </w:r>
      <w:r w:rsidR="00AF4BAC">
        <w:rPr>
          <w:rFonts w:ascii="Arial" w:hAnsi="Arial" w:cs="Arial"/>
          <w:sz w:val="22"/>
          <w:szCs w:val="22"/>
        </w:rPr>
        <w:t xml:space="preserve"> előirányzaton</w:t>
      </w:r>
      <w:r w:rsidR="00595BC2" w:rsidRPr="0036063A">
        <w:rPr>
          <w:rFonts w:ascii="Arial" w:hAnsi="Arial" w:cs="Arial"/>
          <w:sz w:val="22"/>
          <w:szCs w:val="22"/>
        </w:rPr>
        <w:t xml:space="preserve"> </w:t>
      </w:r>
      <w:r w:rsidR="00387B9E" w:rsidRPr="0036063A">
        <w:rPr>
          <w:rFonts w:ascii="Arial" w:hAnsi="Arial" w:cs="Arial"/>
          <w:sz w:val="22"/>
          <w:szCs w:val="22"/>
        </w:rPr>
        <w:t>4 679 240 Ft összeggel számolunk</w:t>
      </w:r>
      <w:r w:rsidR="0036063A" w:rsidRPr="0036063A">
        <w:rPr>
          <w:rFonts w:ascii="Arial" w:hAnsi="Arial" w:cs="Arial"/>
          <w:sz w:val="22"/>
          <w:szCs w:val="22"/>
        </w:rPr>
        <w:t xml:space="preserve">, ami BSE részére 2025-ben nyújtott visszatérítendő támogatásának bevétele. </w:t>
      </w:r>
    </w:p>
    <w:p w14:paraId="30C04A22" w14:textId="77777777" w:rsidR="0036063A" w:rsidRPr="0001118B" w:rsidRDefault="0036063A" w:rsidP="006325C2">
      <w:pPr>
        <w:spacing w:line="276" w:lineRule="auto"/>
        <w:jc w:val="both"/>
        <w:rPr>
          <w:rFonts w:ascii="Arial" w:hAnsi="Arial" w:cs="Arial"/>
          <w:sz w:val="22"/>
          <w:szCs w:val="22"/>
        </w:rPr>
      </w:pPr>
    </w:p>
    <w:p w14:paraId="3D902736" w14:textId="4FFA7B0E" w:rsidR="006325C2" w:rsidRPr="0001118B" w:rsidRDefault="00595BC2" w:rsidP="006325C2">
      <w:pPr>
        <w:spacing w:line="276" w:lineRule="auto"/>
        <w:jc w:val="both"/>
        <w:rPr>
          <w:rFonts w:ascii="Arial" w:hAnsi="Arial" w:cs="Arial"/>
          <w:sz w:val="22"/>
          <w:szCs w:val="22"/>
        </w:rPr>
      </w:pPr>
      <w:r w:rsidRPr="0001118B">
        <w:rPr>
          <w:rFonts w:ascii="Arial" w:hAnsi="Arial" w:cs="Arial"/>
          <w:sz w:val="22"/>
          <w:szCs w:val="22"/>
        </w:rPr>
        <w:t xml:space="preserve">A </w:t>
      </w:r>
      <w:r w:rsidRPr="00BE43E5">
        <w:rPr>
          <w:rFonts w:ascii="Arial" w:hAnsi="Arial" w:cs="Arial"/>
          <w:b/>
          <w:bCs/>
          <w:sz w:val="22"/>
          <w:szCs w:val="22"/>
          <w:u w:val="single"/>
        </w:rPr>
        <w:t>k</w:t>
      </w:r>
      <w:r w:rsidR="006325C2" w:rsidRPr="00BE43E5">
        <w:rPr>
          <w:rFonts w:ascii="Arial" w:hAnsi="Arial" w:cs="Arial"/>
          <w:b/>
          <w:bCs/>
          <w:sz w:val="22"/>
          <w:szCs w:val="22"/>
          <w:u w:val="single"/>
        </w:rPr>
        <w:t>öltségvetési bevéte</w:t>
      </w:r>
      <w:r w:rsidR="00B97319" w:rsidRPr="00BE43E5">
        <w:rPr>
          <w:rFonts w:ascii="Arial" w:hAnsi="Arial" w:cs="Arial"/>
          <w:b/>
          <w:bCs/>
          <w:sz w:val="22"/>
          <w:szCs w:val="22"/>
          <w:u w:val="single"/>
        </w:rPr>
        <w:t>l</w:t>
      </w:r>
      <w:r w:rsidRPr="00BE43E5">
        <w:rPr>
          <w:rFonts w:ascii="Arial" w:hAnsi="Arial" w:cs="Arial"/>
          <w:b/>
          <w:bCs/>
          <w:sz w:val="22"/>
          <w:szCs w:val="22"/>
          <w:u w:val="single"/>
        </w:rPr>
        <w:t>ek</w:t>
      </w:r>
      <w:r w:rsidR="00B97319" w:rsidRPr="0001118B">
        <w:rPr>
          <w:rFonts w:ascii="Arial" w:hAnsi="Arial" w:cs="Arial"/>
          <w:i/>
          <w:sz w:val="22"/>
          <w:szCs w:val="22"/>
        </w:rPr>
        <w:t xml:space="preserve"> </w:t>
      </w:r>
      <w:r w:rsidRPr="0001118B">
        <w:rPr>
          <w:rFonts w:ascii="Arial" w:hAnsi="Arial" w:cs="Arial"/>
          <w:sz w:val="22"/>
          <w:szCs w:val="22"/>
        </w:rPr>
        <w:t xml:space="preserve">előirányzata </w:t>
      </w:r>
      <w:r w:rsidR="00387B9E">
        <w:rPr>
          <w:rFonts w:ascii="Arial" w:hAnsi="Arial" w:cs="Arial"/>
          <w:sz w:val="22"/>
          <w:szCs w:val="22"/>
        </w:rPr>
        <w:t>2</w:t>
      </w:r>
      <w:r w:rsidR="00AF4BAC">
        <w:rPr>
          <w:rFonts w:ascii="Arial" w:hAnsi="Arial" w:cs="Arial"/>
          <w:sz w:val="22"/>
          <w:szCs w:val="22"/>
        </w:rPr>
        <w:t> 083 051 923</w:t>
      </w:r>
      <w:r w:rsidR="006C513A" w:rsidRPr="0001118B">
        <w:rPr>
          <w:rFonts w:ascii="Arial" w:hAnsi="Arial" w:cs="Arial"/>
          <w:sz w:val="22"/>
          <w:szCs w:val="22"/>
        </w:rPr>
        <w:t xml:space="preserve"> Ft</w:t>
      </w:r>
      <w:r w:rsidR="006325C2" w:rsidRPr="0001118B">
        <w:rPr>
          <w:rFonts w:ascii="Arial" w:hAnsi="Arial" w:cs="Arial"/>
          <w:sz w:val="22"/>
          <w:szCs w:val="22"/>
        </w:rPr>
        <w:t xml:space="preserve">. </w:t>
      </w:r>
    </w:p>
    <w:p w14:paraId="5E3D1DE1" w14:textId="77777777" w:rsidR="006325C2" w:rsidRPr="00A82F71" w:rsidRDefault="006325C2" w:rsidP="006325C2">
      <w:pPr>
        <w:spacing w:line="276" w:lineRule="auto"/>
        <w:jc w:val="both"/>
        <w:rPr>
          <w:rFonts w:ascii="Arial" w:hAnsi="Arial" w:cs="Arial"/>
          <w:sz w:val="22"/>
          <w:szCs w:val="22"/>
          <w:highlight w:val="yellow"/>
        </w:rPr>
      </w:pPr>
    </w:p>
    <w:p w14:paraId="6F31D7B6" w14:textId="3C02544D" w:rsidR="00935927" w:rsidRPr="00851E5A" w:rsidRDefault="00B97319" w:rsidP="006325C2">
      <w:pPr>
        <w:spacing w:line="276" w:lineRule="auto"/>
        <w:jc w:val="both"/>
        <w:rPr>
          <w:rFonts w:ascii="Arial" w:hAnsi="Arial" w:cs="Arial"/>
          <w:sz w:val="22"/>
          <w:szCs w:val="22"/>
        </w:rPr>
      </w:pPr>
      <w:r w:rsidRPr="00851E5A">
        <w:rPr>
          <w:rFonts w:ascii="Arial" w:hAnsi="Arial" w:cs="Arial"/>
          <w:sz w:val="22"/>
          <w:szCs w:val="22"/>
        </w:rPr>
        <w:t xml:space="preserve">A </w:t>
      </w:r>
      <w:proofErr w:type="gramStart"/>
      <w:r w:rsidRPr="00851E5A">
        <w:rPr>
          <w:rFonts w:ascii="Arial" w:hAnsi="Arial" w:cs="Arial"/>
          <w:b/>
          <w:bCs/>
          <w:sz w:val="22"/>
          <w:szCs w:val="22"/>
          <w:u w:val="single"/>
        </w:rPr>
        <w:t>finanszírozási</w:t>
      </w:r>
      <w:proofErr w:type="gramEnd"/>
      <w:r w:rsidRPr="00851E5A">
        <w:rPr>
          <w:rFonts w:ascii="Arial" w:hAnsi="Arial" w:cs="Arial"/>
          <w:b/>
          <w:bCs/>
          <w:sz w:val="22"/>
          <w:szCs w:val="22"/>
          <w:u w:val="single"/>
        </w:rPr>
        <w:t xml:space="preserve"> bevétel</w:t>
      </w:r>
      <w:r w:rsidR="00935927" w:rsidRPr="00851E5A">
        <w:rPr>
          <w:rFonts w:ascii="Arial" w:hAnsi="Arial" w:cs="Arial"/>
          <w:b/>
          <w:bCs/>
          <w:sz w:val="22"/>
          <w:szCs w:val="22"/>
          <w:u w:val="single"/>
        </w:rPr>
        <w:t>ek</w:t>
      </w:r>
      <w:r w:rsidRPr="00851E5A">
        <w:rPr>
          <w:rFonts w:ascii="Arial" w:hAnsi="Arial" w:cs="Arial"/>
          <w:sz w:val="22"/>
          <w:szCs w:val="22"/>
        </w:rPr>
        <w:t xml:space="preserve"> </w:t>
      </w:r>
      <w:r w:rsidR="00935927" w:rsidRPr="00851E5A">
        <w:rPr>
          <w:rFonts w:ascii="Arial" w:hAnsi="Arial" w:cs="Arial"/>
          <w:sz w:val="22"/>
          <w:szCs w:val="22"/>
        </w:rPr>
        <w:t xml:space="preserve">előirányzata </w:t>
      </w:r>
      <w:r w:rsidR="00387B9E">
        <w:rPr>
          <w:rFonts w:ascii="Arial" w:hAnsi="Arial" w:cs="Arial"/>
          <w:sz w:val="22"/>
          <w:szCs w:val="22"/>
        </w:rPr>
        <w:t>1 044 842 293</w:t>
      </w:r>
      <w:r w:rsidR="00935927" w:rsidRPr="00851E5A">
        <w:rPr>
          <w:rFonts w:ascii="Arial" w:hAnsi="Arial" w:cs="Arial"/>
          <w:sz w:val="22"/>
          <w:szCs w:val="22"/>
        </w:rPr>
        <w:t xml:space="preserve"> Ft, ami az előző évi pénzmaradvány összege. </w:t>
      </w:r>
      <w:r w:rsidR="0007386F" w:rsidRPr="00851E5A">
        <w:rPr>
          <w:rFonts w:ascii="Arial" w:hAnsi="Arial" w:cs="Arial"/>
          <w:sz w:val="22"/>
          <w:szCs w:val="22"/>
        </w:rPr>
        <w:t xml:space="preserve">A </w:t>
      </w:r>
      <w:proofErr w:type="gramStart"/>
      <w:r w:rsidR="0007386F" w:rsidRPr="00851E5A">
        <w:rPr>
          <w:rFonts w:ascii="Arial" w:hAnsi="Arial" w:cs="Arial"/>
          <w:sz w:val="22"/>
          <w:szCs w:val="22"/>
        </w:rPr>
        <w:t xml:space="preserve">maradvány </w:t>
      </w:r>
      <w:r w:rsidR="00F755D3" w:rsidRPr="00851E5A">
        <w:rPr>
          <w:rFonts w:ascii="Arial" w:hAnsi="Arial" w:cs="Arial"/>
          <w:sz w:val="22"/>
          <w:szCs w:val="22"/>
        </w:rPr>
        <w:t>döntő</w:t>
      </w:r>
      <w:proofErr w:type="gramEnd"/>
      <w:r w:rsidR="00F755D3" w:rsidRPr="00851E5A">
        <w:rPr>
          <w:rFonts w:ascii="Arial" w:hAnsi="Arial" w:cs="Arial"/>
          <w:sz w:val="22"/>
          <w:szCs w:val="22"/>
        </w:rPr>
        <w:t xml:space="preserve"> része </w:t>
      </w:r>
      <w:r w:rsidR="009F4D8A" w:rsidRPr="00851E5A">
        <w:rPr>
          <w:rFonts w:ascii="Arial" w:hAnsi="Arial" w:cs="Arial"/>
          <w:sz w:val="22"/>
          <w:szCs w:val="22"/>
        </w:rPr>
        <w:t xml:space="preserve">az Önkormányzatnál képződött, ennek összege </w:t>
      </w:r>
      <w:r w:rsidR="00003B13">
        <w:rPr>
          <w:rFonts w:ascii="Arial" w:hAnsi="Arial" w:cs="Arial"/>
          <w:sz w:val="22"/>
          <w:szCs w:val="22"/>
        </w:rPr>
        <w:t xml:space="preserve">     </w:t>
      </w:r>
      <w:r w:rsidR="00387B9E">
        <w:rPr>
          <w:rFonts w:ascii="Arial" w:hAnsi="Arial" w:cs="Arial"/>
          <w:sz w:val="22"/>
          <w:szCs w:val="22"/>
        </w:rPr>
        <w:t>990 656 120</w:t>
      </w:r>
      <w:r w:rsidR="009F4D8A" w:rsidRPr="00851E5A">
        <w:rPr>
          <w:rFonts w:ascii="Arial" w:hAnsi="Arial" w:cs="Arial"/>
          <w:sz w:val="22"/>
          <w:szCs w:val="22"/>
        </w:rPr>
        <w:t xml:space="preserve"> Ft, a KÖH pénzmaradványa </w:t>
      </w:r>
      <w:r w:rsidR="00387B9E">
        <w:rPr>
          <w:rFonts w:ascii="Arial" w:hAnsi="Arial" w:cs="Arial"/>
          <w:sz w:val="22"/>
          <w:szCs w:val="22"/>
        </w:rPr>
        <w:t>53 743 984</w:t>
      </w:r>
      <w:r w:rsidR="009F4D8A" w:rsidRPr="00851E5A">
        <w:rPr>
          <w:rFonts w:ascii="Arial" w:hAnsi="Arial" w:cs="Arial"/>
          <w:sz w:val="22"/>
          <w:szCs w:val="22"/>
        </w:rPr>
        <w:t xml:space="preserve"> Ft, a Keresztély Gyula Városi Könyvtárnál </w:t>
      </w:r>
      <w:r w:rsidR="00387B9E">
        <w:rPr>
          <w:rFonts w:ascii="Arial" w:hAnsi="Arial" w:cs="Arial"/>
          <w:sz w:val="22"/>
          <w:szCs w:val="22"/>
        </w:rPr>
        <w:t>442 189</w:t>
      </w:r>
      <w:r w:rsidR="009F4D8A" w:rsidRPr="00851E5A">
        <w:rPr>
          <w:rFonts w:ascii="Arial" w:hAnsi="Arial" w:cs="Arial"/>
          <w:sz w:val="22"/>
          <w:szCs w:val="22"/>
        </w:rPr>
        <w:t xml:space="preserve"> Ft összegű ez a forrás. A KÖH-</w:t>
      </w:r>
      <w:proofErr w:type="spellStart"/>
      <w:r w:rsidR="009F4D8A" w:rsidRPr="00851E5A">
        <w:rPr>
          <w:rFonts w:ascii="Arial" w:hAnsi="Arial" w:cs="Arial"/>
          <w:sz w:val="22"/>
          <w:szCs w:val="22"/>
        </w:rPr>
        <w:t>nél</w:t>
      </w:r>
      <w:proofErr w:type="spellEnd"/>
      <w:r w:rsidR="009F4D8A" w:rsidRPr="00851E5A">
        <w:rPr>
          <w:rFonts w:ascii="Arial" w:hAnsi="Arial" w:cs="Arial"/>
          <w:sz w:val="22"/>
          <w:szCs w:val="22"/>
        </w:rPr>
        <w:t xml:space="preserve"> számba vett forrás teljes egészében céljellegű, a 202</w:t>
      </w:r>
      <w:r w:rsidR="0001118B" w:rsidRPr="00851E5A">
        <w:rPr>
          <w:rFonts w:ascii="Arial" w:hAnsi="Arial" w:cs="Arial"/>
          <w:sz w:val="22"/>
          <w:szCs w:val="22"/>
        </w:rPr>
        <w:t>4</w:t>
      </w:r>
      <w:r w:rsidR="009F4D8A" w:rsidRPr="00851E5A">
        <w:rPr>
          <w:rFonts w:ascii="Arial" w:hAnsi="Arial" w:cs="Arial"/>
          <w:sz w:val="22"/>
          <w:szCs w:val="22"/>
        </w:rPr>
        <w:t xml:space="preserve">. évi társulási elszámolások fedezetét képezi, továbbá a TOP és a TOP Plusz projektek végrehajtandó feladatinak forrásaként áll rendelkezésre. Az önkormányzati </w:t>
      </w:r>
      <w:r w:rsidR="008D2A36" w:rsidRPr="00851E5A">
        <w:rPr>
          <w:rFonts w:ascii="Arial" w:hAnsi="Arial" w:cs="Arial"/>
          <w:sz w:val="22"/>
          <w:szCs w:val="22"/>
        </w:rPr>
        <w:t xml:space="preserve">szabad </w:t>
      </w:r>
      <w:r w:rsidR="009F4D8A" w:rsidRPr="00851E5A">
        <w:rPr>
          <w:rFonts w:ascii="Arial" w:hAnsi="Arial" w:cs="Arial"/>
          <w:sz w:val="22"/>
          <w:szCs w:val="22"/>
        </w:rPr>
        <w:t xml:space="preserve">pénzmaradványrész </w:t>
      </w:r>
      <w:r w:rsidR="00E83EB3">
        <w:rPr>
          <w:rFonts w:ascii="Arial" w:hAnsi="Arial" w:cs="Arial"/>
          <w:sz w:val="22"/>
          <w:szCs w:val="22"/>
        </w:rPr>
        <w:t>min</w:t>
      </w:r>
      <w:r w:rsidR="00E83EB3" w:rsidRPr="00E83EB3">
        <w:rPr>
          <w:rFonts w:ascii="Arial" w:hAnsi="Arial" w:cs="Arial"/>
          <w:sz w:val="22"/>
          <w:szCs w:val="22"/>
        </w:rPr>
        <w:t>dössze</w:t>
      </w:r>
      <w:r w:rsidR="008D2A36" w:rsidRPr="00E83EB3">
        <w:rPr>
          <w:rFonts w:ascii="Arial" w:hAnsi="Arial" w:cs="Arial"/>
          <w:sz w:val="22"/>
          <w:szCs w:val="22"/>
        </w:rPr>
        <w:t xml:space="preserve"> </w:t>
      </w:r>
      <w:r w:rsidR="00387B9E">
        <w:rPr>
          <w:rFonts w:ascii="Arial" w:hAnsi="Arial" w:cs="Arial"/>
          <w:sz w:val="22"/>
          <w:szCs w:val="22"/>
        </w:rPr>
        <w:t>28 212 949</w:t>
      </w:r>
      <w:r w:rsidR="008D2A36" w:rsidRPr="00E83EB3">
        <w:rPr>
          <w:rFonts w:ascii="Arial" w:hAnsi="Arial" w:cs="Arial"/>
          <w:sz w:val="22"/>
          <w:szCs w:val="22"/>
        </w:rPr>
        <w:t xml:space="preserve"> </w:t>
      </w:r>
      <w:r w:rsidR="00F755D3" w:rsidRPr="00E83EB3">
        <w:rPr>
          <w:rFonts w:ascii="Arial" w:hAnsi="Arial" w:cs="Arial"/>
          <w:sz w:val="22"/>
          <w:szCs w:val="22"/>
        </w:rPr>
        <w:t>Ft.</w:t>
      </w:r>
    </w:p>
    <w:p w14:paraId="760F77B4" w14:textId="77777777" w:rsidR="00935927" w:rsidRPr="00851E5A" w:rsidRDefault="00935927" w:rsidP="006325C2">
      <w:pPr>
        <w:spacing w:line="276" w:lineRule="auto"/>
        <w:jc w:val="both"/>
        <w:rPr>
          <w:rFonts w:ascii="Arial" w:hAnsi="Arial" w:cs="Arial"/>
          <w:sz w:val="22"/>
          <w:szCs w:val="22"/>
        </w:rPr>
      </w:pPr>
    </w:p>
    <w:p w14:paraId="69B023B7" w14:textId="1C03286E" w:rsidR="006325C2" w:rsidRPr="0001118B" w:rsidRDefault="006325C2" w:rsidP="006325C2">
      <w:pPr>
        <w:spacing w:line="276" w:lineRule="auto"/>
        <w:jc w:val="both"/>
        <w:rPr>
          <w:rFonts w:ascii="Arial" w:hAnsi="Arial" w:cs="Arial"/>
          <w:sz w:val="22"/>
          <w:szCs w:val="22"/>
        </w:rPr>
      </w:pPr>
      <w:r w:rsidRPr="0001118B">
        <w:rPr>
          <w:rFonts w:ascii="Arial" w:hAnsi="Arial" w:cs="Arial"/>
          <w:sz w:val="22"/>
          <w:szCs w:val="22"/>
        </w:rPr>
        <w:t>Bátaszé</w:t>
      </w:r>
      <w:r w:rsidR="00935927" w:rsidRPr="0001118B">
        <w:rPr>
          <w:rFonts w:ascii="Arial" w:hAnsi="Arial" w:cs="Arial"/>
          <w:sz w:val="22"/>
          <w:szCs w:val="22"/>
        </w:rPr>
        <w:t xml:space="preserve">k Város Önkormányzatának </w:t>
      </w:r>
      <w:r w:rsidR="00935927" w:rsidRPr="0001118B">
        <w:rPr>
          <w:rFonts w:ascii="Arial" w:hAnsi="Arial" w:cs="Arial"/>
          <w:b/>
          <w:sz w:val="22"/>
          <w:szCs w:val="22"/>
        </w:rPr>
        <w:t>BEVÉTELI FŐ ÖSSZEGE</w:t>
      </w:r>
      <w:r w:rsidRPr="0001118B">
        <w:rPr>
          <w:rFonts w:ascii="Arial" w:hAnsi="Arial" w:cs="Arial"/>
          <w:sz w:val="22"/>
          <w:szCs w:val="22"/>
        </w:rPr>
        <w:t xml:space="preserve"> </w:t>
      </w:r>
      <w:r w:rsidR="00AF4BAC">
        <w:rPr>
          <w:rFonts w:ascii="Arial" w:hAnsi="Arial" w:cs="Arial"/>
          <w:b/>
          <w:bCs/>
          <w:sz w:val="22"/>
          <w:szCs w:val="22"/>
        </w:rPr>
        <w:t>3 127 894 216</w:t>
      </w:r>
      <w:r w:rsidRPr="0001118B">
        <w:rPr>
          <w:rFonts w:ascii="Arial" w:eastAsia="Calibri" w:hAnsi="Arial" w:cs="Arial"/>
          <w:b/>
          <w:sz w:val="22"/>
          <w:szCs w:val="22"/>
          <w:lang w:eastAsia="en-US"/>
        </w:rPr>
        <w:t xml:space="preserve"> </w:t>
      </w:r>
      <w:r w:rsidRPr="0001118B">
        <w:rPr>
          <w:rFonts w:ascii="Arial" w:hAnsi="Arial" w:cs="Arial"/>
          <w:b/>
          <w:sz w:val="22"/>
          <w:szCs w:val="22"/>
        </w:rPr>
        <w:t>Ft</w:t>
      </w:r>
      <w:r w:rsidRPr="0001118B">
        <w:rPr>
          <w:rFonts w:ascii="Arial" w:hAnsi="Arial" w:cs="Arial"/>
          <w:sz w:val="22"/>
          <w:szCs w:val="22"/>
        </w:rPr>
        <w:t>.</w:t>
      </w:r>
    </w:p>
    <w:p w14:paraId="255721A9" w14:textId="77777777" w:rsidR="006325C2" w:rsidRPr="00A82F71" w:rsidRDefault="006325C2" w:rsidP="006325C2">
      <w:pPr>
        <w:jc w:val="both"/>
        <w:rPr>
          <w:rFonts w:ascii="Arial" w:hAnsi="Arial" w:cs="Arial"/>
          <w:sz w:val="22"/>
          <w:szCs w:val="22"/>
          <w:highlight w:val="yellow"/>
        </w:rPr>
      </w:pPr>
    </w:p>
    <w:p w14:paraId="1AB325BE" w14:textId="6067F1F5" w:rsidR="006325C2" w:rsidRDefault="006325C2" w:rsidP="006325C2">
      <w:pPr>
        <w:jc w:val="both"/>
        <w:rPr>
          <w:rFonts w:ascii="Arial" w:hAnsi="Arial" w:cs="Arial"/>
          <w:sz w:val="22"/>
          <w:szCs w:val="22"/>
          <w:highlight w:val="yellow"/>
        </w:rPr>
      </w:pPr>
    </w:p>
    <w:p w14:paraId="0EBA3BBE" w14:textId="38CCFCF1" w:rsidR="00003B13" w:rsidRDefault="00003B13" w:rsidP="006325C2">
      <w:pPr>
        <w:jc w:val="both"/>
        <w:rPr>
          <w:rFonts w:ascii="Arial" w:hAnsi="Arial" w:cs="Arial"/>
          <w:sz w:val="22"/>
          <w:szCs w:val="22"/>
          <w:highlight w:val="yellow"/>
        </w:rPr>
      </w:pPr>
    </w:p>
    <w:p w14:paraId="2B107DC6" w14:textId="58256E99" w:rsidR="00003B13" w:rsidRDefault="00003B13" w:rsidP="006325C2">
      <w:pPr>
        <w:jc w:val="both"/>
        <w:rPr>
          <w:rFonts w:ascii="Arial" w:hAnsi="Arial" w:cs="Arial"/>
          <w:sz w:val="22"/>
          <w:szCs w:val="22"/>
          <w:highlight w:val="yellow"/>
        </w:rPr>
      </w:pPr>
    </w:p>
    <w:p w14:paraId="2F10D181" w14:textId="487AAB0E" w:rsidR="00003B13" w:rsidRDefault="00003B13" w:rsidP="006325C2">
      <w:pPr>
        <w:jc w:val="both"/>
        <w:rPr>
          <w:rFonts w:ascii="Arial" w:hAnsi="Arial" w:cs="Arial"/>
          <w:sz w:val="22"/>
          <w:szCs w:val="22"/>
          <w:highlight w:val="yellow"/>
        </w:rPr>
      </w:pPr>
    </w:p>
    <w:p w14:paraId="250117B2" w14:textId="0B5BB937" w:rsidR="00003B13" w:rsidRDefault="00003B13" w:rsidP="006325C2">
      <w:pPr>
        <w:jc w:val="both"/>
        <w:rPr>
          <w:rFonts w:ascii="Arial" w:hAnsi="Arial" w:cs="Arial"/>
          <w:sz w:val="22"/>
          <w:szCs w:val="22"/>
          <w:highlight w:val="yellow"/>
        </w:rPr>
      </w:pPr>
    </w:p>
    <w:p w14:paraId="58DD2448" w14:textId="5CD06A04" w:rsidR="00003B13" w:rsidRDefault="00003B13" w:rsidP="006325C2">
      <w:pPr>
        <w:jc w:val="both"/>
        <w:rPr>
          <w:rFonts w:ascii="Arial" w:hAnsi="Arial" w:cs="Arial"/>
          <w:sz w:val="22"/>
          <w:szCs w:val="22"/>
          <w:highlight w:val="yellow"/>
        </w:rPr>
      </w:pPr>
    </w:p>
    <w:p w14:paraId="42800AA6" w14:textId="0D87F048" w:rsidR="00003B13" w:rsidRDefault="00003B13" w:rsidP="006325C2">
      <w:pPr>
        <w:jc w:val="both"/>
        <w:rPr>
          <w:rFonts w:ascii="Arial" w:hAnsi="Arial" w:cs="Arial"/>
          <w:sz w:val="22"/>
          <w:szCs w:val="22"/>
          <w:highlight w:val="yellow"/>
        </w:rPr>
      </w:pPr>
    </w:p>
    <w:p w14:paraId="3319C263" w14:textId="03248457" w:rsidR="00003B13" w:rsidRDefault="00003B13" w:rsidP="006325C2">
      <w:pPr>
        <w:jc w:val="both"/>
        <w:rPr>
          <w:rFonts w:ascii="Arial" w:hAnsi="Arial" w:cs="Arial"/>
          <w:sz w:val="22"/>
          <w:szCs w:val="22"/>
          <w:highlight w:val="yellow"/>
        </w:rPr>
      </w:pPr>
    </w:p>
    <w:p w14:paraId="2AF5AA7D" w14:textId="5F610839" w:rsidR="00003B13" w:rsidRDefault="00003B13" w:rsidP="006325C2">
      <w:pPr>
        <w:jc w:val="both"/>
        <w:rPr>
          <w:rFonts w:ascii="Arial" w:hAnsi="Arial" w:cs="Arial"/>
          <w:sz w:val="22"/>
          <w:szCs w:val="22"/>
          <w:highlight w:val="yellow"/>
        </w:rPr>
      </w:pPr>
    </w:p>
    <w:p w14:paraId="28855CA8" w14:textId="17C8ECE6" w:rsidR="00003B13" w:rsidRDefault="00003B13" w:rsidP="006325C2">
      <w:pPr>
        <w:jc w:val="both"/>
        <w:rPr>
          <w:rFonts w:ascii="Arial" w:hAnsi="Arial" w:cs="Arial"/>
          <w:sz w:val="22"/>
          <w:szCs w:val="22"/>
          <w:highlight w:val="yellow"/>
        </w:rPr>
      </w:pPr>
    </w:p>
    <w:p w14:paraId="2D400082" w14:textId="77777777" w:rsidR="00003B13" w:rsidRDefault="00003B13" w:rsidP="006325C2">
      <w:pPr>
        <w:jc w:val="both"/>
        <w:rPr>
          <w:rFonts w:ascii="Arial" w:hAnsi="Arial" w:cs="Arial"/>
          <w:sz w:val="22"/>
          <w:szCs w:val="22"/>
          <w:highlight w:val="yellow"/>
        </w:rPr>
      </w:pPr>
    </w:p>
    <w:p w14:paraId="1DD6CCDB" w14:textId="2B1DB1F0" w:rsidR="00F43F62" w:rsidRPr="0001118B" w:rsidRDefault="006325C2" w:rsidP="006325C2">
      <w:pPr>
        <w:jc w:val="both"/>
        <w:rPr>
          <w:rFonts w:ascii="Arial" w:hAnsi="Arial" w:cs="Arial"/>
          <w:b/>
          <w:sz w:val="22"/>
          <w:szCs w:val="22"/>
        </w:rPr>
      </w:pPr>
      <w:r w:rsidRPr="0001118B">
        <w:rPr>
          <w:rFonts w:ascii="Arial" w:hAnsi="Arial" w:cs="Arial"/>
          <w:b/>
          <w:sz w:val="22"/>
          <w:szCs w:val="22"/>
        </w:rPr>
        <w:t>KIADÁSOK:</w:t>
      </w:r>
    </w:p>
    <w:p w14:paraId="2E3D229C" w14:textId="577A01B0" w:rsidR="006325C2" w:rsidRDefault="006325C2" w:rsidP="006325C2">
      <w:pPr>
        <w:spacing w:before="120" w:line="276" w:lineRule="auto"/>
        <w:jc w:val="both"/>
        <w:rPr>
          <w:rFonts w:ascii="Arial" w:hAnsi="Arial" w:cs="Arial"/>
          <w:sz w:val="22"/>
          <w:szCs w:val="22"/>
        </w:rPr>
      </w:pPr>
      <w:r w:rsidRPr="0001118B">
        <w:rPr>
          <w:rFonts w:ascii="Arial" w:hAnsi="Arial" w:cs="Arial"/>
          <w:sz w:val="22"/>
          <w:szCs w:val="22"/>
        </w:rPr>
        <w:t>A költségvetési rendeletben szereplő kiadási jogcímek részletezése:</w:t>
      </w:r>
    </w:p>
    <w:tbl>
      <w:tblPr>
        <w:tblW w:w="9780" w:type="dxa"/>
        <w:tblCellMar>
          <w:left w:w="70" w:type="dxa"/>
          <w:right w:w="70" w:type="dxa"/>
        </w:tblCellMar>
        <w:tblLook w:val="04A0" w:firstRow="1" w:lastRow="0" w:firstColumn="1" w:lastColumn="0" w:noHBand="0" w:noVBand="1"/>
      </w:tblPr>
      <w:tblGrid>
        <w:gridCol w:w="3760"/>
        <w:gridCol w:w="2100"/>
        <w:gridCol w:w="2020"/>
        <w:gridCol w:w="1900"/>
      </w:tblGrid>
      <w:tr w:rsidR="00AF4BAC" w14:paraId="7F620ACF" w14:textId="77777777" w:rsidTr="00AF4BAC">
        <w:trPr>
          <w:trHeight w:val="615"/>
        </w:trPr>
        <w:tc>
          <w:tcPr>
            <w:tcW w:w="3760" w:type="dxa"/>
            <w:tcBorders>
              <w:top w:val="single" w:sz="8" w:space="0" w:color="auto"/>
              <w:left w:val="single" w:sz="8" w:space="0" w:color="auto"/>
              <w:bottom w:val="single" w:sz="8" w:space="0" w:color="auto"/>
              <w:right w:val="single" w:sz="4" w:space="0" w:color="auto"/>
            </w:tcBorders>
            <w:noWrap/>
            <w:vAlign w:val="bottom"/>
            <w:hideMark/>
          </w:tcPr>
          <w:p w14:paraId="7245A67D" w14:textId="77777777" w:rsidR="00AF4BAC" w:rsidRDefault="00AF4BAC">
            <w:pPr>
              <w:rPr>
                <w:rFonts w:ascii="Arial" w:hAnsi="Arial" w:cs="Arial"/>
                <w:b/>
                <w:bCs/>
                <w:color w:val="000000"/>
                <w:sz w:val="22"/>
                <w:szCs w:val="22"/>
                <w:lang w:eastAsia="hu-HU"/>
              </w:rPr>
            </w:pPr>
            <w:r>
              <w:rPr>
                <w:rFonts w:ascii="Arial" w:hAnsi="Arial" w:cs="Arial"/>
                <w:b/>
                <w:bCs/>
                <w:color w:val="000000"/>
                <w:sz w:val="22"/>
                <w:szCs w:val="22"/>
              </w:rPr>
              <w:t> </w:t>
            </w:r>
          </w:p>
        </w:tc>
        <w:tc>
          <w:tcPr>
            <w:tcW w:w="2100" w:type="dxa"/>
            <w:tcBorders>
              <w:top w:val="single" w:sz="8" w:space="0" w:color="auto"/>
              <w:left w:val="nil"/>
              <w:bottom w:val="single" w:sz="8" w:space="0" w:color="auto"/>
              <w:right w:val="single" w:sz="4" w:space="0" w:color="auto"/>
            </w:tcBorders>
            <w:noWrap/>
            <w:vAlign w:val="bottom"/>
            <w:hideMark/>
          </w:tcPr>
          <w:p w14:paraId="75110E8E" w14:textId="77777777" w:rsidR="00AF4BAC" w:rsidRDefault="00AF4BAC">
            <w:pPr>
              <w:jc w:val="both"/>
              <w:rPr>
                <w:rFonts w:ascii="Arial" w:hAnsi="Arial" w:cs="Arial"/>
                <w:b/>
                <w:bCs/>
                <w:color w:val="000000"/>
                <w:sz w:val="22"/>
                <w:szCs w:val="22"/>
              </w:rPr>
            </w:pPr>
            <w:r>
              <w:rPr>
                <w:rFonts w:ascii="Arial" w:hAnsi="Arial" w:cs="Arial"/>
                <w:b/>
                <w:bCs/>
                <w:color w:val="000000"/>
                <w:sz w:val="22"/>
                <w:szCs w:val="22"/>
              </w:rPr>
              <w:t>2025. év eredeti előirányzat</w:t>
            </w:r>
          </w:p>
        </w:tc>
        <w:tc>
          <w:tcPr>
            <w:tcW w:w="2020" w:type="dxa"/>
            <w:tcBorders>
              <w:top w:val="single" w:sz="8" w:space="0" w:color="auto"/>
              <w:left w:val="nil"/>
              <w:bottom w:val="single" w:sz="8" w:space="0" w:color="auto"/>
              <w:right w:val="single" w:sz="4" w:space="0" w:color="auto"/>
            </w:tcBorders>
            <w:noWrap/>
            <w:vAlign w:val="bottom"/>
            <w:hideMark/>
          </w:tcPr>
          <w:p w14:paraId="2A685540" w14:textId="77777777" w:rsidR="00AF4BAC" w:rsidRDefault="00AF4BAC">
            <w:pPr>
              <w:jc w:val="both"/>
              <w:rPr>
                <w:rFonts w:ascii="Arial" w:hAnsi="Arial" w:cs="Arial"/>
                <w:b/>
                <w:bCs/>
                <w:color w:val="000000"/>
                <w:sz w:val="22"/>
                <w:szCs w:val="22"/>
              </w:rPr>
            </w:pPr>
            <w:r>
              <w:rPr>
                <w:rFonts w:ascii="Arial" w:hAnsi="Arial" w:cs="Arial"/>
                <w:b/>
                <w:bCs/>
                <w:color w:val="000000"/>
                <w:sz w:val="22"/>
                <w:szCs w:val="22"/>
              </w:rPr>
              <w:t>2026. év eredeti előirányzat</w:t>
            </w:r>
          </w:p>
        </w:tc>
        <w:tc>
          <w:tcPr>
            <w:tcW w:w="1900" w:type="dxa"/>
            <w:tcBorders>
              <w:top w:val="single" w:sz="8" w:space="0" w:color="auto"/>
              <w:left w:val="nil"/>
              <w:bottom w:val="single" w:sz="8" w:space="0" w:color="auto"/>
              <w:right w:val="single" w:sz="8" w:space="0" w:color="auto"/>
            </w:tcBorders>
            <w:noWrap/>
            <w:vAlign w:val="bottom"/>
            <w:hideMark/>
          </w:tcPr>
          <w:p w14:paraId="7F9B2EDF" w14:textId="77777777" w:rsidR="00AF4BAC" w:rsidRDefault="00AF4BAC">
            <w:pPr>
              <w:rPr>
                <w:rFonts w:ascii="Arial" w:hAnsi="Arial" w:cs="Arial"/>
                <w:b/>
                <w:bCs/>
                <w:color w:val="000000"/>
                <w:sz w:val="22"/>
                <w:szCs w:val="22"/>
              </w:rPr>
            </w:pPr>
            <w:r>
              <w:rPr>
                <w:rFonts w:ascii="Arial" w:hAnsi="Arial" w:cs="Arial"/>
                <w:b/>
                <w:bCs/>
                <w:color w:val="000000"/>
                <w:sz w:val="22"/>
                <w:szCs w:val="22"/>
              </w:rPr>
              <w:t>Különbség</w:t>
            </w:r>
          </w:p>
        </w:tc>
      </w:tr>
      <w:tr w:rsidR="00AF4BAC" w14:paraId="481DADFD"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6F459351" w14:textId="77777777" w:rsidR="00AF4BAC" w:rsidRDefault="00AF4BAC">
            <w:pPr>
              <w:jc w:val="both"/>
              <w:rPr>
                <w:rFonts w:ascii="Arial" w:hAnsi="Arial" w:cs="Arial"/>
                <w:color w:val="000000"/>
                <w:sz w:val="22"/>
                <w:szCs w:val="22"/>
              </w:rPr>
            </w:pPr>
            <w:r>
              <w:rPr>
                <w:rFonts w:ascii="Arial" w:hAnsi="Arial" w:cs="Arial"/>
                <w:color w:val="000000"/>
                <w:sz w:val="22"/>
                <w:szCs w:val="22"/>
              </w:rPr>
              <w:t>Személyi juttatások</w:t>
            </w:r>
          </w:p>
        </w:tc>
        <w:tc>
          <w:tcPr>
            <w:tcW w:w="2100" w:type="dxa"/>
            <w:tcBorders>
              <w:top w:val="nil"/>
              <w:left w:val="nil"/>
              <w:bottom w:val="single" w:sz="4" w:space="0" w:color="auto"/>
              <w:right w:val="single" w:sz="4" w:space="0" w:color="auto"/>
            </w:tcBorders>
            <w:vAlign w:val="bottom"/>
            <w:hideMark/>
          </w:tcPr>
          <w:p w14:paraId="5B318ED3" w14:textId="77777777" w:rsidR="00AF4BAC" w:rsidRDefault="00AF4BAC">
            <w:pPr>
              <w:jc w:val="right"/>
              <w:rPr>
                <w:rFonts w:ascii="Arial" w:hAnsi="Arial" w:cs="Arial"/>
                <w:color w:val="000000"/>
                <w:sz w:val="22"/>
                <w:szCs w:val="22"/>
              </w:rPr>
            </w:pPr>
            <w:r>
              <w:rPr>
                <w:rFonts w:ascii="Arial" w:hAnsi="Arial" w:cs="Arial"/>
                <w:color w:val="000000"/>
                <w:sz w:val="22"/>
                <w:szCs w:val="22"/>
              </w:rPr>
              <w:t>322 781 831 Ft</w:t>
            </w:r>
          </w:p>
        </w:tc>
        <w:tc>
          <w:tcPr>
            <w:tcW w:w="2020" w:type="dxa"/>
            <w:tcBorders>
              <w:top w:val="nil"/>
              <w:left w:val="nil"/>
              <w:bottom w:val="single" w:sz="4" w:space="0" w:color="auto"/>
              <w:right w:val="single" w:sz="4" w:space="0" w:color="auto"/>
            </w:tcBorders>
            <w:noWrap/>
            <w:vAlign w:val="bottom"/>
            <w:hideMark/>
          </w:tcPr>
          <w:p w14:paraId="17410CFF" w14:textId="77777777" w:rsidR="00AF4BAC" w:rsidRDefault="00AF4BAC">
            <w:pPr>
              <w:jc w:val="right"/>
              <w:rPr>
                <w:rFonts w:ascii="Arial" w:hAnsi="Arial" w:cs="Arial"/>
                <w:color w:val="000000"/>
                <w:sz w:val="22"/>
                <w:szCs w:val="22"/>
              </w:rPr>
            </w:pPr>
            <w:r>
              <w:rPr>
                <w:rFonts w:ascii="Arial" w:hAnsi="Arial" w:cs="Arial"/>
                <w:color w:val="000000"/>
                <w:sz w:val="22"/>
                <w:szCs w:val="22"/>
              </w:rPr>
              <w:t>395 055 704 Ft</w:t>
            </w:r>
          </w:p>
        </w:tc>
        <w:tc>
          <w:tcPr>
            <w:tcW w:w="1900" w:type="dxa"/>
            <w:tcBorders>
              <w:top w:val="nil"/>
              <w:left w:val="nil"/>
              <w:bottom w:val="single" w:sz="4" w:space="0" w:color="auto"/>
              <w:right w:val="single" w:sz="8" w:space="0" w:color="auto"/>
            </w:tcBorders>
            <w:noWrap/>
            <w:vAlign w:val="bottom"/>
            <w:hideMark/>
          </w:tcPr>
          <w:p w14:paraId="359C4C08" w14:textId="77777777" w:rsidR="00AF4BAC" w:rsidRDefault="00AF4BAC">
            <w:pPr>
              <w:jc w:val="right"/>
              <w:rPr>
                <w:rFonts w:ascii="Arial" w:hAnsi="Arial" w:cs="Arial"/>
                <w:color w:val="000000"/>
                <w:sz w:val="22"/>
                <w:szCs w:val="22"/>
              </w:rPr>
            </w:pPr>
            <w:r>
              <w:rPr>
                <w:rFonts w:ascii="Arial" w:hAnsi="Arial" w:cs="Arial"/>
                <w:color w:val="000000"/>
                <w:sz w:val="22"/>
                <w:szCs w:val="22"/>
              </w:rPr>
              <w:t>72 273 873 Ft</w:t>
            </w:r>
          </w:p>
        </w:tc>
      </w:tr>
      <w:tr w:rsidR="00AF4BAC" w14:paraId="6585BD47" w14:textId="77777777" w:rsidTr="00AF4BAC">
        <w:trPr>
          <w:trHeight w:val="570"/>
        </w:trPr>
        <w:tc>
          <w:tcPr>
            <w:tcW w:w="3760" w:type="dxa"/>
            <w:tcBorders>
              <w:top w:val="nil"/>
              <w:left w:val="single" w:sz="8" w:space="0" w:color="auto"/>
              <w:bottom w:val="single" w:sz="4" w:space="0" w:color="auto"/>
              <w:right w:val="single" w:sz="4" w:space="0" w:color="auto"/>
            </w:tcBorders>
            <w:vAlign w:val="center"/>
            <w:hideMark/>
          </w:tcPr>
          <w:p w14:paraId="35A8B002" w14:textId="77777777" w:rsidR="00AF4BAC" w:rsidRDefault="00AF4BAC">
            <w:pPr>
              <w:jc w:val="both"/>
              <w:rPr>
                <w:rFonts w:ascii="Arial" w:hAnsi="Arial" w:cs="Arial"/>
                <w:color w:val="000000"/>
                <w:sz w:val="22"/>
                <w:szCs w:val="22"/>
              </w:rPr>
            </w:pPr>
            <w:r>
              <w:rPr>
                <w:rFonts w:ascii="Arial" w:hAnsi="Arial" w:cs="Arial"/>
                <w:color w:val="000000"/>
                <w:sz w:val="22"/>
                <w:szCs w:val="22"/>
              </w:rPr>
              <w:t>Munkaadókat terhelő járulékok és szociális hozzájárulási adó</w:t>
            </w:r>
          </w:p>
        </w:tc>
        <w:tc>
          <w:tcPr>
            <w:tcW w:w="2100" w:type="dxa"/>
            <w:tcBorders>
              <w:top w:val="nil"/>
              <w:left w:val="nil"/>
              <w:bottom w:val="single" w:sz="4" w:space="0" w:color="auto"/>
              <w:right w:val="single" w:sz="4" w:space="0" w:color="auto"/>
            </w:tcBorders>
            <w:vAlign w:val="bottom"/>
            <w:hideMark/>
          </w:tcPr>
          <w:p w14:paraId="23750230" w14:textId="77777777" w:rsidR="00AF4BAC" w:rsidRDefault="00AF4BAC">
            <w:pPr>
              <w:jc w:val="right"/>
              <w:rPr>
                <w:rFonts w:ascii="Arial" w:hAnsi="Arial" w:cs="Arial"/>
                <w:color w:val="000000"/>
                <w:sz w:val="22"/>
                <w:szCs w:val="22"/>
              </w:rPr>
            </w:pPr>
            <w:r>
              <w:rPr>
                <w:rFonts w:ascii="Arial" w:hAnsi="Arial" w:cs="Arial"/>
                <w:color w:val="000000"/>
                <w:sz w:val="22"/>
                <w:szCs w:val="22"/>
              </w:rPr>
              <w:t>42 375 166 Ft</w:t>
            </w:r>
          </w:p>
        </w:tc>
        <w:tc>
          <w:tcPr>
            <w:tcW w:w="2020" w:type="dxa"/>
            <w:tcBorders>
              <w:top w:val="nil"/>
              <w:left w:val="nil"/>
              <w:bottom w:val="single" w:sz="4" w:space="0" w:color="auto"/>
              <w:right w:val="single" w:sz="4" w:space="0" w:color="auto"/>
            </w:tcBorders>
            <w:noWrap/>
            <w:vAlign w:val="bottom"/>
            <w:hideMark/>
          </w:tcPr>
          <w:p w14:paraId="5AE1AD86" w14:textId="77777777" w:rsidR="00AF4BAC" w:rsidRDefault="00AF4BAC">
            <w:pPr>
              <w:jc w:val="right"/>
              <w:rPr>
                <w:rFonts w:ascii="Arial" w:hAnsi="Arial" w:cs="Arial"/>
                <w:color w:val="000000"/>
                <w:sz w:val="22"/>
                <w:szCs w:val="22"/>
              </w:rPr>
            </w:pPr>
            <w:r>
              <w:rPr>
                <w:rFonts w:ascii="Arial" w:hAnsi="Arial" w:cs="Arial"/>
                <w:color w:val="000000"/>
                <w:sz w:val="22"/>
                <w:szCs w:val="22"/>
              </w:rPr>
              <w:t>51 683 890 Ft</w:t>
            </w:r>
          </w:p>
        </w:tc>
        <w:tc>
          <w:tcPr>
            <w:tcW w:w="1900" w:type="dxa"/>
            <w:tcBorders>
              <w:top w:val="nil"/>
              <w:left w:val="nil"/>
              <w:bottom w:val="single" w:sz="4" w:space="0" w:color="auto"/>
              <w:right w:val="single" w:sz="8" w:space="0" w:color="auto"/>
            </w:tcBorders>
            <w:noWrap/>
            <w:vAlign w:val="bottom"/>
            <w:hideMark/>
          </w:tcPr>
          <w:p w14:paraId="1ECACF77" w14:textId="77777777" w:rsidR="00AF4BAC" w:rsidRDefault="00AF4BAC">
            <w:pPr>
              <w:jc w:val="right"/>
              <w:rPr>
                <w:rFonts w:ascii="Arial" w:hAnsi="Arial" w:cs="Arial"/>
                <w:color w:val="000000"/>
                <w:sz w:val="22"/>
                <w:szCs w:val="22"/>
              </w:rPr>
            </w:pPr>
            <w:r>
              <w:rPr>
                <w:rFonts w:ascii="Arial" w:hAnsi="Arial" w:cs="Arial"/>
                <w:color w:val="000000"/>
                <w:sz w:val="22"/>
                <w:szCs w:val="22"/>
              </w:rPr>
              <w:t>9 308 724 Ft</w:t>
            </w:r>
          </w:p>
        </w:tc>
      </w:tr>
      <w:tr w:rsidR="00AF4BAC" w14:paraId="0A6D249C"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56BB3DB5" w14:textId="77777777" w:rsidR="00AF4BAC" w:rsidRDefault="00AF4BAC">
            <w:pPr>
              <w:jc w:val="both"/>
              <w:rPr>
                <w:rFonts w:ascii="Arial" w:hAnsi="Arial" w:cs="Arial"/>
                <w:color w:val="000000"/>
                <w:sz w:val="22"/>
                <w:szCs w:val="22"/>
              </w:rPr>
            </w:pPr>
            <w:r>
              <w:rPr>
                <w:rFonts w:ascii="Arial" w:hAnsi="Arial" w:cs="Arial"/>
                <w:color w:val="000000"/>
                <w:sz w:val="22"/>
                <w:szCs w:val="22"/>
              </w:rPr>
              <w:t>Dologi kiadások</w:t>
            </w:r>
          </w:p>
        </w:tc>
        <w:tc>
          <w:tcPr>
            <w:tcW w:w="2100" w:type="dxa"/>
            <w:tcBorders>
              <w:top w:val="nil"/>
              <w:left w:val="nil"/>
              <w:bottom w:val="single" w:sz="4" w:space="0" w:color="auto"/>
              <w:right w:val="single" w:sz="4" w:space="0" w:color="auto"/>
            </w:tcBorders>
            <w:vAlign w:val="bottom"/>
            <w:hideMark/>
          </w:tcPr>
          <w:p w14:paraId="683B3EB0" w14:textId="77777777" w:rsidR="00AF4BAC" w:rsidRDefault="00AF4BAC">
            <w:pPr>
              <w:jc w:val="right"/>
              <w:rPr>
                <w:rFonts w:ascii="Arial" w:hAnsi="Arial" w:cs="Arial"/>
                <w:color w:val="000000"/>
                <w:sz w:val="22"/>
                <w:szCs w:val="22"/>
              </w:rPr>
            </w:pPr>
            <w:r>
              <w:rPr>
                <w:rFonts w:ascii="Arial" w:hAnsi="Arial" w:cs="Arial"/>
                <w:color w:val="000000"/>
                <w:sz w:val="22"/>
                <w:szCs w:val="22"/>
              </w:rPr>
              <w:t>246 855 681 Ft</w:t>
            </w:r>
          </w:p>
        </w:tc>
        <w:tc>
          <w:tcPr>
            <w:tcW w:w="2020" w:type="dxa"/>
            <w:tcBorders>
              <w:top w:val="nil"/>
              <w:left w:val="nil"/>
              <w:bottom w:val="single" w:sz="4" w:space="0" w:color="auto"/>
              <w:right w:val="single" w:sz="4" w:space="0" w:color="auto"/>
            </w:tcBorders>
            <w:noWrap/>
            <w:vAlign w:val="bottom"/>
            <w:hideMark/>
          </w:tcPr>
          <w:p w14:paraId="43E0E265" w14:textId="77777777" w:rsidR="00AF4BAC" w:rsidRDefault="00AF4BAC">
            <w:pPr>
              <w:jc w:val="right"/>
              <w:rPr>
                <w:rFonts w:ascii="Arial" w:hAnsi="Arial" w:cs="Arial"/>
                <w:color w:val="000000"/>
                <w:sz w:val="22"/>
                <w:szCs w:val="22"/>
              </w:rPr>
            </w:pPr>
            <w:r>
              <w:rPr>
                <w:rFonts w:ascii="Arial" w:hAnsi="Arial" w:cs="Arial"/>
                <w:color w:val="000000"/>
                <w:sz w:val="22"/>
                <w:szCs w:val="22"/>
              </w:rPr>
              <w:t>287 626 139 Ft</w:t>
            </w:r>
          </w:p>
        </w:tc>
        <w:tc>
          <w:tcPr>
            <w:tcW w:w="1900" w:type="dxa"/>
            <w:tcBorders>
              <w:top w:val="nil"/>
              <w:left w:val="nil"/>
              <w:bottom w:val="single" w:sz="4" w:space="0" w:color="auto"/>
              <w:right w:val="single" w:sz="8" w:space="0" w:color="auto"/>
            </w:tcBorders>
            <w:noWrap/>
            <w:vAlign w:val="bottom"/>
            <w:hideMark/>
          </w:tcPr>
          <w:p w14:paraId="255A0B38" w14:textId="77777777" w:rsidR="00AF4BAC" w:rsidRDefault="00AF4BAC">
            <w:pPr>
              <w:jc w:val="right"/>
              <w:rPr>
                <w:rFonts w:ascii="Arial" w:hAnsi="Arial" w:cs="Arial"/>
                <w:color w:val="000000"/>
                <w:sz w:val="22"/>
                <w:szCs w:val="22"/>
              </w:rPr>
            </w:pPr>
            <w:r>
              <w:rPr>
                <w:rFonts w:ascii="Arial" w:hAnsi="Arial" w:cs="Arial"/>
                <w:color w:val="000000"/>
                <w:sz w:val="22"/>
                <w:szCs w:val="22"/>
              </w:rPr>
              <w:t>40 770 458 Ft</w:t>
            </w:r>
          </w:p>
        </w:tc>
      </w:tr>
      <w:tr w:rsidR="00AF4BAC" w14:paraId="7F586433"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1822302B" w14:textId="77777777" w:rsidR="00AF4BAC" w:rsidRDefault="00AF4BAC">
            <w:pPr>
              <w:jc w:val="both"/>
              <w:rPr>
                <w:rFonts w:ascii="Arial" w:hAnsi="Arial" w:cs="Arial"/>
                <w:color w:val="000000"/>
                <w:sz w:val="22"/>
                <w:szCs w:val="22"/>
              </w:rPr>
            </w:pPr>
            <w:r>
              <w:rPr>
                <w:rFonts w:ascii="Arial" w:hAnsi="Arial" w:cs="Arial"/>
                <w:color w:val="000000"/>
                <w:sz w:val="22"/>
                <w:szCs w:val="22"/>
              </w:rPr>
              <w:t>Ellátottak pénzbeli juttatásai</w:t>
            </w:r>
          </w:p>
        </w:tc>
        <w:tc>
          <w:tcPr>
            <w:tcW w:w="2100" w:type="dxa"/>
            <w:tcBorders>
              <w:top w:val="nil"/>
              <w:left w:val="nil"/>
              <w:bottom w:val="single" w:sz="4" w:space="0" w:color="auto"/>
              <w:right w:val="single" w:sz="4" w:space="0" w:color="auto"/>
            </w:tcBorders>
            <w:vAlign w:val="bottom"/>
            <w:hideMark/>
          </w:tcPr>
          <w:p w14:paraId="729E9DA3" w14:textId="77777777" w:rsidR="00AF4BAC" w:rsidRDefault="00AF4BAC">
            <w:pPr>
              <w:jc w:val="right"/>
              <w:rPr>
                <w:rFonts w:ascii="Arial" w:hAnsi="Arial" w:cs="Arial"/>
                <w:color w:val="000000"/>
                <w:sz w:val="22"/>
                <w:szCs w:val="22"/>
              </w:rPr>
            </w:pPr>
            <w:r>
              <w:rPr>
                <w:rFonts w:ascii="Arial" w:hAnsi="Arial" w:cs="Arial"/>
                <w:color w:val="000000"/>
                <w:sz w:val="22"/>
                <w:szCs w:val="22"/>
              </w:rPr>
              <w:t>18 020 000 Ft</w:t>
            </w:r>
          </w:p>
        </w:tc>
        <w:tc>
          <w:tcPr>
            <w:tcW w:w="2020" w:type="dxa"/>
            <w:tcBorders>
              <w:top w:val="nil"/>
              <w:left w:val="nil"/>
              <w:bottom w:val="single" w:sz="4" w:space="0" w:color="auto"/>
              <w:right w:val="single" w:sz="4" w:space="0" w:color="auto"/>
            </w:tcBorders>
            <w:noWrap/>
            <w:vAlign w:val="bottom"/>
            <w:hideMark/>
          </w:tcPr>
          <w:p w14:paraId="4A126303" w14:textId="77777777" w:rsidR="00AF4BAC" w:rsidRDefault="00AF4BAC">
            <w:pPr>
              <w:jc w:val="right"/>
              <w:rPr>
                <w:rFonts w:ascii="Arial" w:hAnsi="Arial" w:cs="Arial"/>
                <w:color w:val="000000"/>
                <w:sz w:val="22"/>
                <w:szCs w:val="22"/>
              </w:rPr>
            </w:pPr>
            <w:r>
              <w:rPr>
                <w:rFonts w:ascii="Arial" w:hAnsi="Arial" w:cs="Arial"/>
                <w:color w:val="000000"/>
                <w:sz w:val="22"/>
                <w:szCs w:val="22"/>
              </w:rPr>
              <w:t>18 285 000 Ft</w:t>
            </w:r>
          </w:p>
        </w:tc>
        <w:tc>
          <w:tcPr>
            <w:tcW w:w="1900" w:type="dxa"/>
            <w:tcBorders>
              <w:top w:val="nil"/>
              <w:left w:val="nil"/>
              <w:bottom w:val="single" w:sz="4" w:space="0" w:color="auto"/>
              <w:right w:val="single" w:sz="8" w:space="0" w:color="auto"/>
            </w:tcBorders>
            <w:noWrap/>
            <w:vAlign w:val="bottom"/>
            <w:hideMark/>
          </w:tcPr>
          <w:p w14:paraId="3E6D3A0A" w14:textId="77777777" w:rsidR="00AF4BAC" w:rsidRDefault="00AF4BAC">
            <w:pPr>
              <w:jc w:val="right"/>
              <w:rPr>
                <w:rFonts w:ascii="Arial" w:hAnsi="Arial" w:cs="Arial"/>
                <w:color w:val="000000"/>
                <w:sz w:val="22"/>
                <w:szCs w:val="22"/>
              </w:rPr>
            </w:pPr>
            <w:r>
              <w:rPr>
                <w:rFonts w:ascii="Arial" w:hAnsi="Arial" w:cs="Arial"/>
                <w:color w:val="000000"/>
                <w:sz w:val="22"/>
                <w:szCs w:val="22"/>
              </w:rPr>
              <w:t>265 000 Ft</w:t>
            </w:r>
          </w:p>
        </w:tc>
      </w:tr>
      <w:tr w:rsidR="00AF4BAC" w14:paraId="7935B031"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7D08FF2C" w14:textId="77777777" w:rsidR="00AF4BAC" w:rsidRDefault="00AF4BAC">
            <w:pPr>
              <w:jc w:val="both"/>
              <w:rPr>
                <w:rFonts w:ascii="Arial" w:hAnsi="Arial" w:cs="Arial"/>
                <w:color w:val="000000"/>
                <w:sz w:val="22"/>
                <w:szCs w:val="22"/>
              </w:rPr>
            </w:pPr>
            <w:r>
              <w:rPr>
                <w:rFonts w:ascii="Arial" w:hAnsi="Arial" w:cs="Arial"/>
                <w:color w:val="000000"/>
                <w:sz w:val="22"/>
                <w:szCs w:val="22"/>
              </w:rPr>
              <w:t>Egyéb működési célú kiadások</w:t>
            </w:r>
          </w:p>
        </w:tc>
        <w:tc>
          <w:tcPr>
            <w:tcW w:w="2100" w:type="dxa"/>
            <w:tcBorders>
              <w:top w:val="nil"/>
              <w:left w:val="nil"/>
              <w:bottom w:val="single" w:sz="4" w:space="0" w:color="auto"/>
              <w:right w:val="single" w:sz="4" w:space="0" w:color="auto"/>
            </w:tcBorders>
            <w:vAlign w:val="bottom"/>
            <w:hideMark/>
          </w:tcPr>
          <w:p w14:paraId="5D32248F" w14:textId="77777777" w:rsidR="00AF4BAC" w:rsidRDefault="00AF4BAC">
            <w:pPr>
              <w:jc w:val="right"/>
              <w:rPr>
                <w:rFonts w:ascii="Arial" w:hAnsi="Arial" w:cs="Arial"/>
                <w:color w:val="000000"/>
                <w:sz w:val="22"/>
                <w:szCs w:val="22"/>
              </w:rPr>
            </w:pPr>
            <w:r>
              <w:rPr>
                <w:rFonts w:ascii="Arial" w:hAnsi="Arial" w:cs="Arial"/>
                <w:color w:val="000000"/>
                <w:sz w:val="22"/>
                <w:szCs w:val="22"/>
              </w:rPr>
              <w:t>1 147 183 818 Ft</w:t>
            </w:r>
          </w:p>
        </w:tc>
        <w:tc>
          <w:tcPr>
            <w:tcW w:w="2020" w:type="dxa"/>
            <w:tcBorders>
              <w:top w:val="nil"/>
              <w:left w:val="nil"/>
              <w:bottom w:val="single" w:sz="4" w:space="0" w:color="auto"/>
              <w:right w:val="single" w:sz="4" w:space="0" w:color="auto"/>
            </w:tcBorders>
            <w:noWrap/>
            <w:vAlign w:val="bottom"/>
            <w:hideMark/>
          </w:tcPr>
          <w:p w14:paraId="67B1593D" w14:textId="77777777" w:rsidR="00AF4BAC" w:rsidRDefault="00AF4BAC">
            <w:pPr>
              <w:jc w:val="right"/>
              <w:rPr>
                <w:rFonts w:ascii="Arial" w:hAnsi="Arial" w:cs="Arial"/>
                <w:color w:val="000000"/>
                <w:sz w:val="22"/>
                <w:szCs w:val="22"/>
              </w:rPr>
            </w:pPr>
            <w:r>
              <w:rPr>
                <w:rFonts w:ascii="Arial" w:hAnsi="Arial" w:cs="Arial"/>
                <w:color w:val="000000"/>
                <w:sz w:val="22"/>
                <w:szCs w:val="22"/>
              </w:rPr>
              <w:t>1 403 623 566 Ft</w:t>
            </w:r>
          </w:p>
        </w:tc>
        <w:tc>
          <w:tcPr>
            <w:tcW w:w="1900" w:type="dxa"/>
            <w:tcBorders>
              <w:top w:val="nil"/>
              <w:left w:val="nil"/>
              <w:bottom w:val="single" w:sz="4" w:space="0" w:color="auto"/>
              <w:right w:val="single" w:sz="8" w:space="0" w:color="auto"/>
            </w:tcBorders>
            <w:noWrap/>
            <w:vAlign w:val="bottom"/>
            <w:hideMark/>
          </w:tcPr>
          <w:p w14:paraId="19B96A74" w14:textId="77777777" w:rsidR="00AF4BAC" w:rsidRDefault="00AF4BAC">
            <w:pPr>
              <w:jc w:val="right"/>
              <w:rPr>
                <w:rFonts w:ascii="Arial" w:hAnsi="Arial" w:cs="Arial"/>
                <w:color w:val="000000"/>
                <w:sz w:val="22"/>
                <w:szCs w:val="22"/>
              </w:rPr>
            </w:pPr>
            <w:r>
              <w:rPr>
                <w:rFonts w:ascii="Arial" w:hAnsi="Arial" w:cs="Arial"/>
                <w:color w:val="000000"/>
                <w:sz w:val="22"/>
                <w:szCs w:val="22"/>
              </w:rPr>
              <w:t>256 439 748 Ft</w:t>
            </w:r>
          </w:p>
        </w:tc>
      </w:tr>
      <w:tr w:rsidR="00AF4BAC" w14:paraId="6453B3FF"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1BB52FA7" w14:textId="77777777" w:rsidR="00AF4BAC" w:rsidRDefault="00AF4BAC">
            <w:pPr>
              <w:jc w:val="both"/>
              <w:rPr>
                <w:rFonts w:ascii="Arial" w:hAnsi="Arial" w:cs="Arial"/>
                <w:color w:val="000000"/>
                <w:sz w:val="22"/>
                <w:szCs w:val="22"/>
              </w:rPr>
            </w:pPr>
            <w:r>
              <w:rPr>
                <w:rFonts w:ascii="Arial" w:hAnsi="Arial" w:cs="Arial"/>
                <w:color w:val="000000"/>
                <w:sz w:val="22"/>
                <w:szCs w:val="22"/>
              </w:rPr>
              <w:t xml:space="preserve">       Ebből: Tartalék</w:t>
            </w:r>
          </w:p>
        </w:tc>
        <w:tc>
          <w:tcPr>
            <w:tcW w:w="2100" w:type="dxa"/>
            <w:tcBorders>
              <w:top w:val="nil"/>
              <w:left w:val="nil"/>
              <w:bottom w:val="single" w:sz="4" w:space="0" w:color="auto"/>
              <w:right w:val="single" w:sz="4" w:space="0" w:color="auto"/>
            </w:tcBorders>
            <w:vAlign w:val="bottom"/>
            <w:hideMark/>
          </w:tcPr>
          <w:p w14:paraId="10F1EA38" w14:textId="77777777" w:rsidR="00AF4BAC" w:rsidRDefault="00AF4BAC">
            <w:pPr>
              <w:jc w:val="right"/>
              <w:rPr>
                <w:rFonts w:ascii="Arial" w:hAnsi="Arial" w:cs="Arial"/>
                <w:color w:val="000000"/>
                <w:sz w:val="22"/>
                <w:szCs w:val="22"/>
              </w:rPr>
            </w:pPr>
            <w:r>
              <w:rPr>
                <w:rFonts w:ascii="Arial" w:hAnsi="Arial" w:cs="Arial"/>
                <w:color w:val="000000"/>
                <w:sz w:val="22"/>
                <w:szCs w:val="22"/>
              </w:rPr>
              <w:t>44 290 380 Ft</w:t>
            </w:r>
          </w:p>
        </w:tc>
        <w:tc>
          <w:tcPr>
            <w:tcW w:w="2020" w:type="dxa"/>
            <w:tcBorders>
              <w:top w:val="nil"/>
              <w:left w:val="nil"/>
              <w:bottom w:val="single" w:sz="4" w:space="0" w:color="auto"/>
              <w:right w:val="single" w:sz="4" w:space="0" w:color="auto"/>
            </w:tcBorders>
            <w:noWrap/>
            <w:vAlign w:val="bottom"/>
            <w:hideMark/>
          </w:tcPr>
          <w:p w14:paraId="2BB323F0" w14:textId="77777777" w:rsidR="00AF4BAC" w:rsidRDefault="00AF4BAC">
            <w:pPr>
              <w:jc w:val="right"/>
              <w:rPr>
                <w:rFonts w:ascii="Arial" w:hAnsi="Arial" w:cs="Arial"/>
                <w:color w:val="000000"/>
                <w:sz w:val="22"/>
                <w:szCs w:val="22"/>
              </w:rPr>
            </w:pPr>
            <w:r>
              <w:rPr>
                <w:rFonts w:ascii="Arial" w:hAnsi="Arial" w:cs="Arial"/>
                <w:color w:val="000000"/>
                <w:sz w:val="22"/>
                <w:szCs w:val="22"/>
              </w:rPr>
              <w:t>90 046 389 Ft</w:t>
            </w:r>
          </w:p>
        </w:tc>
        <w:tc>
          <w:tcPr>
            <w:tcW w:w="1900" w:type="dxa"/>
            <w:tcBorders>
              <w:top w:val="nil"/>
              <w:left w:val="nil"/>
              <w:bottom w:val="single" w:sz="4" w:space="0" w:color="auto"/>
              <w:right w:val="single" w:sz="8" w:space="0" w:color="auto"/>
            </w:tcBorders>
            <w:noWrap/>
            <w:vAlign w:val="bottom"/>
            <w:hideMark/>
          </w:tcPr>
          <w:p w14:paraId="12766D81" w14:textId="77777777" w:rsidR="00AF4BAC" w:rsidRDefault="00AF4BAC">
            <w:pPr>
              <w:jc w:val="right"/>
              <w:rPr>
                <w:rFonts w:ascii="Arial" w:hAnsi="Arial" w:cs="Arial"/>
                <w:color w:val="000000"/>
                <w:sz w:val="22"/>
                <w:szCs w:val="22"/>
              </w:rPr>
            </w:pPr>
            <w:r>
              <w:rPr>
                <w:rFonts w:ascii="Arial" w:hAnsi="Arial" w:cs="Arial"/>
                <w:color w:val="000000"/>
                <w:sz w:val="22"/>
                <w:szCs w:val="22"/>
              </w:rPr>
              <w:t>45 756 009 Ft</w:t>
            </w:r>
          </w:p>
        </w:tc>
      </w:tr>
      <w:tr w:rsidR="00AF4BAC" w14:paraId="316A1E09"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7A2D1812" w14:textId="77777777" w:rsidR="00AF4BAC" w:rsidRDefault="00AF4BAC">
            <w:pPr>
              <w:jc w:val="both"/>
              <w:rPr>
                <w:rFonts w:ascii="Arial" w:hAnsi="Arial" w:cs="Arial"/>
                <w:color w:val="000000"/>
                <w:sz w:val="22"/>
                <w:szCs w:val="22"/>
              </w:rPr>
            </w:pPr>
            <w:r>
              <w:rPr>
                <w:rFonts w:ascii="Arial" w:hAnsi="Arial" w:cs="Arial"/>
                <w:color w:val="000000"/>
                <w:sz w:val="22"/>
                <w:szCs w:val="22"/>
              </w:rPr>
              <w:t>Beruházások</w:t>
            </w:r>
          </w:p>
        </w:tc>
        <w:tc>
          <w:tcPr>
            <w:tcW w:w="2100" w:type="dxa"/>
            <w:tcBorders>
              <w:top w:val="nil"/>
              <w:left w:val="nil"/>
              <w:bottom w:val="single" w:sz="4" w:space="0" w:color="auto"/>
              <w:right w:val="single" w:sz="4" w:space="0" w:color="auto"/>
            </w:tcBorders>
            <w:vAlign w:val="bottom"/>
            <w:hideMark/>
          </w:tcPr>
          <w:p w14:paraId="2F0173F5" w14:textId="77777777" w:rsidR="00AF4BAC" w:rsidRDefault="00AF4BAC">
            <w:pPr>
              <w:jc w:val="right"/>
              <w:rPr>
                <w:rFonts w:ascii="Arial" w:hAnsi="Arial" w:cs="Arial"/>
                <w:color w:val="000000"/>
                <w:sz w:val="22"/>
                <w:szCs w:val="22"/>
              </w:rPr>
            </w:pPr>
            <w:r>
              <w:rPr>
                <w:rFonts w:ascii="Arial" w:hAnsi="Arial" w:cs="Arial"/>
                <w:color w:val="000000"/>
                <w:sz w:val="22"/>
                <w:szCs w:val="22"/>
              </w:rPr>
              <w:t>938 400 512 Ft</w:t>
            </w:r>
          </w:p>
        </w:tc>
        <w:tc>
          <w:tcPr>
            <w:tcW w:w="2020" w:type="dxa"/>
            <w:tcBorders>
              <w:top w:val="nil"/>
              <w:left w:val="nil"/>
              <w:bottom w:val="single" w:sz="4" w:space="0" w:color="auto"/>
              <w:right w:val="single" w:sz="4" w:space="0" w:color="auto"/>
            </w:tcBorders>
            <w:noWrap/>
            <w:vAlign w:val="bottom"/>
            <w:hideMark/>
          </w:tcPr>
          <w:p w14:paraId="65CA5CF0" w14:textId="77777777" w:rsidR="00AF4BAC" w:rsidRDefault="00AF4BAC">
            <w:pPr>
              <w:jc w:val="right"/>
              <w:rPr>
                <w:rFonts w:ascii="Arial" w:hAnsi="Arial" w:cs="Arial"/>
                <w:color w:val="000000"/>
                <w:sz w:val="22"/>
                <w:szCs w:val="22"/>
              </w:rPr>
            </w:pPr>
            <w:r>
              <w:rPr>
                <w:rFonts w:ascii="Arial" w:hAnsi="Arial" w:cs="Arial"/>
                <w:color w:val="000000"/>
                <w:sz w:val="22"/>
                <w:szCs w:val="22"/>
              </w:rPr>
              <w:t>873 127 850 Ft</w:t>
            </w:r>
          </w:p>
        </w:tc>
        <w:tc>
          <w:tcPr>
            <w:tcW w:w="1900" w:type="dxa"/>
            <w:tcBorders>
              <w:top w:val="nil"/>
              <w:left w:val="nil"/>
              <w:bottom w:val="single" w:sz="4" w:space="0" w:color="auto"/>
              <w:right w:val="single" w:sz="8" w:space="0" w:color="auto"/>
            </w:tcBorders>
            <w:noWrap/>
            <w:vAlign w:val="bottom"/>
            <w:hideMark/>
          </w:tcPr>
          <w:p w14:paraId="1F5C4259" w14:textId="77777777" w:rsidR="00AF4BAC" w:rsidRDefault="00AF4BAC">
            <w:pPr>
              <w:jc w:val="right"/>
              <w:rPr>
                <w:rFonts w:ascii="Arial" w:hAnsi="Arial" w:cs="Arial"/>
                <w:color w:val="000000"/>
                <w:sz w:val="22"/>
                <w:szCs w:val="22"/>
              </w:rPr>
            </w:pPr>
            <w:r>
              <w:rPr>
                <w:rFonts w:ascii="Arial" w:hAnsi="Arial" w:cs="Arial"/>
                <w:color w:val="000000"/>
                <w:sz w:val="22"/>
                <w:szCs w:val="22"/>
              </w:rPr>
              <w:t>-65 272 662 Ft</w:t>
            </w:r>
          </w:p>
        </w:tc>
      </w:tr>
      <w:tr w:rsidR="00AF4BAC" w14:paraId="18CEF8F9"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4F0F009B" w14:textId="77777777" w:rsidR="00AF4BAC" w:rsidRDefault="00AF4BAC">
            <w:pPr>
              <w:jc w:val="both"/>
              <w:rPr>
                <w:rFonts w:ascii="Arial" w:hAnsi="Arial" w:cs="Arial"/>
                <w:color w:val="000000"/>
                <w:sz w:val="22"/>
                <w:szCs w:val="22"/>
              </w:rPr>
            </w:pPr>
            <w:r>
              <w:rPr>
                <w:rFonts w:ascii="Arial" w:hAnsi="Arial" w:cs="Arial"/>
                <w:color w:val="000000"/>
                <w:sz w:val="22"/>
                <w:szCs w:val="22"/>
              </w:rPr>
              <w:t>Felújítások</w:t>
            </w:r>
          </w:p>
        </w:tc>
        <w:tc>
          <w:tcPr>
            <w:tcW w:w="2100" w:type="dxa"/>
            <w:tcBorders>
              <w:top w:val="nil"/>
              <w:left w:val="nil"/>
              <w:bottom w:val="single" w:sz="4" w:space="0" w:color="auto"/>
              <w:right w:val="single" w:sz="4" w:space="0" w:color="auto"/>
            </w:tcBorders>
            <w:vAlign w:val="bottom"/>
            <w:hideMark/>
          </w:tcPr>
          <w:p w14:paraId="0D972323" w14:textId="77777777" w:rsidR="00AF4BAC" w:rsidRDefault="00AF4BAC">
            <w:pPr>
              <w:jc w:val="right"/>
              <w:rPr>
                <w:rFonts w:ascii="Arial" w:hAnsi="Arial" w:cs="Arial"/>
                <w:color w:val="000000"/>
                <w:sz w:val="22"/>
                <w:szCs w:val="22"/>
              </w:rPr>
            </w:pPr>
            <w:r>
              <w:rPr>
                <w:rFonts w:ascii="Arial" w:hAnsi="Arial" w:cs="Arial"/>
                <w:color w:val="000000"/>
                <w:sz w:val="22"/>
                <w:szCs w:val="22"/>
              </w:rPr>
              <w:t>24 353 693 Ft</w:t>
            </w:r>
          </w:p>
        </w:tc>
        <w:tc>
          <w:tcPr>
            <w:tcW w:w="2020" w:type="dxa"/>
            <w:tcBorders>
              <w:top w:val="nil"/>
              <w:left w:val="nil"/>
              <w:bottom w:val="single" w:sz="4" w:space="0" w:color="auto"/>
              <w:right w:val="single" w:sz="4" w:space="0" w:color="auto"/>
            </w:tcBorders>
            <w:noWrap/>
            <w:vAlign w:val="bottom"/>
            <w:hideMark/>
          </w:tcPr>
          <w:p w14:paraId="7A2BAD9C" w14:textId="77777777" w:rsidR="00AF4BAC" w:rsidRDefault="00AF4BAC">
            <w:pPr>
              <w:jc w:val="right"/>
              <w:rPr>
                <w:rFonts w:ascii="Arial" w:hAnsi="Arial" w:cs="Arial"/>
                <w:color w:val="000000"/>
                <w:sz w:val="22"/>
                <w:szCs w:val="22"/>
              </w:rPr>
            </w:pPr>
            <w:r>
              <w:rPr>
                <w:rFonts w:ascii="Arial" w:hAnsi="Arial" w:cs="Arial"/>
                <w:color w:val="000000"/>
                <w:sz w:val="22"/>
                <w:szCs w:val="22"/>
              </w:rPr>
              <w:t>47 252 039 Ft</w:t>
            </w:r>
          </w:p>
        </w:tc>
        <w:tc>
          <w:tcPr>
            <w:tcW w:w="1900" w:type="dxa"/>
            <w:tcBorders>
              <w:top w:val="nil"/>
              <w:left w:val="nil"/>
              <w:bottom w:val="single" w:sz="4" w:space="0" w:color="auto"/>
              <w:right w:val="single" w:sz="8" w:space="0" w:color="auto"/>
            </w:tcBorders>
            <w:noWrap/>
            <w:vAlign w:val="bottom"/>
            <w:hideMark/>
          </w:tcPr>
          <w:p w14:paraId="78B026D7" w14:textId="77777777" w:rsidR="00AF4BAC" w:rsidRDefault="00AF4BAC">
            <w:pPr>
              <w:jc w:val="right"/>
              <w:rPr>
                <w:rFonts w:ascii="Arial" w:hAnsi="Arial" w:cs="Arial"/>
                <w:color w:val="000000"/>
                <w:sz w:val="22"/>
                <w:szCs w:val="22"/>
              </w:rPr>
            </w:pPr>
            <w:r>
              <w:rPr>
                <w:rFonts w:ascii="Arial" w:hAnsi="Arial" w:cs="Arial"/>
                <w:color w:val="000000"/>
                <w:sz w:val="22"/>
                <w:szCs w:val="22"/>
              </w:rPr>
              <w:t>22 898 346 Ft</w:t>
            </w:r>
          </w:p>
        </w:tc>
      </w:tr>
      <w:tr w:rsidR="00AF4BAC" w14:paraId="65DF2229" w14:textId="77777777" w:rsidTr="00AF4BAC">
        <w:trPr>
          <w:trHeight w:val="300"/>
        </w:trPr>
        <w:tc>
          <w:tcPr>
            <w:tcW w:w="3760" w:type="dxa"/>
            <w:tcBorders>
              <w:top w:val="nil"/>
              <w:left w:val="single" w:sz="8" w:space="0" w:color="auto"/>
              <w:bottom w:val="nil"/>
              <w:right w:val="single" w:sz="4" w:space="0" w:color="auto"/>
            </w:tcBorders>
            <w:vAlign w:val="center"/>
            <w:hideMark/>
          </w:tcPr>
          <w:p w14:paraId="57322D77" w14:textId="77777777" w:rsidR="00AF4BAC" w:rsidRDefault="00AF4BAC">
            <w:pPr>
              <w:jc w:val="both"/>
              <w:rPr>
                <w:rFonts w:ascii="Arial" w:hAnsi="Arial" w:cs="Arial"/>
                <w:color w:val="000000"/>
                <w:sz w:val="22"/>
                <w:szCs w:val="22"/>
              </w:rPr>
            </w:pPr>
            <w:r>
              <w:rPr>
                <w:rFonts w:ascii="Arial" w:hAnsi="Arial" w:cs="Arial"/>
                <w:color w:val="000000"/>
                <w:sz w:val="22"/>
                <w:szCs w:val="22"/>
              </w:rPr>
              <w:t>Egyéb felhalmozási kiadások</w:t>
            </w:r>
          </w:p>
        </w:tc>
        <w:tc>
          <w:tcPr>
            <w:tcW w:w="2100" w:type="dxa"/>
            <w:tcBorders>
              <w:top w:val="nil"/>
              <w:left w:val="nil"/>
              <w:bottom w:val="nil"/>
              <w:right w:val="single" w:sz="4" w:space="0" w:color="auto"/>
            </w:tcBorders>
            <w:vAlign w:val="bottom"/>
            <w:hideMark/>
          </w:tcPr>
          <w:p w14:paraId="3B07133C" w14:textId="77777777" w:rsidR="00AF4BAC" w:rsidRDefault="00AF4BAC">
            <w:pPr>
              <w:jc w:val="right"/>
              <w:rPr>
                <w:rFonts w:ascii="Arial" w:hAnsi="Arial" w:cs="Arial"/>
                <w:color w:val="000000"/>
                <w:sz w:val="22"/>
                <w:szCs w:val="22"/>
              </w:rPr>
            </w:pPr>
            <w:r>
              <w:rPr>
                <w:rFonts w:ascii="Arial" w:hAnsi="Arial" w:cs="Arial"/>
                <w:color w:val="000000"/>
                <w:sz w:val="22"/>
                <w:szCs w:val="22"/>
              </w:rPr>
              <w:t>3 707 000 Ft</w:t>
            </w:r>
          </w:p>
        </w:tc>
        <w:tc>
          <w:tcPr>
            <w:tcW w:w="2020" w:type="dxa"/>
            <w:tcBorders>
              <w:top w:val="nil"/>
              <w:left w:val="nil"/>
              <w:bottom w:val="nil"/>
              <w:right w:val="single" w:sz="4" w:space="0" w:color="auto"/>
            </w:tcBorders>
            <w:noWrap/>
            <w:vAlign w:val="bottom"/>
            <w:hideMark/>
          </w:tcPr>
          <w:p w14:paraId="1979B8F2" w14:textId="77777777" w:rsidR="00AF4BAC" w:rsidRDefault="00AF4BAC">
            <w:pPr>
              <w:jc w:val="right"/>
              <w:rPr>
                <w:rFonts w:ascii="Arial" w:hAnsi="Arial" w:cs="Arial"/>
                <w:color w:val="000000"/>
                <w:sz w:val="22"/>
                <w:szCs w:val="22"/>
              </w:rPr>
            </w:pPr>
            <w:r>
              <w:rPr>
                <w:rFonts w:ascii="Arial" w:hAnsi="Arial" w:cs="Arial"/>
                <w:color w:val="000000"/>
                <w:sz w:val="22"/>
                <w:szCs w:val="22"/>
              </w:rPr>
              <w:t>3 436 000 Ft</w:t>
            </w:r>
          </w:p>
        </w:tc>
        <w:tc>
          <w:tcPr>
            <w:tcW w:w="1900" w:type="dxa"/>
            <w:tcBorders>
              <w:top w:val="nil"/>
              <w:left w:val="nil"/>
              <w:bottom w:val="nil"/>
              <w:right w:val="single" w:sz="8" w:space="0" w:color="auto"/>
            </w:tcBorders>
            <w:noWrap/>
            <w:vAlign w:val="bottom"/>
            <w:hideMark/>
          </w:tcPr>
          <w:p w14:paraId="6DB8CEB7" w14:textId="77777777" w:rsidR="00AF4BAC" w:rsidRDefault="00AF4BAC">
            <w:pPr>
              <w:jc w:val="right"/>
              <w:rPr>
                <w:rFonts w:ascii="Arial" w:hAnsi="Arial" w:cs="Arial"/>
                <w:color w:val="000000"/>
                <w:sz w:val="22"/>
                <w:szCs w:val="22"/>
              </w:rPr>
            </w:pPr>
            <w:r>
              <w:rPr>
                <w:rFonts w:ascii="Arial" w:hAnsi="Arial" w:cs="Arial"/>
                <w:color w:val="000000"/>
                <w:sz w:val="22"/>
                <w:szCs w:val="22"/>
              </w:rPr>
              <w:t>-271 000 Ft</w:t>
            </w:r>
          </w:p>
        </w:tc>
      </w:tr>
      <w:tr w:rsidR="00AF4BAC" w14:paraId="2D3A9EFE" w14:textId="77777777" w:rsidTr="00AF4BAC">
        <w:trPr>
          <w:trHeight w:val="615"/>
        </w:trPr>
        <w:tc>
          <w:tcPr>
            <w:tcW w:w="3760" w:type="dxa"/>
            <w:tcBorders>
              <w:top w:val="single" w:sz="8" w:space="0" w:color="auto"/>
              <w:left w:val="single" w:sz="8" w:space="0" w:color="auto"/>
              <w:bottom w:val="single" w:sz="8" w:space="0" w:color="auto"/>
              <w:right w:val="single" w:sz="4" w:space="0" w:color="auto"/>
            </w:tcBorders>
            <w:vAlign w:val="center"/>
            <w:hideMark/>
          </w:tcPr>
          <w:p w14:paraId="3C2E7D73" w14:textId="77777777" w:rsidR="00AF4BAC" w:rsidRDefault="00AF4BAC">
            <w:pPr>
              <w:jc w:val="both"/>
              <w:rPr>
                <w:rFonts w:ascii="Arial" w:hAnsi="Arial" w:cs="Arial"/>
                <w:b/>
                <w:bCs/>
                <w:color w:val="000000"/>
                <w:sz w:val="22"/>
                <w:szCs w:val="22"/>
              </w:rPr>
            </w:pPr>
            <w:r>
              <w:rPr>
                <w:rFonts w:ascii="Arial" w:hAnsi="Arial" w:cs="Arial"/>
                <w:b/>
                <w:bCs/>
                <w:color w:val="000000"/>
                <w:sz w:val="22"/>
                <w:szCs w:val="22"/>
              </w:rPr>
              <w:t>Költségvetési kiadások összesen:</w:t>
            </w:r>
          </w:p>
        </w:tc>
        <w:tc>
          <w:tcPr>
            <w:tcW w:w="2100" w:type="dxa"/>
            <w:tcBorders>
              <w:top w:val="single" w:sz="8" w:space="0" w:color="auto"/>
              <w:left w:val="nil"/>
              <w:bottom w:val="single" w:sz="8" w:space="0" w:color="auto"/>
              <w:right w:val="single" w:sz="4" w:space="0" w:color="auto"/>
            </w:tcBorders>
            <w:vAlign w:val="bottom"/>
            <w:hideMark/>
          </w:tcPr>
          <w:p w14:paraId="5E8F7699"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2 743 677 701 Ft</w:t>
            </w:r>
          </w:p>
        </w:tc>
        <w:tc>
          <w:tcPr>
            <w:tcW w:w="2020" w:type="dxa"/>
            <w:tcBorders>
              <w:top w:val="single" w:sz="8" w:space="0" w:color="auto"/>
              <w:left w:val="nil"/>
              <w:bottom w:val="single" w:sz="8" w:space="0" w:color="auto"/>
              <w:right w:val="single" w:sz="4" w:space="0" w:color="auto"/>
            </w:tcBorders>
            <w:noWrap/>
            <w:vAlign w:val="bottom"/>
            <w:hideMark/>
          </w:tcPr>
          <w:p w14:paraId="40C5B2E9"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3 080 090 188 Ft</w:t>
            </w:r>
          </w:p>
        </w:tc>
        <w:tc>
          <w:tcPr>
            <w:tcW w:w="1900" w:type="dxa"/>
            <w:tcBorders>
              <w:top w:val="single" w:sz="8" w:space="0" w:color="auto"/>
              <w:left w:val="nil"/>
              <w:bottom w:val="single" w:sz="8" w:space="0" w:color="auto"/>
              <w:right w:val="single" w:sz="8" w:space="0" w:color="auto"/>
            </w:tcBorders>
            <w:noWrap/>
            <w:vAlign w:val="bottom"/>
            <w:hideMark/>
          </w:tcPr>
          <w:p w14:paraId="7B6D5AA0"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336 412 487 Ft</w:t>
            </w:r>
          </w:p>
        </w:tc>
      </w:tr>
      <w:tr w:rsidR="00AF4BAC" w14:paraId="77D980CA" w14:textId="77777777" w:rsidTr="00AF4BAC">
        <w:trPr>
          <w:trHeight w:val="285"/>
        </w:trPr>
        <w:tc>
          <w:tcPr>
            <w:tcW w:w="3760" w:type="dxa"/>
            <w:tcBorders>
              <w:top w:val="nil"/>
              <w:left w:val="single" w:sz="8" w:space="0" w:color="auto"/>
              <w:bottom w:val="single" w:sz="4" w:space="0" w:color="auto"/>
              <w:right w:val="single" w:sz="4" w:space="0" w:color="auto"/>
            </w:tcBorders>
            <w:vAlign w:val="center"/>
            <w:hideMark/>
          </w:tcPr>
          <w:p w14:paraId="3CF23B48" w14:textId="77777777" w:rsidR="00AF4BAC" w:rsidRDefault="00AF4BAC">
            <w:pPr>
              <w:rPr>
                <w:rFonts w:ascii="Arial" w:hAnsi="Arial" w:cs="Arial"/>
                <w:color w:val="000000"/>
                <w:sz w:val="22"/>
                <w:szCs w:val="22"/>
              </w:rPr>
            </w:pPr>
            <w:r>
              <w:rPr>
                <w:rFonts w:ascii="Arial" w:hAnsi="Arial" w:cs="Arial"/>
                <w:color w:val="000000"/>
                <w:sz w:val="22"/>
                <w:szCs w:val="22"/>
              </w:rPr>
              <w:t xml:space="preserve">Belföldi </w:t>
            </w:r>
            <w:proofErr w:type="gramStart"/>
            <w:r>
              <w:rPr>
                <w:rFonts w:ascii="Arial" w:hAnsi="Arial" w:cs="Arial"/>
                <w:color w:val="000000"/>
                <w:sz w:val="22"/>
                <w:szCs w:val="22"/>
              </w:rPr>
              <w:t>finanszírozás</w:t>
            </w:r>
            <w:proofErr w:type="gramEnd"/>
            <w:r>
              <w:rPr>
                <w:rFonts w:ascii="Arial" w:hAnsi="Arial" w:cs="Arial"/>
                <w:color w:val="000000"/>
                <w:sz w:val="22"/>
                <w:szCs w:val="22"/>
              </w:rPr>
              <w:t xml:space="preserve"> kiadásai </w:t>
            </w:r>
          </w:p>
        </w:tc>
        <w:tc>
          <w:tcPr>
            <w:tcW w:w="2100" w:type="dxa"/>
            <w:tcBorders>
              <w:top w:val="nil"/>
              <w:left w:val="nil"/>
              <w:bottom w:val="single" w:sz="4" w:space="0" w:color="auto"/>
              <w:right w:val="single" w:sz="4" w:space="0" w:color="auto"/>
            </w:tcBorders>
            <w:vAlign w:val="bottom"/>
            <w:hideMark/>
          </w:tcPr>
          <w:p w14:paraId="33D91E29" w14:textId="77777777" w:rsidR="00AF4BAC" w:rsidRDefault="00AF4BAC">
            <w:pPr>
              <w:jc w:val="right"/>
              <w:rPr>
                <w:rFonts w:ascii="Arial" w:hAnsi="Arial" w:cs="Arial"/>
                <w:color w:val="000000"/>
                <w:sz w:val="22"/>
                <w:szCs w:val="22"/>
              </w:rPr>
            </w:pPr>
            <w:r>
              <w:rPr>
                <w:rFonts w:ascii="Arial" w:hAnsi="Arial" w:cs="Arial"/>
                <w:color w:val="000000"/>
                <w:sz w:val="22"/>
                <w:szCs w:val="22"/>
              </w:rPr>
              <w:t>31 088 602 Ft</w:t>
            </w:r>
          </w:p>
        </w:tc>
        <w:tc>
          <w:tcPr>
            <w:tcW w:w="2020" w:type="dxa"/>
            <w:tcBorders>
              <w:top w:val="nil"/>
              <w:left w:val="nil"/>
              <w:bottom w:val="single" w:sz="4" w:space="0" w:color="auto"/>
              <w:right w:val="single" w:sz="4" w:space="0" w:color="auto"/>
            </w:tcBorders>
            <w:noWrap/>
            <w:vAlign w:val="bottom"/>
            <w:hideMark/>
          </w:tcPr>
          <w:p w14:paraId="2B66DF0A" w14:textId="77777777" w:rsidR="00AF4BAC" w:rsidRDefault="00AF4BAC">
            <w:pPr>
              <w:jc w:val="right"/>
              <w:rPr>
                <w:rFonts w:ascii="Arial" w:hAnsi="Arial" w:cs="Arial"/>
                <w:color w:val="000000"/>
                <w:sz w:val="22"/>
                <w:szCs w:val="22"/>
              </w:rPr>
            </w:pPr>
            <w:r>
              <w:rPr>
                <w:rFonts w:ascii="Arial" w:hAnsi="Arial" w:cs="Arial"/>
                <w:color w:val="000000"/>
                <w:sz w:val="22"/>
                <w:szCs w:val="22"/>
              </w:rPr>
              <w:t>47 804 028 Ft</w:t>
            </w:r>
          </w:p>
        </w:tc>
        <w:tc>
          <w:tcPr>
            <w:tcW w:w="1900" w:type="dxa"/>
            <w:tcBorders>
              <w:top w:val="nil"/>
              <w:left w:val="nil"/>
              <w:bottom w:val="single" w:sz="4" w:space="0" w:color="auto"/>
              <w:right w:val="single" w:sz="8" w:space="0" w:color="auto"/>
            </w:tcBorders>
            <w:noWrap/>
            <w:vAlign w:val="bottom"/>
            <w:hideMark/>
          </w:tcPr>
          <w:p w14:paraId="24875BCD" w14:textId="77777777" w:rsidR="00AF4BAC" w:rsidRDefault="00AF4BAC">
            <w:pPr>
              <w:jc w:val="right"/>
              <w:rPr>
                <w:rFonts w:ascii="Arial" w:hAnsi="Arial" w:cs="Arial"/>
                <w:color w:val="000000"/>
                <w:sz w:val="22"/>
                <w:szCs w:val="22"/>
              </w:rPr>
            </w:pPr>
            <w:r>
              <w:rPr>
                <w:rFonts w:ascii="Arial" w:hAnsi="Arial" w:cs="Arial"/>
                <w:color w:val="000000"/>
                <w:sz w:val="22"/>
                <w:szCs w:val="22"/>
              </w:rPr>
              <w:t>16 715 426 Ft</w:t>
            </w:r>
          </w:p>
        </w:tc>
      </w:tr>
      <w:tr w:rsidR="00AF4BAC" w14:paraId="49960890" w14:textId="77777777" w:rsidTr="00AF4BAC">
        <w:trPr>
          <w:trHeight w:val="615"/>
        </w:trPr>
        <w:tc>
          <w:tcPr>
            <w:tcW w:w="3760" w:type="dxa"/>
            <w:tcBorders>
              <w:top w:val="nil"/>
              <w:left w:val="single" w:sz="8" w:space="0" w:color="auto"/>
              <w:bottom w:val="nil"/>
              <w:right w:val="single" w:sz="4" w:space="0" w:color="auto"/>
            </w:tcBorders>
            <w:vAlign w:val="center"/>
            <w:hideMark/>
          </w:tcPr>
          <w:p w14:paraId="6E2EC3DC" w14:textId="77777777" w:rsidR="00AF4BAC" w:rsidRDefault="00AF4BAC">
            <w:pPr>
              <w:jc w:val="both"/>
              <w:rPr>
                <w:rFonts w:ascii="Arial" w:hAnsi="Arial" w:cs="Arial"/>
                <w:b/>
                <w:bCs/>
                <w:color w:val="000000"/>
                <w:sz w:val="22"/>
                <w:szCs w:val="22"/>
              </w:rPr>
            </w:pPr>
            <w:proofErr w:type="gramStart"/>
            <w:r>
              <w:rPr>
                <w:rFonts w:ascii="Arial" w:hAnsi="Arial" w:cs="Arial"/>
                <w:b/>
                <w:bCs/>
                <w:color w:val="000000"/>
                <w:sz w:val="22"/>
                <w:szCs w:val="22"/>
              </w:rPr>
              <w:t>Finanszírozás</w:t>
            </w:r>
            <w:proofErr w:type="gramEnd"/>
            <w:r>
              <w:rPr>
                <w:rFonts w:ascii="Arial" w:hAnsi="Arial" w:cs="Arial"/>
                <w:b/>
                <w:bCs/>
                <w:color w:val="000000"/>
                <w:sz w:val="22"/>
                <w:szCs w:val="22"/>
              </w:rPr>
              <w:t xml:space="preserve"> kiadások összesen:</w:t>
            </w:r>
          </w:p>
        </w:tc>
        <w:tc>
          <w:tcPr>
            <w:tcW w:w="2100" w:type="dxa"/>
            <w:tcBorders>
              <w:top w:val="nil"/>
              <w:left w:val="nil"/>
              <w:bottom w:val="nil"/>
              <w:right w:val="single" w:sz="4" w:space="0" w:color="auto"/>
            </w:tcBorders>
            <w:vAlign w:val="bottom"/>
            <w:hideMark/>
          </w:tcPr>
          <w:p w14:paraId="131CC024"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31 088 602 Ft</w:t>
            </w:r>
          </w:p>
        </w:tc>
        <w:tc>
          <w:tcPr>
            <w:tcW w:w="2020" w:type="dxa"/>
            <w:tcBorders>
              <w:top w:val="nil"/>
              <w:left w:val="nil"/>
              <w:bottom w:val="nil"/>
              <w:right w:val="single" w:sz="4" w:space="0" w:color="auto"/>
            </w:tcBorders>
            <w:noWrap/>
            <w:vAlign w:val="bottom"/>
            <w:hideMark/>
          </w:tcPr>
          <w:p w14:paraId="5103EA3C"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47 804 028 Ft</w:t>
            </w:r>
          </w:p>
        </w:tc>
        <w:tc>
          <w:tcPr>
            <w:tcW w:w="1900" w:type="dxa"/>
            <w:tcBorders>
              <w:top w:val="nil"/>
              <w:left w:val="nil"/>
              <w:bottom w:val="nil"/>
              <w:right w:val="single" w:sz="8" w:space="0" w:color="auto"/>
            </w:tcBorders>
            <w:noWrap/>
            <w:vAlign w:val="bottom"/>
            <w:hideMark/>
          </w:tcPr>
          <w:p w14:paraId="1E3DF2BD"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16 715 426 Ft</w:t>
            </w:r>
          </w:p>
        </w:tc>
      </w:tr>
      <w:tr w:rsidR="00AF4BAC" w14:paraId="66882CE8" w14:textId="77777777" w:rsidTr="00AF4BAC">
        <w:trPr>
          <w:trHeight w:val="315"/>
        </w:trPr>
        <w:tc>
          <w:tcPr>
            <w:tcW w:w="3760" w:type="dxa"/>
            <w:tcBorders>
              <w:top w:val="single" w:sz="8" w:space="0" w:color="auto"/>
              <w:left w:val="single" w:sz="8" w:space="0" w:color="auto"/>
              <w:bottom w:val="single" w:sz="8" w:space="0" w:color="auto"/>
              <w:right w:val="single" w:sz="4" w:space="0" w:color="auto"/>
            </w:tcBorders>
            <w:vAlign w:val="center"/>
            <w:hideMark/>
          </w:tcPr>
          <w:p w14:paraId="1BD3563B" w14:textId="77777777" w:rsidR="00AF4BAC" w:rsidRDefault="00AF4BAC">
            <w:pPr>
              <w:jc w:val="both"/>
              <w:rPr>
                <w:rFonts w:ascii="Arial" w:hAnsi="Arial" w:cs="Arial"/>
                <w:b/>
                <w:bCs/>
                <w:color w:val="000000"/>
                <w:sz w:val="22"/>
                <w:szCs w:val="22"/>
              </w:rPr>
            </w:pPr>
            <w:r>
              <w:rPr>
                <w:rFonts w:ascii="Arial" w:hAnsi="Arial" w:cs="Arial"/>
                <w:b/>
                <w:bCs/>
                <w:color w:val="000000"/>
                <w:sz w:val="22"/>
                <w:szCs w:val="22"/>
              </w:rPr>
              <w:t>KIADÁSOK ÖSSZESEN:</w:t>
            </w:r>
          </w:p>
        </w:tc>
        <w:tc>
          <w:tcPr>
            <w:tcW w:w="2100" w:type="dxa"/>
            <w:tcBorders>
              <w:top w:val="single" w:sz="8" w:space="0" w:color="auto"/>
              <w:left w:val="nil"/>
              <w:bottom w:val="single" w:sz="8" w:space="0" w:color="auto"/>
              <w:right w:val="single" w:sz="4" w:space="0" w:color="auto"/>
            </w:tcBorders>
            <w:vAlign w:val="bottom"/>
            <w:hideMark/>
          </w:tcPr>
          <w:p w14:paraId="159FC7B7"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2 774 766 303 Ft</w:t>
            </w:r>
          </w:p>
        </w:tc>
        <w:tc>
          <w:tcPr>
            <w:tcW w:w="2020" w:type="dxa"/>
            <w:tcBorders>
              <w:top w:val="single" w:sz="8" w:space="0" w:color="auto"/>
              <w:left w:val="nil"/>
              <w:bottom w:val="single" w:sz="8" w:space="0" w:color="auto"/>
              <w:right w:val="single" w:sz="4" w:space="0" w:color="auto"/>
            </w:tcBorders>
            <w:noWrap/>
            <w:vAlign w:val="bottom"/>
            <w:hideMark/>
          </w:tcPr>
          <w:p w14:paraId="2DBD6663"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3 127 894 216 Ft</w:t>
            </w:r>
          </w:p>
        </w:tc>
        <w:tc>
          <w:tcPr>
            <w:tcW w:w="1900" w:type="dxa"/>
            <w:tcBorders>
              <w:top w:val="single" w:sz="8" w:space="0" w:color="auto"/>
              <w:left w:val="nil"/>
              <w:bottom w:val="single" w:sz="8" w:space="0" w:color="auto"/>
              <w:right w:val="single" w:sz="8" w:space="0" w:color="auto"/>
            </w:tcBorders>
            <w:noWrap/>
            <w:vAlign w:val="bottom"/>
            <w:hideMark/>
          </w:tcPr>
          <w:p w14:paraId="560DB290" w14:textId="77777777" w:rsidR="00AF4BAC" w:rsidRDefault="00AF4BAC">
            <w:pPr>
              <w:jc w:val="right"/>
              <w:rPr>
                <w:rFonts w:ascii="Arial" w:hAnsi="Arial" w:cs="Arial"/>
                <w:b/>
                <w:bCs/>
                <w:color w:val="000000"/>
                <w:sz w:val="22"/>
                <w:szCs w:val="22"/>
              </w:rPr>
            </w:pPr>
            <w:r>
              <w:rPr>
                <w:rFonts w:ascii="Arial" w:hAnsi="Arial" w:cs="Arial"/>
                <w:b/>
                <w:bCs/>
                <w:color w:val="000000"/>
                <w:sz w:val="22"/>
                <w:szCs w:val="22"/>
              </w:rPr>
              <w:t>353 127 913 Ft</w:t>
            </w:r>
          </w:p>
        </w:tc>
      </w:tr>
    </w:tbl>
    <w:p w14:paraId="46B9351C" w14:textId="4A3746CB" w:rsidR="00EC5BD3" w:rsidRPr="00A82F71" w:rsidRDefault="00EC5BD3" w:rsidP="006325C2">
      <w:pPr>
        <w:jc w:val="both"/>
        <w:rPr>
          <w:rFonts w:ascii="Arial" w:hAnsi="Arial" w:cs="Arial"/>
          <w:sz w:val="22"/>
          <w:szCs w:val="22"/>
          <w:highlight w:val="yellow"/>
        </w:rPr>
      </w:pPr>
    </w:p>
    <w:p w14:paraId="3D6FFAE0" w14:textId="77777777" w:rsidR="00EC5BD3" w:rsidRPr="00A82F71" w:rsidRDefault="00EC5BD3" w:rsidP="006325C2">
      <w:pPr>
        <w:jc w:val="both"/>
        <w:rPr>
          <w:rFonts w:ascii="Arial" w:hAnsi="Arial" w:cs="Arial"/>
          <w:sz w:val="22"/>
          <w:szCs w:val="22"/>
          <w:highlight w:val="yellow"/>
        </w:rPr>
      </w:pPr>
    </w:p>
    <w:p w14:paraId="37153DBA" w14:textId="7A0A94EB" w:rsidR="006325C2" w:rsidRPr="00782463" w:rsidRDefault="00EC5BD3" w:rsidP="00E23390">
      <w:pPr>
        <w:spacing w:line="276" w:lineRule="auto"/>
        <w:jc w:val="both"/>
        <w:rPr>
          <w:rFonts w:ascii="Arial" w:hAnsi="Arial" w:cs="Arial"/>
          <w:sz w:val="22"/>
          <w:szCs w:val="22"/>
        </w:rPr>
      </w:pPr>
      <w:r w:rsidRPr="00782463">
        <w:rPr>
          <w:rFonts w:ascii="Arial" w:hAnsi="Arial" w:cs="Arial"/>
          <w:sz w:val="22"/>
          <w:szCs w:val="22"/>
        </w:rPr>
        <w:t xml:space="preserve">A </w:t>
      </w:r>
      <w:r w:rsidR="000943F3" w:rsidRPr="00782463">
        <w:rPr>
          <w:rFonts w:ascii="Arial" w:hAnsi="Arial" w:cs="Arial"/>
          <w:sz w:val="22"/>
          <w:szCs w:val="22"/>
        </w:rPr>
        <w:t>202</w:t>
      </w:r>
      <w:r w:rsidR="0068662C">
        <w:rPr>
          <w:rFonts w:ascii="Arial" w:hAnsi="Arial" w:cs="Arial"/>
          <w:sz w:val="22"/>
          <w:szCs w:val="22"/>
        </w:rPr>
        <w:t>6</w:t>
      </w:r>
      <w:r w:rsidR="006325C2" w:rsidRPr="00782463">
        <w:rPr>
          <w:rFonts w:ascii="Arial" w:hAnsi="Arial" w:cs="Arial"/>
          <w:sz w:val="22"/>
          <w:szCs w:val="22"/>
        </w:rPr>
        <w:t xml:space="preserve">. évi költségvetési kiadások tervezett előirányzata </w:t>
      </w:r>
      <w:r w:rsidR="0068662C">
        <w:rPr>
          <w:rFonts w:ascii="Arial" w:hAnsi="Arial" w:cs="Arial"/>
          <w:sz w:val="22"/>
          <w:szCs w:val="22"/>
        </w:rPr>
        <w:t>3</w:t>
      </w:r>
      <w:r w:rsidR="00434F0B">
        <w:rPr>
          <w:rFonts w:ascii="Arial" w:hAnsi="Arial" w:cs="Arial"/>
          <w:sz w:val="22"/>
          <w:szCs w:val="22"/>
        </w:rPr>
        <w:t> 080 090 188</w:t>
      </w:r>
      <w:r w:rsidR="006325C2" w:rsidRPr="00782463">
        <w:rPr>
          <w:rFonts w:ascii="Arial" w:hAnsi="Arial" w:cs="Arial"/>
          <w:sz w:val="22"/>
          <w:szCs w:val="22"/>
        </w:rPr>
        <w:t xml:space="preserve"> Ft</w:t>
      </w:r>
      <w:r w:rsidR="006325C2" w:rsidRPr="00782463">
        <w:rPr>
          <w:rFonts w:ascii="Arial" w:hAnsi="Arial" w:cs="Arial"/>
          <w:b/>
          <w:sz w:val="22"/>
          <w:szCs w:val="22"/>
        </w:rPr>
        <w:t>,</w:t>
      </w:r>
      <w:r w:rsidR="000943F3" w:rsidRPr="00782463">
        <w:rPr>
          <w:rFonts w:ascii="Arial" w:hAnsi="Arial" w:cs="Arial"/>
          <w:sz w:val="22"/>
          <w:szCs w:val="22"/>
        </w:rPr>
        <w:t xml:space="preserve"> a finanszírozási kiadások előirányzata </w:t>
      </w:r>
      <w:r w:rsidR="0068662C">
        <w:rPr>
          <w:rFonts w:ascii="Arial" w:hAnsi="Arial" w:cs="Arial"/>
          <w:sz w:val="22"/>
          <w:szCs w:val="22"/>
        </w:rPr>
        <w:t>47 804 028</w:t>
      </w:r>
      <w:r w:rsidR="000943F3" w:rsidRPr="00782463">
        <w:rPr>
          <w:rFonts w:ascii="Arial" w:hAnsi="Arial" w:cs="Arial"/>
          <w:sz w:val="22"/>
          <w:szCs w:val="22"/>
        </w:rPr>
        <w:t xml:space="preserve"> Ft</w:t>
      </w:r>
      <w:r w:rsidR="000943F3" w:rsidRPr="00782463">
        <w:rPr>
          <w:rFonts w:ascii="Arial" w:hAnsi="Arial" w:cs="Arial"/>
          <w:b/>
          <w:sz w:val="22"/>
          <w:szCs w:val="22"/>
        </w:rPr>
        <w:t>, a kiadási fő összeg</w:t>
      </w:r>
      <w:r w:rsidR="000943F3" w:rsidRPr="00782463">
        <w:rPr>
          <w:rFonts w:ascii="Arial" w:hAnsi="Arial" w:cs="Arial"/>
          <w:sz w:val="22"/>
          <w:szCs w:val="22"/>
        </w:rPr>
        <w:t xml:space="preserve"> </w:t>
      </w:r>
      <w:r w:rsidR="00434F0B">
        <w:rPr>
          <w:rFonts w:ascii="Arial" w:hAnsi="Arial" w:cs="Arial"/>
          <w:b/>
          <w:sz w:val="22"/>
          <w:szCs w:val="22"/>
        </w:rPr>
        <w:t>3 127 894 216</w:t>
      </w:r>
      <w:r w:rsidR="006325C2" w:rsidRPr="00782463">
        <w:rPr>
          <w:rFonts w:ascii="Arial" w:hAnsi="Arial" w:cs="Arial"/>
          <w:b/>
          <w:sz w:val="22"/>
          <w:szCs w:val="22"/>
        </w:rPr>
        <w:t xml:space="preserve"> Ft</w:t>
      </w:r>
      <w:r w:rsidR="00F035F4" w:rsidRPr="00782463">
        <w:rPr>
          <w:rFonts w:ascii="Arial" w:hAnsi="Arial" w:cs="Arial"/>
          <w:sz w:val="22"/>
          <w:szCs w:val="22"/>
        </w:rPr>
        <w:t xml:space="preserve">, </w:t>
      </w:r>
      <w:r w:rsidR="000D4BE9" w:rsidRPr="00782463">
        <w:rPr>
          <w:rFonts w:ascii="Arial" w:hAnsi="Arial" w:cs="Arial"/>
          <w:sz w:val="22"/>
          <w:szCs w:val="22"/>
        </w:rPr>
        <w:t xml:space="preserve">mely </w:t>
      </w:r>
      <w:r w:rsidR="00434F0B">
        <w:rPr>
          <w:rFonts w:ascii="Arial" w:hAnsi="Arial" w:cs="Arial"/>
          <w:sz w:val="22"/>
          <w:szCs w:val="22"/>
        </w:rPr>
        <w:t>12,7</w:t>
      </w:r>
      <w:r w:rsidR="001F0C1D" w:rsidRPr="00782463">
        <w:rPr>
          <w:rFonts w:ascii="Arial" w:hAnsi="Arial" w:cs="Arial"/>
          <w:sz w:val="22"/>
          <w:szCs w:val="22"/>
        </w:rPr>
        <w:t xml:space="preserve"> %-</w:t>
      </w:r>
      <w:proofErr w:type="spellStart"/>
      <w:r w:rsidR="001F0C1D" w:rsidRPr="00782463">
        <w:rPr>
          <w:rFonts w:ascii="Arial" w:hAnsi="Arial" w:cs="Arial"/>
          <w:sz w:val="22"/>
          <w:szCs w:val="22"/>
        </w:rPr>
        <w:t>kal</w:t>
      </w:r>
      <w:proofErr w:type="spellEnd"/>
      <w:r w:rsidR="001F0C1D" w:rsidRPr="00782463">
        <w:rPr>
          <w:rFonts w:ascii="Arial" w:hAnsi="Arial" w:cs="Arial"/>
          <w:sz w:val="22"/>
          <w:szCs w:val="22"/>
        </w:rPr>
        <w:t xml:space="preserve"> magasabb az előző </w:t>
      </w:r>
      <w:proofErr w:type="gramStart"/>
      <w:r w:rsidR="001F0C1D" w:rsidRPr="00782463">
        <w:rPr>
          <w:rFonts w:ascii="Arial" w:hAnsi="Arial" w:cs="Arial"/>
          <w:sz w:val="22"/>
          <w:szCs w:val="22"/>
        </w:rPr>
        <w:t>évinél</w:t>
      </w:r>
      <w:proofErr w:type="gramEnd"/>
      <w:r w:rsidR="00434F0B">
        <w:rPr>
          <w:rFonts w:ascii="Arial" w:hAnsi="Arial" w:cs="Arial"/>
          <w:sz w:val="22"/>
          <w:szCs w:val="22"/>
        </w:rPr>
        <w:t xml:space="preserve"> eredeti előirányzatnál</w:t>
      </w:r>
      <w:r w:rsidR="001F0C1D" w:rsidRPr="00782463">
        <w:rPr>
          <w:rFonts w:ascii="Arial" w:hAnsi="Arial" w:cs="Arial"/>
          <w:sz w:val="22"/>
          <w:szCs w:val="22"/>
        </w:rPr>
        <w:t>.</w:t>
      </w:r>
    </w:p>
    <w:p w14:paraId="02B47BC3" w14:textId="77777777" w:rsidR="00DF1AA2" w:rsidRPr="00A82F71" w:rsidRDefault="00DF1AA2" w:rsidP="00E23390">
      <w:pPr>
        <w:spacing w:line="276" w:lineRule="auto"/>
        <w:jc w:val="both"/>
        <w:rPr>
          <w:rFonts w:ascii="Arial" w:hAnsi="Arial" w:cs="Arial"/>
          <w:sz w:val="22"/>
          <w:szCs w:val="22"/>
          <w:highlight w:val="yellow"/>
        </w:rPr>
      </w:pPr>
    </w:p>
    <w:p w14:paraId="44EDCCC1" w14:textId="17B731C1" w:rsidR="006325C2" w:rsidRPr="00782463" w:rsidRDefault="00993222" w:rsidP="00E23390">
      <w:pPr>
        <w:spacing w:line="276" w:lineRule="auto"/>
        <w:jc w:val="both"/>
        <w:rPr>
          <w:rFonts w:ascii="Arial" w:hAnsi="Arial" w:cs="Arial"/>
          <w:sz w:val="22"/>
          <w:szCs w:val="22"/>
        </w:rPr>
      </w:pPr>
      <w:r>
        <w:rPr>
          <w:rFonts w:ascii="Arial" w:hAnsi="Arial" w:cs="Arial"/>
          <w:sz w:val="22"/>
          <w:szCs w:val="22"/>
        </w:rPr>
        <w:t xml:space="preserve">A feladatellátási </w:t>
      </w:r>
      <w:proofErr w:type="gramStart"/>
      <w:r>
        <w:rPr>
          <w:rFonts w:ascii="Arial" w:hAnsi="Arial" w:cs="Arial"/>
          <w:sz w:val="22"/>
          <w:szCs w:val="22"/>
        </w:rPr>
        <w:t>struktúra</w:t>
      </w:r>
      <w:proofErr w:type="gramEnd"/>
      <w:r w:rsidR="00DF1AA2" w:rsidRPr="00782463">
        <w:rPr>
          <w:rFonts w:ascii="Arial" w:hAnsi="Arial" w:cs="Arial"/>
          <w:sz w:val="22"/>
          <w:szCs w:val="22"/>
        </w:rPr>
        <w:t xml:space="preserve"> </w:t>
      </w:r>
      <w:r w:rsidR="00313326" w:rsidRPr="00782463">
        <w:rPr>
          <w:rFonts w:ascii="Arial" w:hAnsi="Arial" w:cs="Arial"/>
          <w:sz w:val="22"/>
          <w:szCs w:val="22"/>
        </w:rPr>
        <w:t>a 202</w:t>
      </w:r>
      <w:r>
        <w:rPr>
          <w:rFonts w:ascii="Arial" w:hAnsi="Arial" w:cs="Arial"/>
          <w:sz w:val="22"/>
          <w:szCs w:val="22"/>
        </w:rPr>
        <w:t>5</w:t>
      </w:r>
      <w:r w:rsidR="00313326" w:rsidRPr="00782463">
        <w:rPr>
          <w:rFonts w:ascii="Arial" w:hAnsi="Arial" w:cs="Arial"/>
          <w:sz w:val="22"/>
          <w:szCs w:val="22"/>
        </w:rPr>
        <w:t>. évhez képest n</w:t>
      </w:r>
      <w:r>
        <w:rPr>
          <w:rFonts w:ascii="Arial" w:hAnsi="Arial" w:cs="Arial"/>
          <w:sz w:val="22"/>
          <w:szCs w:val="22"/>
        </w:rPr>
        <w:t xml:space="preserve">em változik. </w:t>
      </w:r>
      <w:r w:rsidR="00DF1AA2" w:rsidRPr="00782463">
        <w:rPr>
          <w:rFonts w:ascii="Arial" w:hAnsi="Arial" w:cs="Arial"/>
          <w:sz w:val="22"/>
          <w:szCs w:val="22"/>
        </w:rPr>
        <w:t>Bátaszék Város Önkormányzata 100 %-</w:t>
      </w:r>
      <w:proofErr w:type="spellStart"/>
      <w:r w:rsidR="00DF1AA2" w:rsidRPr="00782463">
        <w:rPr>
          <w:rFonts w:ascii="Arial" w:hAnsi="Arial" w:cs="Arial"/>
          <w:sz w:val="22"/>
          <w:szCs w:val="22"/>
        </w:rPr>
        <w:t>os</w:t>
      </w:r>
      <w:proofErr w:type="spellEnd"/>
      <w:r w:rsidR="00DF1AA2" w:rsidRPr="00782463">
        <w:rPr>
          <w:rFonts w:ascii="Arial" w:hAnsi="Arial" w:cs="Arial"/>
          <w:sz w:val="22"/>
          <w:szCs w:val="22"/>
        </w:rPr>
        <w:t xml:space="preserve"> tulajdonosként továbbra is két Kft.-t működtet, továbbá két társulásban vesz részt gesztorként, társulásonként egy-egy intézmény fenntartásában érintett. (MOB és Gondozási Központ). Emellett szakmailag önálló intézményként működteti a Keresztély Gyula Városi Könyvtárat, a KÖH fenntartásában pedig a társult önkormányzatokkal működik együtt. </w:t>
      </w:r>
    </w:p>
    <w:p w14:paraId="30A87A67" w14:textId="77777777" w:rsidR="00C70E20" w:rsidRPr="00A82F71" w:rsidRDefault="00C70E20" w:rsidP="00E23390">
      <w:pPr>
        <w:spacing w:line="276" w:lineRule="auto"/>
        <w:jc w:val="both"/>
        <w:rPr>
          <w:rFonts w:ascii="Arial" w:hAnsi="Arial" w:cs="Arial"/>
          <w:sz w:val="22"/>
          <w:szCs w:val="22"/>
          <w:highlight w:val="yellow"/>
        </w:rPr>
      </w:pPr>
    </w:p>
    <w:p w14:paraId="71D4ED30" w14:textId="2B5C0541" w:rsidR="006325C2" w:rsidRPr="00782463" w:rsidRDefault="00EC5BD3" w:rsidP="00E23390">
      <w:pPr>
        <w:spacing w:line="276" w:lineRule="auto"/>
        <w:jc w:val="both"/>
        <w:rPr>
          <w:rFonts w:ascii="Arial" w:hAnsi="Arial" w:cs="Arial"/>
          <w:i/>
          <w:sz w:val="22"/>
          <w:szCs w:val="22"/>
        </w:rPr>
      </w:pPr>
      <w:r w:rsidRPr="00782463">
        <w:rPr>
          <w:rFonts w:ascii="Arial" w:hAnsi="Arial" w:cs="Arial"/>
          <w:sz w:val="22"/>
          <w:szCs w:val="22"/>
        </w:rPr>
        <w:t>A</w:t>
      </w:r>
      <w:r w:rsidR="006325C2" w:rsidRPr="00782463">
        <w:rPr>
          <w:rFonts w:ascii="Arial" w:hAnsi="Arial" w:cs="Arial"/>
          <w:sz w:val="22"/>
          <w:szCs w:val="22"/>
        </w:rPr>
        <w:t xml:space="preserve"> költségvetés</w:t>
      </w:r>
      <w:r w:rsidRPr="00782463">
        <w:rPr>
          <w:rFonts w:ascii="Arial" w:hAnsi="Arial" w:cs="Arial"/>
          <w:sz w:val="22"/>
          <w:szCs w:val="22"/>
        </w:rPr>
        <w:t xml:space="preserve">i kiadások </w:t>
      </w:r>
      <w:proofErr w:type="gramStart"/>
      <w:r w:rsidRPr="00782463">
        <w:rPr>
          <w:rFonts w:ascii="Arial" w:hAnsi="Arial" w:cs="Arial"/>
          <w:sz w:val="22"/>
          <w:szCs w:val="22"/>
        </w:rPr>
        <w:t>konszolidált</w:t>
      </w:r>
      <w:proofErr w:type="gramEnd"/>
      <w:r w:rsidRPr="00782463">
        <w:rPr>
          <w:rFonts w:ascii="Arial" w:hAnsi="Arial" w:cs="Arial"/>
          <w:sz w:val="22"/>
          <w:szCs w:val="22"/>
        </w:rPr>
        <w:t xml:space="preserve"> összegei tartalmazzák </w:t>
      </w:r>
      <w:r w:rsidR="006325C2" w:rsidRPr="00782463">
        <w:rPr>
          <w:rFonts w:ascii="Arial" w:hAnsi="Arial" w:cs="Arial"/>
          <w:sz w:val="22"/>
          <w:szCs w:val="22"/>
        </w:rPr>
        <w:t xml:space="preserve">Bátaszék Város Önkormányzata, a Közös Önkormányzati Hivatal, valamint a Keresztély Gyula Könyvtár </w:t>
      </w:r>
      <w:r w:rsidR="00C55948" w:rsidRPr="00782463">
        <w:rPr>
          <w:rFonts w:ascii="Arial" w:hAnsi="Arial" w:cs="Arial"/>
          <w:sz w:val="22"/>
          <w:szCs w:val="22"/>
        </w:rPr>
        <w:t>kiadásait is</w:t>
      </w:r>
      <w:r w:rsidR="00DF1AA2" w:rsidRPr="00782463">
        <w:rPr>
          <w:rFonts w:ascii="Arial" w:hAnsi="Arial" w:cs="Arial"/>
          <w:sz w:val="22"/>
          <w:szCs w:val="22"/>
        </w:rPr>
        <w:t xml:space="preserve">, illetve a Társulások, valamint a Kft.-k útján ellátott feladatokkal összefüggő, az érintett szervezetekhez fűződő költségvetési kapcsolatainak pénzügyi vonzatait. </w:t>
      </w:r>
    </w:p>
    <w:p w14:paraId="109C4BEB" w14:textId="77777777" w:rsidR="006325C2" w:rsidRPr="00782463" w:rsidRDefault="006325C2" w:rsidP="00E23390">
      <w:pPr>
        <w:spacing w:line="276" w:lineRule="auto"/>
        <w:jc w:val="both"/>
        <w:rPr>
          <w:rFonts w:ascii="Arial" w:hAnsi="Arial" w:cs="Arial"/>
          <w:sz w:val="22"/>
          <w:szCs w:val="22"/>
          <w:u w:val="single"/>
        </w:rPr>
      </w:pPr>
    </w:p>
    <w:p w14:paraId="5719250D" w14:textId="068691ED" w:rsidR="006325C2" w:rsidRPr="00EF346D" w:rsidRDefault="000943F3" w:rsidP="00E23390">
      <w:pPr>
        <w:spacing w:line="276" w:lineRule="auto"/>
        <w:jc w:val="both"/>
        <w:rPr>
          <w:rFonts w:ascii="Arial" w:hAnsi="Arial" w:cs="Arial"/>
          <w:bCs/>
          <w:sz w:val="22"/>
          <w:szCs w:val="22"/>
        </w:rPr>
      </w:pPr>
      <w:r w:rsidRPr="00EF346D">
        <w:rPr>
          <w:rFonts w:ascii="Arial" w:hAnsi="Arial" w:cs="Arial"/>
          <w:b/>
          <w:sz w:val="22"/>
          <w:szCs w:val="22"/>
          <w:u w:val="single"/>
        </w:rPr>
        <w:t xml:space="preserve">A személyi juttatások </w:t>
      </w:r>
      <w:r w:rsidRPr="00434F0B">
        <w:rPr>
          <w:rFonts w:ascii="Arial" w:hAnsi="Arial" w:cs="Arial"/>
          <w:b/>
          <w:sz w:val="22"/>
          <w:szCs w:val="22"/>
          <w:u w:val="single"/>
        </w:rPr>
        <w:t>előirányzata</w:t>
      </w:r>
      <w:r w:rsidR="00EF346D" w:rsidRPr="00434F0B">
        <w:rPr>
          <w:rFonts w:ascii="Arial" w:hAnsi="Arial" w:cs="Arial"/>
          <w:bCs/>
          <w:sz w:val="22"/>
          <w:szCs w:val="22"/>
          <w:u w:val="single"/>
        </w:rPr>
        <w:t xml:space="preserve"> </w:t>
      </w:r>
      <w:r w:rsidR="00B65559" w:rsidRPr="00434F0B">
        <w:rPr>
          <w:rFonts w:ascii="Arial" w:hAnsi="Arial" w:cs="Arial"/>
          <w:bCs/>
          <w:sz w:val="22"/>
          <w:szCs w:val="22"/>
        </w:rPr>
        <w:t>395 055 704 Ft</w:t>
      </w:r>
      <w:r w:rsidR="004776E2" w:rsidRPr="00434F0B">
        <w:rPr>
          <w:rFonts w:ascii="Arial" w:hAnsi="Arial" w:cs="Arial"/>
          <w:bCs/>
          <w:sz w:val="22"/>
          <w:szCs w:val="22"/>
        </w:rPr>
        <w:t xml:space="preserve"> az előző évre </w:t>
      </w:r>
      <w:r w:rsidR="00B65559" w:rsidRPr="00434F0B">
        <w:rPr>
          <w:rFonts w:ascii="Arial" w:hAnsi="Arial" w:cs="Arial"/>
          <w:bCs/>
          <w:sz w:val="22"/>
          <w:szCs w:val="22"/>
        </w:rPr>
        <w:t xml:space="preserve">eredetileg </w:t>
      </w:r>
      <w:r w:rsidR="004776E2" w:rsidRPr="00434F0B">
        <w:rPr>
          <w:rFonts w:ascii="Arial" w:hAnsi="Arial" w:cs="Arial"/>
          <w:bCs/>
          <w:sz w:val="22"/>
          <w:szCs w:val="22"/>
        </w:rPr>
        <w:t xml:space="preserve">tervezett </w:t>
      </w:r>
      <w:r w:rsidR="00003B13">
        <w:rPr>
          <w:rFonts w:ascii="Arial" w:hAnsi="Arial" w:cs="Arial"/>
          <w:bCs/>
          <w:sz w:val="22"/>
          <w:szCs w:val="22"/>
        </w:rPr>
        <w:t xml:space="preserve">          </w:t>
      </w:r>
      <w:r w:rsidR="00B65559" w:rsidRPr="00434F0B">
        <w:rPr>
          <w:rFonts w:ascii="Arial" w:hAnsi="Arial" w:cs="Arial"/>
          <w:bCs/>
          <w:sz w:val="22"/>
          <w:szCs w:val="22"/>
        </w:rPr>
        <w:t xml:space="preserve">322 781 831 </w:t>
      </w:r>
      <w:r w:rsidR="00C45C6A" w:rsidRPr="00434F0B">
        <w:rPr>
          <w:rFonts w:ascii="Arial" w:hAnsi="Arial" w:cs="Arial"/>
          <w:bCs/>
          <w:sz w:val="22"/>
          <w:szCs w:val="22"/>
        </w:rPr>
        <w:t>Ft</w:t>
      </w:r>
      <w:r w:rsidR="004776E2" w:rsidRPr="00434F0B">
        <w:rPr>
          <w:rFonts w:ascii="Arial" w:hAnsi="Arial" w:cs="Arial"/>
          <w:bCs/>
          <w:sz w:val="22"/>
          <w:szCs w:val="22"/>
        </w:rPr>
        <w:t>-tal szemben</w:t>
      </w:r>
      <w:r w:rsidR="00EF346D" w:rsidRPr="00434F0B">
        <w:rPr>
          <w:rFonts w:ascii="Arial" w:hAnsi="Arial" w:cs="Arial"/>
          <w:bCs/>
          <w:sz w:val="22"/>
          <w:szCs w:val="22"/>
        </w:rPr>
        <w:t xml:space="preserve">, a változás mértéke </w:t>
      </w:r>
      <w:r w:rsidR="00B65559" w:rsidRPr="00434F0B">
        <w:rPr>
          <w:rFonts w:ascii="Arial" w:hAnsi="Arial" w:cs="Arial"/>
          <w:bCs/>
          <w:sz w:val="22"/>
          <w:szCs w:val="22"/>
        </w:rPr>
        <w:t>22,4</w:t>
      </w:r>
      <w:r w:rsidR="00EF346D" w:rsidRPr="00434F0B">
        <w:rPr>
          <w:rFonts w:ascii="Arial" w:hAnsi="Arial" w:cs="Arial"/>
          <w:bCs/>
          <w:sz w:val="22"/>
          <w:szCs w:val="22"/>
        </w:rPr>
        <w:t xml:space="preserve"> %.</w:t>
      </w:r>
      <w:r w:rsidR="00C04312" w:rsidRPr="00434F0B">
        <w:rPr>
          <w:rFonts w:ascii="Arial" w:hAnsi="Arial" w:cs="Arial"/>
          <w:bCs/>
          <w:sz w:val="22"/>
          <w:szCs w:val="22"/>
        </w:rPr>
        <w:t xml:space="preserve"> A </w:t>
      </w:r>
      <w:r w:rsidR="00B65559" w:rsidRPr="00434F0B">
        <w:rPr>
          <w:rFonts w:ascii="Arial" w:hAnsi="Arial" w:cs="Arial"/>
          <w:bCs/>
          <w:sz w:val="22"/>
          <w:szCs w:val="22"/>
        </w:rPr>
        <w:t xml:space="preserve">növekedés tartalmazza a köztisztviselők központi költségvetés által támogatott illetményemelésének összegét, a </w:t>
      </w:r>
      <w:proofErr w:type="gramStart"/>
      <w:r w:rsidR="00B65559" w:rsidRPr="00434F0B">
        <w:rPr>
          <w:rFonts w:ascii="Arial" w:hAnsi="Arial" w:cs="Arial"/>
          <w:bCs/>
          <w:sz w:val="22"/>
          <w:szCs w:val="22"/>
        </w:rPr>
        <w:t>garantált</w:t>
      </w:r>
      <w:proofErr w:type="gramEnd"/>
      <w:r w:rsidR="00B65559" w:rsidRPr="00434F0B">
        <w:rPr>
          <w:rFonts w:ascii="Arial" w:hAnsi="Arial" w:cs="Arial"/>
          <w:bCs/>
          <w:sz w:val="22"/>
          <w:szCs w:val="22"/>
        </w:rPr>
        <w:t xml:space="preserve"> </w:t>
      </w:r>
      <w:proofErr w:type="spellStart"/>
      <w:r w:rsidR="00B65559" w:rsidRPr="00434F0B">
        <w:rPr>
          <w:rFonts w:ascii="Arial" w:hAnsi="Arial" w:cs="Arial"/>
          <w:bCs/>
          <w:sz w:val="22"/>
          <w:szCs w:val="22"/>
        </w:rPr>
        <w:t>bérminimium</w:t>
      </w:r>
      <w:proofErr w:type="spellEnd"/>
      <w:r w:rsidR="00B65559" w:rsidRPr="00434F0B">
        <w:rPr>
          <w:rFonts w:ascii="Arial" w:hAnsi="Arial" w:cs="Arial"/>
          <w:bCs/>
          <w:sz w:val="22"/>
          <w:szCs w:val="22"/>
        </w:rPr>
        <w:t xml:space="preserve"> változásának összegét, a kulturális ágazat</w:t>
      </w:r>
      <w:r w:rsidR="00B65559">
        <w:rPr>
          <w:rFonts w:ascii="Arial" w:hAnsi="Arial" w:cs="Arial"/>
          <w:bCs/>
          <w:sz w:val="22"/>
          <w:szCs w:val="22"/>
        </w:rPr>
        <w:t xml:space="preserve"> 15 %-</w:t>
      </w:r>
      <w:proofErr w:type="spellStart"/>
      <w:r w:rsidR="00B65559">
        <w:rPr>
          <w:rFonts w:ascii="Arial" w:hAnsi="Arial" w:cs="Arial"/>
          <w:bCs/>
          <w:sz w:val="22"/>
          <w:szCs w:val="22"/>
        </w:rPr>
        <w:t>os</w:t>
      </w:r>
      <w:proofErr w:type="spellEnd"/>
      <w:r w:rsidR="00B65559">
        <w:rPr>
          <w:rFonts w:ascii="Arial" w:hAnsi="Arial" w:cs="Arial"/>
          <w:bCs/>
          <w:sz w:val="22"/>
          <w:szCs w:val="22"/>
        </w:rPr>
        <w:t xml:space="preserve"> béremelését</w:t>
      </w:r>
      <w:r w:rsidR="00C04312">
        <w:rPr>
          <w:rFonts w:ascii="Arial" w:hAnsi="Arial" w:cs="Arial"/>
          <w:bCs/>
          <w:sz w:val="22"/>
          <w:szCs w:val="22"/>
        </w:rPr>
        <w:t xml:space="preserve">, a </w:t>
      </w:r>
      <w:proofErr w:type="spellStart"/>
      <w:r w:rsidR="00C04312">
        <w:rPr>
          <w:rFonts w:ascii="Arial" w:hAnsi="Arial" w:cs="Arial"/>
          <w:bCs/>
          <w:sz w:val="22"/>
          <w:szCs w:val="22"/>
        </w:rPr>
        <w:t>cafetéria</w:t>
      </w:r>
      <w:proofErr w:type="spellEnd"/>
      <w:r w:rsidR="00C04312">
        <w:rPr>
          <w:rFonts w:ascii="Arial" w:hAnsi="Arial" w:cs="Arial"/>
          <w:bCs/>
          <w:sz w:val="22"/>
          <w:szCs w:val="22"/>
        </w:rPr>
        <w:t xml:space="preserve"> juttatás </w:t>
      </w:r>
      <w:r w:rsidR="00B65559">
        <w:rPr>
          <w:rFonts w:ascii="Arial" w:hAnsi="Arial" w:cs="Arial"/>
          <w:bCs/>
          <w:sz w:val="22"/>
          <w:szCs w:val="22"/>
        </w:rPr>
        <w:t>2026. évi szinten tartásának összegét.</w:t>
      </w:r>
    </w:p>
    <w:p w14:paraId="30C82440" w14:textId="3DDC1511" w:rsidR="006325C2" w:rsidRPr="00EF346D" w:rsidRDefault="006325C2" w:rsidP="00E23390">
      <w:pPr>
        <w:spacing w:line="276" w:lineRule="auto"/>
        <w:jc w:val="both"/>
        <w:rPr>
          <w:rFonts w:ascii="Arial" w:hAnsi="Arial" w:cs="Arial"/>
          <w:sz w:val="22"/>
          <w:szCs w:val="22"/>
        </w:rPr>
      </w:pPr>
      <w:r w:rsidRPr="00EF346D">
        <w:rPr>
          <w:rFonts w:ascii="Arial" w:hAnsi="Arial" w:cs="Arial"/>
          <w:sz w:val="22"/>
          <w:szCs w:val="22"/>
        </w:rPr>
        <w:t xml:space="preserve">A személyi juttatások keretében terveztük meg a rendszeres (munkabérek) és nem rendszeres egyéb kifizetéseket (közlekedési költségtérítés, </w:t>
      </w:r>
      <w:proofErr w:type="spellStart"/>
      <w:r w:rsidRPr="00EF346D">
        <w:rPr>
          <w:rFonts w:ascii="Arial" w:hAnsi="Arial" w:cs="Arial"/>
          <w:sz w:val="22"/>
          <w:szCs w:val="22"/>
        </w:rPr>
        <w:t>cafetéria</w:t>
      </w:r>
      <w:proofErr w:type="spellEnd"/>
      <w:r w:rsidRPr="00EF346D">
        <w:rPr>
          <w:rFonts w:ascii="Arial" w:hAnsi="Arial" w:cs="Arial"/>
          <w:sz w:val="22"/>
          <w:szCs w:val="22"/>
        </w:rPr>
        <w:t xml:space="preserve">, bankszámlavezetési díj, </w:t>
      </w:r>
      <w:proofErr w:type="gramStart"/>
      <w:r w:rsidRPr="00EF346D">
        <w:rPr>
          <w:rFonts w:ascii="Arial" w:hAnsi="Arial" w:cs="Arial"/>
          <w:sz w:val="22"/>
          <w:szCs w:val="22"/>
        </w:rPr>
        <w:t>jubileumi</w:t>
      </w:r>
      <w:proofErr w:type="gramEnd"/>
      <w:r w:rsidRPr="00EF346D">
        <w:rPr>
          <w:rFonts w:ascii="Arial" w:hAnsi="Arial" w:cs="Arial"/>
          <w:sz w:val="22"/>
          <w:szCs w:val="22"/>
        </w:rPr>
        <w:t xml:space="preserve"> jutalom,</w:t>
      </w:r>
      <w:r w:rsidR="00C55948" w:rsidRPr="00EF346D">
        <w:rPr>
          <w:rFonts w:ascii="Arial" w:hAnsi="Arial" w:cs="Arial"/>
          <w:sz w:val="22"/>
          <w:szCs w:val="22"/>
        </w:rPr>
        <w:t xml:space="preserve"> megbízási díjak).  </w:t>
      </w:r>
    </w:p>
    <w:p w14:paraId="092387F1" w14:textId="77777777" w:rsidR="006325C2" w:rsidRPr="00A82F71" w:rsidRDefault="006325C2" w:rsidP="00E23390">
      <w:pPr>
        <w:spacing w:line="276" w:lineRule="auto"/>
        <w:jc w:val="both"/>
        <w:rPr>
          <w:rFonts w:ascii="Arial" w:hAnsi="Arial" w:cs="Arial"/>
          <w:sz w:val="22"/>
          <w:szCs w:val="22"/>
          <w:highlight w:val="yellow"/>
        </w:rPr>
      </w:pPr>
    </w:p>
    <w:p w14:paraId="3322D01D" w14:textId="5E927DE2" w:rsidR="006325C2" w:rsidRDefault="006325C2" w:rsidP="00E23390">
      <w:pPr>
        <w:spacing w:line="276" w:lineRule="auto"/>
        <w:jc w:val="both"/>
        <w:rPr>
          <w:rFonts w:ascii="Arial" w:hAnsi="Arial" w:cs="Arial"/>
          <w:sz w:val="22"/>
          <w:szCs w:val="22"/>
        </w:rPr>
      </w:pPr>
      <w:r w:rsidRPr="00DD48CC">
        <w:rPr>
          <w:rFonts w:ascii="Arial" w:hAnsi="Arial" w:cs="Arial"/>
          <w:bCs/>
          <w:sz w:val="22"/>
          <w:szCs w:val="22"/>
          <w:u w:val="single"/>
        </w:rPr>
        <w:t>Bátaszék Város Önkormányzatának</w:t>
      </w:r>
      <w:r w:rsidRPr="00EF346D">
        <w:rPr>
          <w:rFonts w:ascii="Arial" w:hAnsi="Arial" w:cs="Arial"/>
          <w:sz w:val="22"/>
          <w:szCs w:val="22"/>
        </w:rPr>
        <w:t xml:space="preserve"> létszáma </w:t>
      </w:r>
      <w:r w:rsidR="00B65559">
        <w:rPr>
          <w:rFonts w:ascii="Arial" w:hAnsi="Arial" w:cs="Arial"/>
          <w:sz w:val="22"/>
          <w:szCs w:val="22"/>
        </w:rPr>
        <w:t>1</w:t>
      </w:r>
      <w:r w:rsidRPr="00EF346D">
        <w:rPr>
          <w:rFonts w:ascii="Arial" w:hAnsi="Arial" w:cs="Arial"/>
          <w:sz w:val="22"/>
          <w:szCs w:val="22"/>
        </w:rPr>
        <w:t xml:space="preserve"> fő</w:t>
      </w:r>
      <w:r w:rsidR="00B65559">
        <w:rPr>
          <w:rFonts w:ascii="Arial" w:hAnsi="Arial" w:cs="Arial"/>
          <w:sz w:val="22"/>
          <w:szCs w:val="22"/>
        </w:rPr>
        <w:t xml:space="preserve"> munkatörvénykönyv hatálya alá tartozó, 9 fő választott tisztségviselő, és 6 fő közfoglalkoztatottal tervezünk.</w:t>
      </w:r>
      <w:r w:rsidRPr="00EF346D">
        <w:rPr>
          <w:rFonts w:ascii="Arial" w:hAnsi="Arial" w:cs="Arial"/>
          <w:sz w:val="22"/>
          <w:szCs w:val="22"/>
        </w:rPr>
        <w:t xml:space="preserve"> </w:t>
      </w:r>
      <w:r w:rsidR="00434F0B">
        <w:rPr>
          <w:rFonts w:ascii="Arial" w:hAnsi="Arial" w:cs="Arial"/>
          <w:sz w:val="22"/>
          <w:szCs w:val="22"/>
        </w:rPr>
        <w:t>A személyi juttatások tervezett összege 59 096 458 Ft. Az összeg tartalmazza a bérjellegű kifizetéseket, a választott tisztségviselők juttatás</w:t>
      </w:r>
      <w:r w:rsidR="00E23390">
        <w:rPr>
          <w:rFonts w:ascii="Arial" w:hAnsi="Arial" w:cs="Arial"/>
          <w:sz w:val="22"/>
          <w:szCs w:val="22"/>
        </w:rPr>
        <w:t>á</w:t>
      </w:r>
      <w:r w:rsidR="00434F0B">
        <w:rPr>
          <w:rFonts w:ascii="Arial" w:hAnsi="Arial" w:cs="Arial"/>
          <w:sz w:val="22"/>
          <w:szCs w:val="22"/>
        </w:rPr>
        <w:t xml:space="preserve">t, </w:t>
      </w:r>
      <w:proofErr w:type="spellStart"/>
      <w:r w:rsidR="00434F0B">
        <w:rPr>
          <w:rFonts w:ascii="Arial" w:hAnsi="Arial" w:cs="Arial"/>
          <w:sz w:val="22"/>
          <w:szCs w:val="22"/>
        </w:rPr>
        <w:t>cafeteria</w:t>
      </w:r>
      <w:proofErr w:type="spellEnd"/>
      <w:r w:rsidR="00434F0B">
        <w:rPr>
          <w:rFonts w:ascii="Arial" w:hAnsi="Arial" w:cs="Arial"/>
          <w:sz w:val="22"/>
          <w:szCs w:val="22"/>
        </w:rPr>
        <w:t xml:space="preserve"> összegét (polgármester),</w:t>
      </w:r>
      <w:r w:rsidR="00E23390">
        <w:rPr>
          <w:rFonts w:ascii="Arial" w:hAnsi="Arial" w:cs="Arial"/>
          <w:sz w:val="22"/>
          <w:szCs w:val="22"/>
        </w:rPr>
        <w:t xml:space="preserve"> </w:t>
      </w:r>
      <w:r w:rsidR="00434F0B">
        <w:rPr>
          <w:rFonts w:ascii="Arial" w:hAnsi="Arial" w:cs="Arial"/>
          <w:sz w:val="22"/>
          <w:szCs w:val="22"/>
        </w:rPr>
        <w:t>a reprezentáció</w:t>
      </w:r>
      <w:r w:rsidR="00E23390">
        <w:rPr>
          <w:rFonts w:ascii="Arial" w:hAnsi="Arial" w:cs="Arial"/>
          <w:sz w:val="22"/>
          <w:szCs w:val="22"/>
        </w:rPr>
        <w:t xml:space="preserve"> várható költségeit.</w:t>
      </w:r>
    </w:p>
    <w:p w14:paraId="7315AD3B" w14:textId="712E3359" w:rsidR="000766C9" w:rsidRDefault="00200C1F" w:rsidP="00E23390">
      <w:pPr>
        <w:spacing w:line="276" w:lineRule="auto"/>
        <w:jc w:val="both"/>
        <w:rPr>
          <w:rFonts w:ascii="Arial" w:hAnsi="Arial" w:cs="Arial"/>
          <w:sz w:val="22"/>
          <w:szCs w:val="22"/>
        </w:rPr>
      </w:pPr>
      <w:r w:rsidRPr="000766C9">
        <w:rPr>
          <w:rFonts w:ascii="Arial" w:hAnsi="Arial" w:cs="Arial"/>
          <w:sz w:val="22"/>
          <w:szCs w:val="22"/>
        </w:rPr>
        <w:t>A képviselő</w:t>
      </w:r>
      <w:r w:rsidR="00B65559">
        <w:rPr>
          <w:rFonts w:ascii="Arial" w:hAnsi="Arial" w:cs="Arial"/>
          <w:sz w:val="22"/>
          <w:szCs w:val="22"/>
        </w:rPr>
        <w:t>i tiszteletdíjak 2026</w:t>
      </w:r>
      <w:r w:rsidRPr="000766C9">
        <w:rPr>
          <w:rFonts w:ascii="Arial" w:hAnsi="Arial" w:cs="Arial"/>
          <w:sz w:val="22"/>
          <w:szCs w:val="22"/>
        </w:rPr>
        <w:t xml:space="preserve">. évi előirányzat összege </w:t>
      </w:r>
      <w:r w:rsidR="000766C9" w:rsidRPr="000766C9">
        <w:rPr>
          <w:rFonts w:ascii="Arial" w:hAnsi="Arial" w:cs="Arial"/>
          <w:sz w:val="22"/>
          <w:szCs w:val="22"/>
        </w:rPr>
        <w:t xml:space="preserve">éves szinten </w:t>
      </w:r>
      <w:r w:rsidR="00B154AD">
        <w:rPr>
          <w:rFonts w:ascii="Arial" w:hAnsi="Arial" w:cs="Arial"/>
          <w:sz w:val="22"/>
          <w:szCs w:val="22"/>
        </w:rPr>
        <w:t>9 648 000</w:t>
      </w:r>
      <w:r w:rsidRPr="000766C9">
        <w:rPr>
          <w:rFonts w:ascii="Arial" w:hAnsi="Arial" w:cs="Arial"/>
          <w:sz w:val="22"/>
          <w:szCs w:val="22"/>
        </w:rPr>
        <w:t xml:space="preserve"> Ft, melynek a járulék vonzata </w:t>
      </w:r>
      <w:r w:rsidR="00B154AD">
        <w:rPr>
          <w:rFonts w:ascii="Arial" w:hAnsi="Arial" w:cs="Arial"/>
          <w:sz w:val="22"/>
          <w:szCs w:val="22"/>
        </w:rPr>
        <w:t>932 256</w:t>
      </w:r>
      <w:r w:rsidRPr="000766C9">
        <w:rPr>
          <w:rFonts w:ascii="Arial" w:hAnsi="Arial" w:cs="Arial"/>
          <w:sz w:val="22"/>
          <w:szCs w:val="22"/>
        </w:rPr>
        <w:t xml:space="preserve"> Ft. </w:t>
      </w:r>
      <w:r w:rsidR="00314424" w:rsidRPr="000766C9">
        <w:rPr>
          <w:rFonts w:ascii="Arial" w:hAnsi="Arial" w:cs="Arial"/>
          <w:sz w:val="22"/>
          <w:szCs w:val="22"/>
        </w:rPr>
        <w:t>Az a</w:t>
      </w:r>
      <w:r w:rsidRPr="000766C9">
        <w:rPr>
          <w:rFonts w:ascii="Arial" w:hAnsi="Arial" w:cs="Arial"/>
          <w:sz w:val="22"/>
          <w:szCs w:val="22"/>
        </w:rPr>
        <w:t>lpolgármesteri tiszteletdíj bruttó összege 4 416 000 Ft, a</w:t>
      </w:r>
      <w:r w:rsidR="000766C9" w:rsidRPr="000766C9">
        <w:rPr>
          <w:rFonts w:ascii="Arial" w:hAnsi="Arial" w:cs="Arial"/>
          <w:sz w:val="22"/>
          <w:szCs w:val="22"/>
        </w:rPr>
        <w:t xml:space="preserve">melyhez </w:t>
      </w:r>
      <w:r w:rsidRPr="000766C9">
        <w:rPr>
          <w:rFonts w:ascii="Arial" w:hAnsi="Arial" w:cs="Arial"/>
          <w:sz w:val="22"/>
          <w:szCs w:val="22"/>
        </w:rPr>
        <w:t>574 080 járulék</w:t>
      </w:r>
      <w:r w:rsidR="000766C9" w:rsidRPr="000766C9">
        <w:rPr>
          <w:rFonts w:ascii="Arial" w:hAnsi="Arial" w:cs="Arial"/>
          <w:sz w:val="22"/>
          <w:szCs w:val="22"/>
        </w:rPr>
        <w:t>teher kapcsolódik</w:t>
      </w:r>
      <w:r w:rsidRPr="000766C9">
        <w:rPr>
          <w:rFonts w:ascii="Arial" w:hAnsi="Arial" w:cs="Arial"/>
          <w:sz w:val="22"/>
          <w:szCs w:val="22"/>
        </w:rPr>
        <w:t xml:space="preserve">. </w:t>
      </w:r>
    </w:p>
    <w:p w14:paraId="4D19DFCC" w14:textId="7219547D" w:rsidR="00200C1F" w:rsidRDefault="00200C1F" w:rsidP="00E23390">
      <w:pPr>
        <w:spacing w:line="276" w:lineRule="auto"/>
        <w:jc w:val="both"/>
        <w:rPr>
          <w:rFonts w:ascii="Arial" w:hAnsi="Arial" w:cs="Arial"/>
          <w:sz w:val="22"/>
          <w:szCs w:val="22"/>
        </w:rPr>
      </w:pPr>
      <w:r w:rsidRPr="000766C9">
        <w:rPr>
          <w:rFonts w:ascii="Arial" w:hAnsi="Arial" w:cs="Arial"/>
          <w:sz w:val="22"/>
          <w:szCs w:val="22"/>
        </w:rPr>
        <w:t xml:space="preserve">A kézbesítő bruttó bére </w:t>
      </w:r>
      <w:r w:rsidR="000766C9" w:rsidRPr="000766C9">
        <w:rPr>
          <w:rFonts w:ascii="Arial" w:hAnsi="Arial" w:cs="Arial"/>
          <w:sz w:val="22"/>
          <w:szCs w:val="22"/>
        </w:rPr>
        <w:t xml:space="preserve">éves szinten </w:t>
      </w:r>
      <w:r w:rsidR="00B154AD">
        <w:rPr>
          <w:rFonts w:ascii="Arial" w:hAnsi="Arial" w:cs="Arial"/>
          <w:sz w:val="22"/>
          <w:szCs w:val="22"/>
        </w:rPr>
        <w:t>5 213 800</w:t>
      </w:r>
      <w:r w:rsidRPr="000766C9">
        <w:rPr>
          <w:rFonts w:ascii="Arial" w:hAnsi="Arial" w:cs="Arial"/>
          <w:sz w:val="22"/>
          <w:szCs w:val="22"/>
        </w:rPr>
        <w:t xml:space="preserve"> Ft</w:t>
      </w:r>
      <w:r w:rsidR="000766C9" w:rsidRPr="000766C9">
        <w:rPr>
          <w:rFonts w:ascii="Arial" w:hAnsi="Arial" w:cs="Arial"/>
          <w:sz w:val="22"/>
          <w:szCs w:val="22"/>
        </w:rPr>
        <w:t xml:space="preserve">, </w:t>
      </w:r>
      <w:r w:rsidR="000766C9">
        <w:rPr>
          <w:rFonts w:ascii="Arial" w:hAnsi="Arial" w:cs="Arial"/>
          <w:sz w:val="22"/>
          <w:szCs w:val="22"/>
        </w:rPr>
        <w:t xml:space="preserve">a </w:t>
      </w:r>
      <w:r w:rsidRPr="000766C9">
        <w:rPr>
          <w:rFonts w:ascii="Arial" w:hAnsi="Arial" w:cs="Arial"/>
          <w:sz w:val="22"/>
          <w:szCs w:val="22"/>
        </w:rPr>
        <w:t xml:space="preserve">járulékvonzata </w:t>
      </w:r>
      <w:r w:rsidR="00B154AD">
        <w:rPr>
          <w:rFonts w:ascii="Arial" w:hAnsi="Arial" w:cs="Arial"/>
          <w:sz w:val="22"/>
          <w:szCs w:val="22"/>
        </w:rPr>
        <w:t xml:space="preserve">677 794 </w:t>
      </w:r>
      <w:r w:rsidRPr="000766C9">
        <w:rPr>
          <w:rFonts w:ascii="Arial" w:hAnsi="Arial" w:cs="Arial"/>
          <w:sz w:val="22"/>
          <w:szCs w:val="22"/>
        </w:rPr>
        <w:t>Ft.</w:t>
      </w:r>
    </w:p>
    <w:p w14:paraId="50CB3965" w14:textId="32FC654C" w:rsidR="00B154AD" w:rsidRPr="00EF346D" w:rsidRDefault="00B154AD" w:rsidP="00E23390">
      <w:pPr>
        <w:spacing w:line="276" w:lineRule="auto"/>
        <w:jc w:val="both"/>
        <w:rPr>
          <w:rFonts w:ascii="Arial" w:hAnsi="Arial" w:cs="Arial"/>
          <w:sz w:val="22"/>
          <w:szCs w:val="22"/>
        </w:rPr>
      </w:pPr>
      <w:r>
        <w:rPr>
          <w:rFonts w:ascii="Arial" w:hAnsi="Arial" w:cs="Arial"/>
          <w:sz w:val="22"/>
          <w:szCs w:val="22"/>
        </w:rPr>
        <w:t>A közfoglalkoztatottak bérére 8 850 200 Ft-ot terveztünk és 575 263 Ft járulékkal.</w:t>
      </w:r>
    </w:p>
    <w:p w14:paraId="5996BEC7" w14:textId="77777777" w:rsidR="006325C2" w:rsidRPr="00640F60" w:rsidRDefault="006325C2" w:rsidP="00E23390">
      <w:pPr>
        <w:spacing w:line="276" w:lineRule="auto"/>
        <w:jc w:val="both"/>
        <w:rPr>
          <w:rFonts w:ascii="Arial" w:hAnsi="Arial" w:cs="Arial"/>
          <w:sz w:val="22"/>
          <w:szCs w:val="22"/>
          <w:highlight w:val="yellow"/>
          <w:u w:val="single"/>
        </w:rPr>
      </w:pPr>
    </w:p>
    <w:p w14:paraId="75C69AE5" w14:textId="2ED99885" w:rsidR="00B154AD" w:rsidRDefault="006325C2" w:rsidP="00E23390">
      <w:pPr>
        <w:suppressAutoHyphens/>
        <w:overflowPunct w:val="0"/>
        <w:autoSpaceDE w:val="0"/>
        <w:spacing w:line="276" w:lineRule="auto"/>
        <w:jc w:val="both"/>
        <w:textAlignment w:val="baseline"/>
        <w:rPr>
          <w:rFonts w:ascii="Arial" w:hAnsi="Arial" w:cs="Arial"/>
          <w:sz w:val="22"/>
          <w:szCs w:val="22"/>
        </w:rPr>
      </w:pPr>
      <w:r w:rsidRPr="00DD48CC">
        <w:rPr>
          <w:rFonts w:ascii="Arial" w:hAnsi="Arial" w:cs="Arial"/>
          <w:sz w:val="22"/>
          <w:szCs w:val="22"/>
          <w:u w:val="single"/>
        </w:rPr>
        <w:t xml:space="preserve">A </w:t>
      </w:r>
      <w:r w:rsidRPr="00DD48CC">
        <w:rPr>
          <w:rFonts w:ascii="Arial" w:hAnsi="Arial" w:cs="Arial"/>
          <w:bCs/>
          <w:sz w:val="22"/>
          <w:szCs w:val="22"/>
          <w:u w:val="single"/>
        </w:rPr>
        <w:t>Közös Önkormányzati Hivatalnál</w:t>
      </w:r>
      <w:r w:rsidRPr="00640F60">
        <w:rPr>
          <w:rFonts w:ascii="Arial" w:hAnsi="Arial" w:cs="Arial"/>
          <w:sz w:val="22"/>
          <w:szCs w:val="22"/>
        </w:rPr>
        <w:t xml:space="preserve"> közszolgálati tisztvisel</w:t>
      </w:r>
      <w:r w:rsidR="001F0C1D" w:rsidRPr="00640F60">
        <w:rPr>
          <w:rFonts w:ascii="Arial" w:hAnsi="Arial" w:cs="Arial"/>
          <w:sz w:val="22"/>
          <w:szCs w:val="22"/>
        </w:rPr>
        <w:t>ő</w:t>
      </w:r>
      <w:r w:rsidR="00C04312" w:rsidRPr="00640F60">
        <w:rPr>
          <w:rFonts w:ascii="Arial" w:hAnsi="Arial" w:cs="Arial"/>
          <w:sz w:val="22"/>
          <w:szCs w:val="22"/>
        </w:rPr>
        <w:t>i</w:t>
      </w:r>
      <w:r w:rsidR="001F0C1D" w:rsidRPr="00640F60">
        <w:rPr>
          <w:rFonts w:ascii="Arial" w:hAnsi="Arial" w:cs="Arial"/>
          <w:sz w:val="22"/>
          <w:szCs w:val="22"/>
        </w:rPr>
        <w:t xml:space="preserve"> foglalkoztatás</w:t>
      </w:r>
      <w:r w:rsidR="00C04312" w:rsidRPr="00640F60">
        <w:rPr>
          <w:rFonts w:ascii="Arial" w:hAnsi="Arial" w:cs="Arial"/>
          <w:sz w:val="22"/>
          <w:szCs w:val="22"/>
        </w:rPr>
        <w:t>nál</w:t>
      </w:r>
      <w:r w:rsidR="00B154AD">
        <w:rPr>
          <w:rFonts w:ascii="Arial" w:hAnsi="Arial" w:cs="Arial"/>
          <w:sz w:val="22"/>
          <w:szCs w:val="22"/>
        </w:rPr>
        <w:t xml:space="preserve"> </w:t>
      </w:r>
      <w:r w:rsidR="00C04312" w:rsidRPr="00640F60">
        <w:rPr>
          <w:rFonts w:ascii="Arial" w:hAnsi="Arial" w:cs="Arial"/>
          <w:sz w:val="22"/>
          <w:szCs w:val="22"/>
        </w:rPr>
        <w:t>33,</w:t>
      </w:r>
      <w:r w:rsidR="00B154AD">
        <w:rPr>
          <w:rFonts w:ascii="Arial" w:hAnsi="Arial" w:cs="Arial"/>
          <w:sz w:val="22"/>
          <w:szCs w:val="22"/>
        </w:rPr>
        <w:t>7</w:t>
      </w:r>
      <w:r w:rsidR="00C04312" w:rsidRPr="00640F60">
        <w:rPr>
          <w:rFonts w:ascii="Arial" w:hAnsi="Arial" w:cs="Arial"/>
          <w:sz w:val="22"/>
          <w:szCs w:val="22"/>
        </w:rPr>
        <w:t>5 fővel</w:t>
      </w:r>
      <w:r w:rsidR="001F0C1D" w:rsidRPr="00640F60">
        <w:rPr>
          <w:rFonts w:ascii="Arial" w:hAnsi="Arial" w:cs="Arial"/>
          <w:sz w:val="22"/>
          <w:szCs w:val="22"/>
        </w:rPr>
        <w:t xml:space="preserve"> terveztün</w:t>
      </w:r>
      <w:r w:rsidR="00C04312" w:rsidRPr="00640F60">
        <w:rPr>
          <w:rFonts w:ascii="Arial" w:hAnsi="Arial" w:cs="Arial"/>
          <w:sz w:val="22"/>
          <w:szCs w:val="22"/>
        </w:rPr>
        <w:t>k.</w:t>
      </w:r>
      <w:r w:rsidR="001F0C1D" w:rsidRPr="00640F60">
        <w:rPr>
          <w:rFonts w:ascii="Arial" w:hAnsi="Arial" w:cs="Arial"/>
          <w:sz w:val="22"/>
          <w:szCs w:val="22"/>
        </w:rPr>
        <w:t xml:space="preserve"> </w:t>
      </w:r>
      <w:r w:rsidR="00C04312" w:rsidRPr="00640F60">
        <w:rPr>
          <w:rFonts w:ascii="Arial" w:hAnsi="Arial" w:cs="Arial"/>
          <w:sz w:val="22"/>
          <w:szCs w:val="22"/>
        </w:rPr>
        <w:t>Emellett az elmúlt évek gyakorlatához igazodóan</w:t>
      </w:r>
      <w:r w:rsidR="001F0C1D" w:rsidRPr="00640F60">
        <w:rPr>
          <w:rFonts w:ascii="Arial" w:hAnsi="Arial" w:cs="Arial"/>
          <w:sz w:val="22"/>
          <w:szCs w:val="22"/>
        </w:rPr>
        <w:t xml:space="preserve"> 1</w:t>
      </w:r>
      <w:r w:rsidRPr="00640F60">
        <w:rPr>
          <w:rFonts w:ascii="Arial" w:hAnsi="Arial" w:cs="Arial"/>
          <w:sz w:val="22"/>
          <w:szCs w:val="22"/>
        </w:rPr>
        <w:t xml:space="preserve"> fő 4 </w:t>
      </w:r>
      <w:r w:rsidR="001F0C1D" w:rsidRPr="00640F60">
        <w:rPr>
          <w:rFonts w:ascii="Arial" w:hAnsi="Arial" w:cs="Arial"/>
          <w:sz w:val="22"/>
          <w:szCs w:val="22"/>
        </w:rPr>
        <w:t xml:space="preserve">órás </w:t>
      </w:r>
      <w:r w:rsidRPr="00640F60">
        <w:rPr>
          <w:rFonts w:ascii="Arial" w:hAnsi="Arial" w:cs="Arial"/>
          <w:sz w:val="22"/>
          <w:szCs w:val="22"/>
        </w:rPr>
        <w:t xml:space="preserve">és </w:t>
      </w:r>
      <w:r w:rsidR="001F0C1D" w:rsidRPr="00640F60">
        <w:rPr>
          <w:rFonts w:ascii="Arial" w:hAnsi="Arial" w:cs="Arial"/>
          <w:sz w:val="22"/>
          <w:szCs w:val="22"/>
        </w:rPr>
        <w:t xml:space="preserve">1 fő </w:t>
      </w:r>
      <w:r w:rsidRPr="00640F60">
        <w:rPr>
          <w:rFonts w:ascii="Arial" w:hAnsi="Arial" w:cs="Arial"/>
          <w:sz w:val="22"/>
          <w:szCs w:val="22"/>
        </w:rPr>
        <w:t xml:space="preserve">5 órás Munka törvénykönyve alapján foglalkoztatott </w:t>
      </w:r>
      <w:r w:rsidR="00C04312" w:rsidRPr="00640F60">
        <w:rPr>
          <w:rFonts w:ascii="Arial" w:hAnsi="Arial" w:cs="Arial"/>
          <w:sz w:val="22"/>
          <w:szCs w:val="22"/>
        </w:rPr>
        <w:t xml:space="preserve">megváltozott munkaképességű </w:t>
      </w:r>
      <w:r w:rsidRPr="00640F60">
        <w:rPr>
          <w:rFonts w:ascii="Arial" w:hAnsi="Arial" w:cs="Arial"/>
          <w:sz w:val="22"/>
          <w:szCs w:val="22"/>
        </w:rPr>
        <w:t>munkatárssal</w:t>
      </w:r>
      <w:r w:rsidR="00C04312" w:rsidRPr="00640F60">
        <w:rPr>
          <w:rFonts w:ascii="Arial" w:hAnsi="Arial" w:cs="Arial"/>
          <w:sz w:val="22"/>
          <w:szCs w:val="22"/>
        </w:rPr>
        <w:t xml:space="preserve"> </w:t>
      </w:r>
      <w:r w:rsidR="00C04312" w:rsidRPr="00DB143E">
        <w:rPr>
          <w:rFonts w:ascii="Arial" w:hAnsi="Arial" w:cs="Arial"/>
          <w:sz w:val="22"/>
          <w:szCs w:val="22"/>
        </w:rPr>
        <w:t>számoltunk</w:t>
      </w:r>
      <w:r w:rsidR="00DB143E">
        <w:rPr>
          <w:rFonts w:ascii="Arial" w:hAnsi="Arial" w:cs="Arial"/>
          <w:sz w:val="22"/>
          <w:szCs w:val="22"/>
        </w:rPr>
        <w:t>.</w:t>
      </w:r>
      <w:r w:rsidRPr="00DB143E">
        <w:rPr>
          <w:rFonts w:ascii="Arial" w:hAnsi="Arial" w:cs="Arial"/>
          <w:sz w:val="22"/>
          <w:szCs w:val="22"/>
        </w:rPr>
        <w:t xml:space="preserve"> </w:t>
      </w:r>
    </w:p>
    <w:p w14:paraId="7798E03A" w14:textId="77777777" w:rsidR="00B154AD" w:rsidRPr="008D0F2B" w:rsidRDefault="00B154AD" w:rsidP="00E23390">
      <w:pPr>
        <w:spacing w:line="276" w:lineRule="auto"/>
        <w:jc w:val="both"/>
        <w:rPr>
          <w:rFonts w:ascii="Arial" w:hAnsi="Arial" w:cs="Arial"/>
          <w:sz w:val="22"/>
          <w:szCs w:val="22"/>
        </w:rPr>
      </w:pPr>
      <w:r w:rsidRPr="008D0F2B">
        <w:rPr>
          <w:rFonts w:ascii="Arial" w:hAnsi="Arial" w:cs="Arial"/>
          <w:sz w:val="22"/>
          <w:szCs w:val="22"/>
        </w:rPr>
        <w:t xml:space="preserve">A tervezett előirányzat tartalmazza a köztisztviselők 2025. július 1-vel és 2026. január 1-vel bekövetkezett illetménynövekedésének összegét, valamint számol a </w:t>
      </w:r>
      <w:proofErr w:type="gramStart"/>
      <w:r w:rsidRPr="008D0F2B">
        <w:rPr>
          <w:rFonts w:ascii="Arial" w:hAnsi="Arial" w:cs="Arial"/>
          <w:sz w:val="22"/>
          <w:szCs w:val="22"/>
        </w:rPr>
        <w:t>garantált</w:t>
      </w:r>
      <w:proofErr w:type="gramEnd"/>
      <w:r w:rsidRPr="008D0F2B">
        <w:rPr>
          <w:rFonts w:ascii="Arial" w:hAnsi="Arial" w:cs="Arial"/>
          <w:sz w:val="22"/>
          <w:szCs w:val="22"/>
        </w:rPr>
        <w:t xml:space="preserve"> bérminimum emeléssel.</w:t>
      </w:r>
    </w:p>
    <w:p w14:paraId="3EDF03C9" w14:textId="77777777" w:rsidR="00B154AD" w:rsidRPr="008D0F2B" w:rsidRDefault="00B154AD" w:rsidP="00E23390">
      <w:pPr>
        <w:spacing w:line="276" w:lineRule="auto"/>
        <w:jc w:val="both"/>
        <w:rPr>
          <w:rFonts w:ascii="Arial" w:hAnsi="Arial" w:cs="Arial"/>
          <w:sz w:val="22"/>
          <w:szCs w:val="22"/>
        </w:rPr>
      </w:pPr>
      <w:r w:rsidRPr="008D0F2B">
        <w:rPr>
          <w:rFonts w:ascii="Arial" w:hAnsi="Arial" w:cs="Arial"/>
          <w:sz w:val="22"/>
          <w:szCs w:val="22"/>
        </w:rPr>
        <w:t xml:space="preserve">Így a törvény szerinti illetmények vonatkozásában eredeti előirányzatként tervezett kiadás - az évközi, jelenleg ismert létszámmozgásokat is figyelembe </w:t>
      </w:r>
      <w:r w:rsidRPr="008B5AA6">
        <w:rPr>
          <w:rFonts w:ascii="Arial" w:hAnsi="Arial" w:cs="Arial"/>
          <w:sz w:val="22"/>
          <w:szCs w:val="22"/>
        </w:rPr>
        <w:t>véve – 294 433 150 Ft.</w:t>
      </w:r>
    </w:p>
    <w:p w14:paraId="0CA11375" w14:textId="77777777" w:rsidR="00B154AD" w:rsidRPr="00BC5BE1" w:rsidRDefault="00B154AD" w:rsidP="00E23390">
      <w:pPr>
        <w:spacing w:line="276" w:lineRule="auto"/>
        <w:jc w:val="both"/>
        <w:rPr>
          <w:rFonts w:ascii="Arial" w:hAnsi="Arial" w:cs="Arial"/>
          <w:sz w:val="22"/>
          <w:szCs w:val="22"/>
        </w:rPr>
      </w:pPr>
      <w:r w:rsidRPr="008D0F2B">
        <w:rPr>
          <w:rFonts w:ascii="Arial" w:hAnsi="Arial" w:cs="Arial"/>
          <w:sz w:val="22"/>
          <w:szCs w:val="22"/>
        </w:rPr>
        <w:t xml:space="preserve">A 2026. évben 1 fő részére végkielégítés kifizetésével terveztünk 2 985 000 Ft összegben és a törvény által előírt </w:t>
      </w:r>
      <w:proofErr w:type="gramStart"/>
      <w:r w:rsidRPr="008D0F2B">
        <w:rPr>
          <w:rFonts w:ascii="Arial" w:hAnsi="Arial" w:cs="Arial"/>
          <w:sz w:val="22"/>
          <w:szCs w:val="22"/>
        </w:rPr>
        <w:t>jubileumi</w:t>
      </w:r>
      <w:proofErr w:type="gramEnd"/>
      <w:r w:rsidRPr="008D0F2B">
        <w:rPr>
          <w:rFonts w:ascii="Arial" w:hAnsi="Arial" w:cs="Arial"/>
          <w:sz w:val="22"/>
          <w:szCs w:val="22"/>
        </w:rPr>
        <w:t xml:space="preserve"> jutalmak kifizetésére 4 910 000 Ft-ot terveztünk.</w:t>
      </w:r>
    </w:p>
    <w:p w14:paraId="7757475B" w14:textId="77777777" w:rsidR="00B154AD" w:rsidRPr="008D0F2B" w:rsidRDefault="00B154AD" w:rsidP="00E23390">
      <w:pPr>
        <w:spacing w:line="276" w:lineRule="auto"/>
        <w:jc w:val="both"/>
        <w:rPr>
          <w:rFonts w:ascii="Arial" w:hAnsi="Arial" w:cs="Arial"/>
          <w:sz w:val="22"/>
          <w:szCs w:val="22"/>
        </w:rPr>
      </w:pPr>
      <w:r w:rsidRPr="008D0F2B">
        <w:rPr>
          <w:rFonts w:ascii="Arial" w:hAnsi="Arial" w:cs="Arial"/>
          <w:sz w:val="22"/>
          <w:szCs w:val="22"/>
        </w:rPr>
        <w:t xml:space="preserve">A közszolgálati tisztviselőkről szóló 2011. évi CXCIX. törvény 151. § (1) bekezdése szerint a köztisztviselőt megillető </w:t>
      </w:r>
      <w:proofErr w:type="spellStart"/>
      <w:r w:rsidRPr="008D0F2B">
        <w:rPr>
          <w:rFonts w:ascii="Arial" w:hAnsi="Arial" w:cs="Arial"/>
          <w:sz w:val="22"/>
          <w:szCs w:val="22"/>
        </w:rPr>
        <w:t>cafetéria</w:t>
      </w:r>
      <w:proofErr w:type="spellEnd"/>
      <w:r w:rsidRPr="008D0F2B">
        <w:rPr>
          <w:rFonts w:ascii="Arial" w:hAnsi="Arial" w:cs="Arial"/>
          <w:sz w:val="22"/>
          <w:szCs w:val="22"/>
        </w:rPr>
        <w:t xml:space="preserve"> juttatás éves összege nem lehet alacsonyabb az illetményalap ötszörösénél. A Közös Önkormányzati Hivatallal foglalkoztatási jogviszonyban álló köztisztviselők részére a 2026. évi </w:t>
      </w:r>
      <w:proofErr w:type="spellStart"/>
      <w:r w:rsidRPr="008D0F2B">
        <w:rPr>
          <w:rFonts w:ascii="Arial" w:hAnsi="Arial" w:cs="Arial"/>
          <w:sz w:val="22"/>
          <w:szCs w:val="22"/>
        </w:rPr>
        <w:t>cafetéria</w:t>
      </w:r>
      <w:proofErr w:type="spellEnd"/>
      <w:r w:rsidRPr="008D0F2B">
        <w:rPr>
          <w:rFonts w:ascii="Arial" w:hAnsi="Arial" w:cs="Arial"/>
          <w:sz w:val="22"/>
          <w:szCs w:val="22"/>
        </w:rPr>
        <w:t xml:space="preserve"> összege </w:t>
      </w:r>
      <w:r w:rsidRPr="008D0F2B">
        <w:rPr>
          <w:rFonts w:ascii="Arial" w:hAnsi="Arial" w:cs="Arial"/>
          <w:bCs/>
          <w:sz w:val="22"/>
          <w:szCs w:val="22"/>
        </w:rPr>
        <w:t>385 000 Ft/fő/év összegben került meghatározásra.</w:t>
      </w:r>
      <w:r w:rsidRPr="008D0F2B">
        <w:rPr>
          <w:rFonts w:ascii="Arial" w:hAnsi="Arial" w:cs="Arial"/>
          <w:sz w:val="22"/>
          <w:szCs w:val="22"/>
        </w:rPr>
        <w:t xml:space="preserve"> </w:t>
      </w:r>
    </w:p>
    <w:p w14:paraId="42D809EB" w14:textId="77777777" w:rsidR="00B154AD" w:rsidRPr="00092AB2" w:rsidRDefault="00B154AD" w:rsidP="00E23390">
      <w:pPr>
        <w:spacing w:line="276" w:lineRule="auto"/>
        <w:jc w:val="both"/>
        <w:rPr>
          <w:rFonts w:ascii="Arial" w:hAnsi="Arial" w:cs="Arial"/>
          <w:sz w:val="22"/>
          <w:szCs w:val="22"/>
        </w:rPr>
      </w:pPr>
      <w:r w:rsidRPr="00092AB2">
        <w:rPr>
          <w:rFonts w:ascii="Arial" w:hAnsi="Arial" w:cs="Arial"/>
          <w:sz w:val="22"/>
          <w:szCs w:val="22"/>
        </w:rPr>
        <w:t>A foglalkoztatottak egyéb személyi juttatásai előirányzaton 6 739 809 Ft előirányzat került számba vételre, amelyből:</w:t>
      </w:r>
    </w:p>
    <w:p w14:paraId="75015083" w14:textId="77777777" w:rsidR="00B154AD" w:rsidRPr="00092AB2" w:rsidRDefault="00B154AD" w:rsidP="00E23390">
      <w:pPr>
        <w:pStyle w:val="Listaszerbekezds"/>
        <w:numPr>
          <w:ilvl w:val="0"/>
          <w:numId w:val="25"/>
        </w:numPr>
        <w:spacing w:line="276" w:lineRule="auto"/>
        <w:ind w:left="567"/>
        <w:jc w:val="both"/>
        <w:rPr>
          <w:rFonts w:ascii="Arial" w:hAnsi="Arial" w:cs="Arial"/>
          <w:sz w:val="22"/>
          <w:szCs w:val="22"/>
        </w:rPr>
      </w:pPr>
      <w:r w:rsidRPr="00092AB2">
        <w:rPr>
          <w:rFonts w:ascii="Arial" w:hAnsi="Arial" w:cs="Arial"/>
          <w:sz w:val="22"/>
          <w:szCs w:val="22"/>
        </w:rPr>
        <w:t xml:space="preserve">A TOP Plusz projektekhez kapcsolódóan 3 720 109 Ft, </w:t>
      </w:r>
    </w:p>
    <w:p w14:paraId="4E7AB11E" w14:textId="77777777" w:rsidR="00B154AD" w:rsidRPr="00092AB2" w:rsidRDefault="00B154AD" w:rsidP="00E23390">
      <w:pPr>
        <w:pStyle w:val="Listaszerbekezds"/>
        <w:numPr>
          <w:ilvl w:val="0"/>
          <w:numId w:val="25"/>
        </w:numPr>
        <w:spacing w:line="276" w:lineRule="auto"/>
        <w:ind w:left="567"/>
        <w:jc w:val="both"/>
        <w:rPr>
          <w:rFonts w:ascii="Arial" w:hAnsi="Arial" w:cs="Arial"/>
          <w:sz w:val="22"/>
          <w:szCs w:val="22"/>
        </w:rPr>
      </w:pPr>
      <w:r w:rsidRPr="00092AB2">
        <w:rPr>
          <w:rFonts w:ascii="Arial" w:hAnsi="Arial" w:cs="Arial"/>
          <w:sz w:val="22"/>
          <w:szCs w:val="22"/>
        </w:rPr>
        <w:t>2 587 700 Ft szolgál betegszabadság, saját dolgozók megbízási díjaira, szemüveg költségtérítése,</w:t>
      </w:r>
    </w:p>
    <w:p w14:paraId="53E9ABBB" w14:textId="77777777" w:rsidR="00B154AD" w:rsidRPr="00092AB2" w:rsidRDefault="00B154AD" w:rsidP="00E23390">
      <w:pPr>
        <w:pStyle w:val="Listaszerbekezds"/>
        <w:numPr>
          <w:ilvl w:val="0"/>
          <w:numId w:val="25"/>
        </w:numPr>
        <w:spacing w:line="276" w:lineRule="auto"/>
        <w:ind w:left="567"/>
        <w:jc w:val="both"/>
        <w:rPr>
          <w:rFonts w:ascii="Arial" w:hAnsi="Arial" w:cs="Arial"/>
          <w:sz w:val="22"/>
          <w:szCs w:val="22"/>
        </w:rPr>
      </w:pPr>
      <w:r w:rsidRPr="00092AB2">
        <w:rPr>
          <w:rFonts w:ascii="Arial" w:hAnsi="Arial" w:cs="Arial"/>
          <w:sz w:val="22"/>
          <w:szCs w:val="22"/>
        </w:rPr>
        <w:t xml:space="preserve">és bankszámla hozzájárulás éves szinten 432 000 Ft. </w:t>
      </w:r>
    </w:p>
    <w:p w14:paraId="466E0AFC" w14:textId="77777777" w:rsidR="00B154AD" w:rsidRPr="0051584B" w:rsidRDefault="00B154AD" w:rsidP="00E23390">
      <w:pPr>
        <w:spacing w:line="276" w:lineRule="auto"/>
        <w:jc w:val="both"/>
        <w:rPr>
          <w:rFonts w:ascii="Arial" w:hAnsi="Arial" w:cs="Arial"/>
          <w:sz w:val="22"/>
          <w:szCs w:val="22"/>
        </w:rPr>
      </w:pPr>
    </w:p>
    <w:p w14:paraId="1CB88230" w14:textId="7324BA18" w:rsidR="00B154AD" w:rsidRDefault="00B154AD" w:rsidP="00E23390">
      <w:pPr>
        <w:spacing w:line="276" w:lineRule="auto"/>
        <w:jc w:val="both"/>
        <w:rPr>
          <w:rFonts w:ascii="Arial" w:hAnsi="Arial" w:cs="Arial"/>
          <w:sz w:val="22"/>
          <w:szCs w:val="22"/>
        </w:rPr>
      </w:pPr>
      <w:r w:rsidRPr="00853B1D">
        <w:rPr>
          <w:rFonts w:ascii="Arial" w:hAnsi="Arial" w:cs="Arial"/>
          <w:sz w:val="22"/>
          <w:szCs w:val="22"/>
        </w:rPr>
        <w:t xml:space="preserve">Az egyéb külső személyi juttatások rovat (reprezentáció) kiadásaira </w:t>
      </w:r>
      <w:r>
        <w:rPr>
          <w:rFonts w:ascii="Arial" w:hAnsi="Arial" w:cs="Arial"/>
          <w:sz w:val="22"/>
          <w:szCs w:val="22"/>
        </w:rPr>
        <w:t>950 000</w:t>
      </w:r>
      <w:r w:rsidRPr="00853B1D">
        <w:rPr>
          <w:rFonts w:ascii="Arial" w:hAnsi="Arial" w:cs="Arial"/>
          <w:sz w:val="22"/>
          <w:szCs w:val="22"/>
        </w:rPr>
        <w:t xml:space="preserve"> Ft előirányzatot tartalmaz a tervezet, ami az előző évhez hasonlóan, az év során tervezett rendezvényekhez kapcsolóló kiadások fedezetét tartalmazza.</w:t>
      </w:r>
    </w:p>
    <w:p w14:paraId="63042B98" w14:textId="77777777" w:rsidR="00E23390" w:rsidRDefault="00E23390" w:rsidP="00E23390">
      <w:pPr>
        <w:spacing w:line="276" w:lineRule="auto"/>
        <w:jc w:val="both"/>
        <w:rPr>
          <w:rFonts w:ascii="Arial" w:hAnsi="Arial" w:cs="Arial"/>
          <w:sz w:val="22"/>
          <w:szCs w:val="22"/>
        </w:rPr>
      </w:pPr>
    </w:p>
    <w:p w14:paraId="6EBFDC71" w14:textId="3CE0760D" w:rsidR="006325C2" w:rsidRPr="008757CD" w:rsidRDefault="006325C2" w:rsidP="00576D84">
      <w:pPr>
        <w:suppressAutoHyphens/>
        <w:overflowPunct w:val="0"/>
        <w:autoSpaceDE w:val="0"/>
        <w:spacing w:line="276" w:lineRule="auto"/>
        <w:jc w:val="both"/>
        <w:textAlignment w:val="baseline"/>
        <w:rPr>
          <w:rFonts w:ascii="Arial" w:hAnsi="Arial" w:cs="Arial"/>
          <w:sz w:val="22"/>
          <w:szCs w:val="22"/>
        </w:rPr>
      </w:pPr>
      <w:r w:rsidRPr="00DD48CC">
        <w:rPr>
          <w:rFonts w:ascii="Arial" w:hAnsi="Arial" w:cs="Arial"/>
          <w:bCs/>
          <w:sz w:val="22"/>
          <w:szCs w:val="22"/>
          <w:u w:val="single"/>
        </w:rPr>
        <w:t>K</w:t>
      </w:r>
      <w:r w:rsidR="00576BB2" w:rsidRPr="00DD48CC">
        <w:rPr>
          <w:rFonts w:ascii="Arial" w:hAnsi="Arial" w:cs="Arial"/>
          <w:bCs/>
          <w:sz w:val="22"/>
          <w:szCs w:val="22"/>
          <w:u w:val="single"/>
        </w:rPr>
        <w:t>eresztély Gyula Városi Könyvtár</w:t>
      </w:r>
      <w:r w:rsidR="00576BB2" w:rsidRPr="00DD48CC">
        <w:rPr>
          <w:rFonts w:ascii="Arial" w:hAnsi="Arial" w:cs="Arial"/>
          <w:bCs/>
          <w:sz w:val="22"/>
          <w:szCs w:val="22"/>
        </w:rPr>
        <w:t>nál</w:t>
      </w:r>
      <w:r w:rsidR="00576BB2" w:rsidRPr="008757CD">
        <w:rPr>
          <w:rFonts w:ascii="Arial" w:hAnsi="Arial" w:cs="Arial"/>
          <w:sz w:val="22"/>
          <w:szCs w:val="22"/>
        </w:rPr>
        <w:t xml:space="preserve"> a 202</w:t>
      </w:r>
      <w:r w:rsidR="00E23390">
        <w:rPr>
          <w:rFonts w:ascii="Arial" w:hAnsi="Arial" w:cs="Arial"/>
          <w:sz w:val="22"/>
          <w:szCs w:val="22"/>
        </w:rPr>
        <w:t>6</w:t>
      </w:r>
      <w:r w:rsidR="00576BB2" w:rsidRPr="008757CD">
        <w:rPr>
          <w:rFonts w:ascii="Arial" w:hAnsi="Arial" w:cs="Arial"/>
          <w:sz w:val="22"/>
          <w:szCs w:val="22"/>
        </w:rPr>
        <w:t>. évben a két munkatárs foglalkoztatásához kapcsolódó személyi jellegű kiadások eredeti előirányzata</w:t>
      </w:r>
      <w:r w:rsidR="00DC6CC1" w:rsidRPr="008757CD">
        <w:rPr>
          <w:rFonts w:ascii="Arial" w:hAnsi="Arial" w:cs="Arial"/>
          <w:sz w:val="22"/>
          <w:szCs w:val="22"/>
        </w:rPr>
        <w:t xml:space="preserve"> </w:t>
      </w:r>
      <w:r w:rsidR="00C96F0D">
        <w:rPr>
          <w:rFonts w:ascii="Arial" w:hAnsi="Arial" w:cs="Arial"/>
          <w:sz w:val="22"/>
          <w:szCs w:val="22"/>
        </w:rPr>
        <w:t>12 749 704</w:t>
      </w:r>
      <w:r w:rsidR="00E23390">
        <w:rPr>
          <w:rFonts w:ascii="Arial" w:hAnsi="Arial" w:cs="Arial"/>
          <w:sz w:val="22"/>
          <w:szCs w:val="22"/>
        </w:rPr>
        <w:t xml:space="preserve"> Ft. </w:t>
      </w:r>
      <w:r w:rsidR="00C96F0D">
        <w:rPr>
          <w:rFonts w:ascii="Arial" w:hAnsi="Arial" w:cs="Arial"/>
          <w:sz w:val="22"/>
          <w:szCs w:val="22"/>
        </w:rPr>
        <w:t>Az összeg tartalmazza a kulturális területen dolgozók 15 %-</w:t>
      </w:r>
      <w:proofErr w:type="spellStart"/>
      <w:r w:rsidR="00C96F0D">
        <w:rPr>
          <w:rFonts w:ascii="Arial" w:hAnsi="Arial" w:cs="Arial"/>
          <w:sz w:val="22"/>
          <w:szCs w:val="22"/>
        </w:rPr>
        <w:t>os</w:t>
      </w:r>
      <w:proofErr w:type="spellEnd"/>
      <w:r w:rsidR="00C96F0D">
        <w:rPr>
          <w:rFonts w:ascii="Arial" w:hAnsi="Arial" w:cs="Arial"/>
          <w:sz w:val="22"/>
          <w:szCs w:val="22"/>
        </w:rPr>
        <w:t xml:space="preserve"> 434/2025.(XII.23.) Korm. rendelet alapján történő béremelését is.</w:t>
      </w:r>
    </w:p>
    <w:p w14:paraId="05F4D532" w14:textId="77777777" w:rsidR="00850894" w:rsidRPr="00A82F71" w:rsidRDefault="00850894" w:rsidP="00576D84">
      <w:pPr>
        <w:spacing w:line="276" w:lineRule="auto"/>
        <w:jc w:val="both"/>
        <w:rPr>
          <w:rFonts w:ascii="Arial" w:hAnsi="Arial" w:cs="Arial"/>
          <w:b/>
          <w:sz w:val="22"/>
          <w:szCs w:val="22"/>
          <w:highlight w:val="yellow"/>
          <w:u w:val="single"/>
        </w:rPr>
      </w:pPr>
    </w:p>
    <w:p w14:paraId="6D18D48F" w14:textId="781CA895" w:rsidR="006325C2" w:rsidRPr="00BC0246" w:rsidRDefault="006325C2" w:rsidP="00576D84">
      <w:pPr>
        <w:spacing w:line="276" w:lineRule="auto"/>
        <w:jc w:val="both"/>
        <w:rPr>
          <w:rFonts w:ascii="Arial" w:hAnsi="Arial" w:cs="Arial"/>
          <w:b/>
          <w:sz w:val="22"/>
          <w:szCs w:val="22"/>
          <w:u w:val="single"/>
        </w:rPr>
      </w:pPr>
      <w:r w:rsidRPr="00BC0246">
        <w:rPr>
          <w:rFonts w:ascii="Arial" w:hAnsi="Arial" w:cs="Arial"/>
          <w:b/>
          <w:sz w:val="22"/>
          <w:szCs w:val="22"/>
          <w:u w:val="single"/>
        </w:rPr>
        <w:t>Munkaadót terhelő járulékok</w:t>
      </w:r>
      <w:r w:rsidR="00BF58A4" w:rsidRPr="00BC0246">
        <w:rPr>
          <w:rFonts w:ascii="Arial" w:hAnsi="Arial" w:cs="Arial"/>
          <w:b/>
          <w:sz w:val="22"/>
          <w:szCs w:val="22"/>
          <w:u w:val="single"/>
        </w:rPr>
        <w:t xml:space="preserve"> és szociális hozzájárulási adó előirányzata</w:t>
      </w:r>
      <w:r w:rsidR="009B77F4" w:rsidRPr="00BC0246">
        <w:rPr>
          <w:u w:val="single"/>
        </w:rPr>
        <w:t xml:space="preserve"> </w:t>
      </w:r>
      <w:r w:rsidR="00C96F0D">
        <w:rPr>
          <w:rFonts w:ascii="Arial" w:hAnsi="Arial" w:cs="Arial"/>
          <w:sz w:val="22"/>
          <w:szCs w:val="22"/>
        </w:rPr>
        <w:t>51 683 890</w:t>
      </w:r>
      <w:r w:rsidR="00BF58A4" w:rsidRPr="00DF7D1C">
        <w:rPr>
          <w:rFonts w:ascii="Arial" w:hAnsi="Arial" w:cs="Arial"/>
          <w:sz w:val="22"/>
          <w:szCs w:val="22"/>
        </w:rPr>
        <w:t xml:space="preserve"> Ft.</w:t>
      </w:r>
      <w:r w:rsidRPr="00DF7D1C">
        <w:rPr>
          <w:rFonts w:ascii="Arial" w:hAnsi="Arial" w:cs="Arial"/>
          <w:b/>
          <w:sz w:val="22"/>
          <w:szCs w:val="22"/>
          <w:u w:val="single"/>
        </w:rPr>
        <w:t xml:space="preserve"> </w:t>
      </w:r>
    </w:p>
    <w:p w14:paraId="389DF9F0" w14:textId="4214B4F8" w:rsidR="006325C2" w:rsidRPr="00BC0246" w:rsidRDefault="006325C2" w:rsidP="00576D84">
      <w:pPr>
        <w:spacing w:line="276" w:lineRule="auto"/>
        <w:jc w:val="both"/>
        <w:rPr>
          <w:rFonts w:ascii="Arial" w:hAnsi="Arial" w:cs="Arial"/>
          <w:sz w:val="22"/>
          <w:szCs w:val="22"/>
        </w:rPr>
      </w:pPr>
      <w:r w:rsidRPr="00BC0246">
        <w:rPr>
          <w:rFonts w:ascii="Arial" w:hAnsi="Arial" w:cs="Arial"/>
          <w:sz w:val="22"/>
          <w:szCs w:val="22"/>
        </w:rPr>
        <w:t xml:space="preserve">A személyi juttatások soron megjelenő összegek munkaadót terhelő járulékai és a szociális hozzájárulási adó összege ezen a soron került betervezésre a törvényi </w:t>
      </w:r>
      <w:r w:rsidR="00C45C6A" w:rsidRPr="00BC0246">
        <w:rPr>
          <w:rFonts w:ascii="Arial" w:hAnsi="Arial" w:cs="Arial"/>
          <w:sz w:val="22"/>
          <w:szCs w:val="22"/>
        </w:rPr>
        <w:t>előírásoknak megfelelően. A 202</w:t>
      </w:r>
      <w:r w:rsidR="00E23390">
        <w:rPr>
          <w:rFonts w:ascii="Arial" w:hAnsi="Arial" w:cs="Arial"/>
          <w:sz w:val="22"/>
          <w:szCs w:val="22"/>
        </w:rPr>
        <w:t>5</w:t>
      </w:r>
      <w:r w:rsidRPr="00BC0246">
        <w:rPr>
          <w:rFonts w:ascii="Arial" w:hAnsi="Arial" w:cs="Arial"/>
          <w:sz w:val="22"/>
          <w:szCs w:val="22"/>
        </w:rPr>
        <w:t xml:space="preserve">. évihez képest </w:t>
      </w:r>
      <w:r w:rsidR="00C45C6A" w:rsidRPr="00BC0246">
        <w:rPr>
          <w:rFonts w:ascii="Arial" w:hAnsi="Arial" w:cs="Arial"/>
          <w:sz w:val="22"/>
          <w:szCs w:val="22"/>
        </w:rPr>
        <w:t>a mértéke nem változott, továbbra 13 %.</w:t>
      </w:r>
    </w:p>
    <w:p w14:paraId="1F8A3C96" w14:textId="77777777" w:rsidR="006325C2" w:rsidRPr="00BC0246" w:rsidRDefault="006325C2" w:rsidP="00576D84">
      <w:pPr>
        <w:spacing w:line="276" w:lineRule="auto"/>
        <w:jc w:val="both"/>
        <w:rPr>
          <w:rFonts w:ascii="Arial" w:hAnsi="Arial" w:cs="Arial"/>
          <w:sz w:val="22"/>
          <w:szCs w:val="22"/>
        </w:rPr>
      </w:pPr>
    </w:p>
    <w:p w14:paraId="52B4520D" w14:textId="1253CB5E" w:rsidR="00217B03" w:rsidRPr="0011001D" w:rsidRDefault="00BF58A4" w:rsidP="00576D84">
      <w:pPr>
        <w:spacing w:line="276" w:lineRule="auto"/>
        <w:jc w:val="both"/>
        <w:rPr>
          <w:rFonts w:ascii="Arial" w:hAnsi="Arial" w:cs="Arial"/>
          <w:bCs/>
          <w:sz w:val="22"/>
          <w:szCs w:val="22"/>
        </w:rPr>
      </w:pPr>
      <w:r w:rsidRPr="0011001D">
        <w:rPr>
          <w:rFonts w:ascii="Arial" w:hAnsi="Arial" w:cs="Arial"/>
          <w:b/>
          <w:sz w:val="22"/>
          <w:szCs w:val="22"/>
          <w:u w:val="single"/>
        </w:rPr>
        <w:t>A d</w:t>
      </w:r>
      <w:r w:rsidR="006325C2" w:rsidRPr="0011001D">
        <w:rPr>
          <w:rFonts w:ascii="Arial" w:hAnsi="Arial" w:cs="Arial"/>
          <w:b/>
          <w:sz w:val="22"/>
          <w:szCs w:val="22"/>
          <w:u w:val="single"/>
        </w:rPr>
        <w:t>ologi kiadások</w:t>
      </w:r>
      <w:r w:rsidRPr="0011001D">
        <w:rPr>
          <w:rFonts w:ascii="Arial" w:hAnsi="Arial" w:cs="Arial"/>
          <w:b/>
          <w:sz w:val="22"/>
          <w:szCs w:val="22"/>
          <w:u w:val="single"/>
        </w:rPr>
        <w:t xml:space="preserve"> </w:t>
      </w:r>
      <w:proofErr w:type="gramStart"/>
      <w:r w:rsidRPr="0011001D">
        <w:rPr>
          <w:rFonts w:ascii="Arial" w:hAnsi="Arial" w:cs="Arial"/>
          <w:b/>
          <w:sz w:val="22"/>
          <w:szCs w:val="22"/>
          <w:u w:val="single"/>
        </w:rPr>
        <w:t>előirányzata</w:t>
      </w:r>
      <w:r w:rsidR="002E4DE9" w:rsidRPr="0011001D">
        <w:rPr>
          <w:rFonts w:ascii="Arial" w:hAnsi="Arial" w:cs="Arial"/>
          <w:sz w:val="22"/>
          <w:szCs w:val="22"/>
          <w:u w:val="single"/>
        </w:rPr>
        <w:t xml:space="preserve"> </w:t>
      </w:r>
      <w:r w:rsidR="00C96F0D" w:rsidRPr="0011001D">
        <w:rPr>
          <w:rFonts w:ascii="Arial" w:hAnsi="Arial" w:cs="Arial"/>
          <w:sz w:val="22"/>
          <w:szCs w:val="22"/>
          <w:u w:val="single"/>
        </w:rPr>
        <w:t xml:space="preserve"> </w:t>
      </w:r>
      <w:r w:rsidR="00C96F0D" w:rsidRPr="0011001D">
        <w:rPr>
          <w:rFonts w:ascii="Arial" w:hAnsi="Arial" w:cs="Arial"/>
          <w:sz w:val="22"/>
          <w:szCs w:val="22"/>
        </w:rPr>
        <w:t>287</w:t>
      </w:r>
      <w:proofErr w:type="gramEnd"/>
      <w:r w:rsidR="00C96F0D" w:rsidRPr="0011001D">
        <w:rPr>
          <w:rFonts w:ascii="Arial" w:hAnsi="Arial" w:cs="Arial"/>
          <w:sz w:val="22"/>
          <w:szCs w:val="22"/>
        </w:rPr>
        <w:t> 626 139 Ft</w:t>
      </w:r>
      <w:r w:rsidR="0011001D">
        <w:rPr>
          <w:rFonts w:ascii="Arial" w:hAnsi="Arial" w:cs="Arial"/>
          <w:bCs/>
          <w:sz w:val="22"/>
          <w:szCs w:val="22"/>
        </w:rPr>
        <w:t xml:space="preserve">, ami </w:t>
      </w:r>
      <w:r w:rsidR="00CF4253" w:rsidRPr="0011001D">
        <w:rPr>
          <w:rFonts w:ascii="Arial" w:hAnsi="Arial" w:cs="Arial"/>
          <w:bCs/>
          <w:sz w:val="22"/>
          <w:szCs w:val="22"/>
        </w:rPr>
        <w:t xml:space="preserve">mintegy </w:t>
      </w:r>
      <w:r w:rsidR="00C96F0D" w:rsidRPr="0011001D">
        <w:rPr>
          <w:rFonts w:ascii="Arial" w:hAnsi="Arial" w:cs="Arial"/>
          <w:bCs/>
          <w:sz w:val="22"/>
          <w:szCs w:val="22"/>
        </w:rPr>
        <w:t>40,7</w:t>
      </w:r>
      <w:r w:rsidR="005D066F" w:rsidRPr="0011001D">
        <w:rPr>
          <w:rFonts w:ascii="Arial" w:hAnsi="Arial" w:cs="Arial"/>
          <w:bCs/>
          <w:sz w:val="22"/>
          <w:szCs w:val="22"/>
        </w:rPr>
        <w:t xml:space="preserve"> millió Ft-tal magasabb az előző évi eredeti előirányzatnál. </w:t>
      </w:r>
      <w:r w:rsidR="00217B03" w:rsidRPr="0011001D">
        <w:rPr>
          <w:rFonts w:ascii="Arial" w:hAnsi="Arial" w:cs="Arial"/>
          <w:bCs/>
          <w:sz w:val="22"/>
          <w:szCs w:val="22"/>
        </w:rPr>
        <w:t>Bátaszék Város Önkormányzatánál</w:t>
      </w:r>
      <w:r w:rsidR="00C96F0D" w:rsidRPr="0011001D">
        <w:rPr>
          <w:rFonts w:ascii="Arial" w:hAnsi="Arial" w:cs="Arial"/>
          <w:bCs/>
          <w:sz w:val="22"/>
          <w:szCs w:val="22"/>
        </w:rPr>
        <w:t xml:space="preserve"> 198 707 287 Ft (az előző évi eredetileg tervezett: </w:t>
      </w:r>
      <w:r w:rsidR="00CF4253" w:rsidRPr="0011001D">
        <w:rPr>
          <w:rFonts w:ascii="Arial" w:hAnsi="Arial" w:cs="Arial"/>
          <w:bCs/>
          <w:sz w:val="22"/>
          <w:szCs w:val="22"/>
        </w:rPr>
        <w:t>185 002 814</w:t>
      </w:r>
      <w:r w:rsidR="00217B03" w:rsidRPr="0011001D">
        <w:rPr>
          <w:rFonts w:ascii="Arial" w:hAnsi="Arial" w:cs="Arial"/>
          <w:bCs/>
          <w:sz w:val="22"/>
          <w:szCs w:val="22"/>
        </w:rPr>
        <w:t xml:space="preserve"> Ft</w:t>
      </w:r>
      <w:r w:rsidR="00C96F0D" w:rsidRPr="0011001D">
        <w:rPr>
          <w:rFonts w:ascii="Arial" w:hAnsi="Arial" w:cs="Arial"/>
          <w:bCs/>
          <w:sz w:val="22"/>
          <w:szCs w:val="22"/>
        </w:rPr>
        <w:t>)</w:t>
      </w:r>
      <w:r w:rsidR="00217B03" w:rsidRPr="0011001D">
        <w:rPr>
          <w:rFonts w:ascii="Arial" w:hAnsi="Arial" w:cs="Arial"/>
          <w:bCs/>
          <w:sz w:val="22"/>
          <w:szCs w:val="22"/>
        </w:rPr>
        <w:t>, a KÖH-</w:t>
      </w:r>
      <w:proofErr w:type="spellStart"/>
      <w:r w:rsidR="00217B03" w:rsidRPr="0011001D">
        <w:rPr>
          <w:rFonts w:ascii="Arial" w:hAnsi="Arial" w:cs="Arial"/>
          <w:bCs/>
          <w:sz w:val="22"/>
          <w:szCs w:val="22"/>
        </w:rPr>
        <w:t>nél</w:t>
      </w:r>
      <w:proofErr w:type="spellEnd"/>
      <w:r w:rsidR="00217B03" w:rsidRPr="0011001D">
        <w:rPr>
          <w:rFonts w:ascii="Arial" w:hAnsi="Arial" w:cs="Arial"/>
          <w:bCs/>
          <w:sz w:val="22"/>
          <w:szCs w:val="22"/>
        </w:rPr>
        <w:t xml:space="preserve"> </w:t>
      </w:r>
      <w:r w:rsidR="00C96F0D" w:rsidRPr="0011001D">
        <w:rPr>
          <w:rFonts w:ascii="Arial" w:hAnsi="Arial" w:cs="Arial"/>
          <w:bCs/>
          <w:sz w:val="22"/>
          <w:szCs w:val="22"/>
        </w:rPr>
        <w:t xml:space="preserve">79 079 852 (az előző évben eredetileg tervezett: </w:t>
      </w:r>
      <w:r w:rsidR="005D066F" w:rsidRPr="0011001D">
        <w:rPr>
          <w:rFonts w:ascii="Arial" w:hAnsi="Arial" w:cs="Arial"/>
          <w:bCs/>
          <w:sz w:val="22"/>
          <w:szCs w:val="22"/>
        </w:rPr>
        <w:t>52 322 867</w:t>
      </w:r>
      <w:r w:rsidR="00217B03" w:rsidRPr="0011001D">
        <w:rPr>
          <w:rFonts w:ascii="Arial" w:hAnsi="Arial" w:cs="Arial"/>
          <w:bCs/>
          <w:sz w:val="22"/>
          <w:szCs w:val="22"/>
        </w:rPr>
        <w:t xml:space="preserve"> Ft</w:t>
      </w:r>
      <w:r w:rsidR="00C96F0D" w:rsidRPr="0011001D">
        <w:rPr>
          <w:rFonts w:ascii="Arial" w:hAnsi="Arial" w:cs="Arial"/>
          <w:bCs/>
          <w:sz w:val="22"/>
          <w:szCs w:val="22"/>
        </w:rPr>
        <w:t>)</w:t>
      </w:r>
      <w:r w:rsidR="00217B03" w:rsidRPr="0011001D">
        <w:rPr>
          <w:rFonts w:ascii="Arial" w:hAnsi="Arial" w:cs="Arial"/>
          <w:bCs/>
          <w:sz w:val="22"/>
          <w:szCs w:val="22"/>
        </w:rPr>
        <w:t>, a Keresztély Gyula Könyvtárnál</w:t>
      </w:r>
      <w:r w:rsidR="00C96F0D" w:rsidRPr="0011001D">
        <w:rPr>
          <w:rFonts w:ascii="Arial" w:hAnsi="Arial" w:cs="Arial"/>
          <w:bCs/>
          <w:sz w:val="22"/>
          <w:szCs w:val="22"/>
        </w:rPr>
        <w:t xml:space="preserve"> 9 839 000 Ft (az előző évben eredetileg tervezett összeg:</w:t>
      </w:r>
      <w:r w:rsidR="00217B03" w:rsidRPr="0011001D">
        <w:rPr>
          <w:rFonts w:ascii="Arial" w:hAnsi="Arial" w:cs="Arial"/>
          <w:bCs/>
          <w:sz w:val="22"/>
          <w:szCs w:val="22"/>
        </w:rPr>
        <w:t xml:space="preserve"> </w:t>
      </w:r>
      <w:r w:rsidR="005D066F" w:rsidRPr="0011001D">
        <w:rPr>
          <w:rFonts w:ascii="Arial" w:hAnsi="Arial" w:cs="Arial"/>
          <w:bCs/>
          <w:sz w:val="22"/>
          <w:szCs w:val="22"/>
        </w:rPr>
        <w:t>9 530 000</w:t>
      </w:r>
      <w:r w:rsidR="00217B03" w:rsidRPr="0011001D">
        <w:rPr>
          <w:rFonts w:ascii="Arial" w:hAnsi="Arial" w:cs="Arial"/>
          <w:bCs/>
          <w:sz w:val="22"/>
          <w:szCs w:val="22"/>
        </w:rPr>
        <w:t xml:space="preserve"> Ft</w:t>
      </w:r>
      <w:r w:rsidR="00C96F0D" w:rsidRPr="0011001D">
        <w:rPr>
          <w:rFonts w:ascii="Arial" w:hAnsi="Arial" w:cs="Arial"/>
          <w:bCs/>
          <w:sz w:val="22"/>
          <w:szCs w:val="22"/>
        </w:rPr>
        <w:t>)</w:t>
      </w:r>
      <w:r w:rsidR="00217B03" w:rsidRPr="0011001D">
        <w:rPr>
          <w:rFonts w:ascii="Arial" w:hAnsi="Arial" w:cs="Arial"/>
          <w:bCs/>
          <w:sz w:val="22"/>
          <w:szCs w:val="22"/>
        </w:rPr>
        <w:t xml:space="preserve"> dologi kiadás került számba vételre.</w:t>
      </w:r>
    </w:p>
    <w:p w14:paraId="5ABE0266" w14:textId="22D275D2" w:rsidR="00E344C4" w:rsidRPr="005D066F" w:rsidRDefault="003564FA" w:rsidP="00576D84">
      <w:pPr>
        <w:spacing w:line="276" w:lineRule="auto"/>
        <w:jc w:val="both"/>
        <w:rPr>
          <w:rFonts w:ascii="Arial" w:hAnsi="Arial" w:cs="Arial"/>
          <w:sz w:val="22"/>
          <w:szCs w:val="22"/>
        </w:rPr>
      </w:pPr>
      <w:r w:rsidRPr="005D066F">
        <w:rPr>
          <w:rFonts w:ascii="Arial" w:hAnsi="Arial" w:cs="Arial"/>
          <w:sz w:val="22"/>
          <w:szCs w:val="22"/>
        </w:rPr>
        <w:t xml:space="preserve">A dologi kiadások tervezésénél </w:t>
      </w:r>
      <w:r w:rsidR="005D066F" w:rsidRPr="005D066F">
        <w:rPr>
          <w:rFonts w:ascii="Arial" w:hAnsi="Arial" w:cs="Arial"/>
          <w:sz w:val="22"/>
          <w:szCs w:val="22"/>
        </w:rPr>
        <w:t xml:space="preserve">a szolgáltatók által közölt emeléssel, egyéb esetben </w:t>
      </w:r>
      <w:r w:rsidRPr="005D066F">
        <w:rPr>
          <w:rFonts w:ascii="Arial" w:hAnsi="Arial" w:cs="Arial"/>
          <w:sz w:val="22"/>
          <w:szCs w:val="22"/>
        </w:rPr>
        <w:t xml:space="preserve">az előző évi tényadatok figyelembevételével átlagosan </w:t>
      </w:r>
      <w:r w:rsidR="00C96F0D">
        <w:rPr>
          <w:rFonts w:ascii="Arial" w:hAnsi="Arial" w:cs="Arial"/>
          <w:sz w:val="22"/>
          <w:szCs w:val="22"/>
        </w:rPr>
        <w:t>5</w:t>
      </w:r>
      <w:r w:rsidR="005D066F" w:rsidRPr="005D066F">
        <w:rPr>
          <w:rFonts w:ascii="Arial" w:hAnsi="Arial" w:cs="Arial"/>
          <w:sz w:val="22"/>
          <w:szCs w:val="22"/>
        </w:rPr>
        <w:t xml:space="preserve"> </w:t>
      </w:r>
      <w:r w:rsidRPr="005D066F">
        <w:rPr>
          <w:rFonts w:ascii="Arial" w:hAnsi="Arial" w:cs="Arial"/>
          <w:sz w:val="22"/>
          <w:szCs w:val="22"/>
        </w:rPr>
        <w:t xml:space="preserve">% mértékű emelkedéssel </w:t>
      </w:r>
      <w:proofErr w:type="gramStart"/>
      <w:r w:rsidRPr="005D066F">
        <w:rPr>
          <w:rFonts w:ascii="Arial" w:hAnsi="Arial" w:cs="Arial"/>
          <w:sz w:val="22"/>
          <w:szCs w:val="22"/>
        </w:rPr>
        <w:t>kalkuláltunk</w:t>
      </w:r>
      <w:proofErr w:type="gramEnd"/>
      <w:r w:rsidR="00730CE6" w:rsidRPr="005D066F">
        <w:rPr>
          <w:rFonts w:ascii="Arial" w:hAnsi="Arial" w:cs="Arial"/>
          <w:sz w:val="22"/>
          <w:szCs w:val="22"/>
        </w:rPr>
        <w:t xml:space="preserve">, </w:t>
      </w:r>
      <w:r w:rsidRPr="005D066F">
        <w:rPr>
          <w:rFonts w:ascii="Arial" w:hAnsi="Arial" w:cs="Arial"/>
          <w:sz w:val="22"/>
          <w:szCs w:val="22"/>
        </w:rPr>
        <w:t xml:space="preserve">de az energiaköltségek vonatkozásában a becsült fogyasztás alapján az ismert, járulékos költségekkel növelt árakkal számoltunk. </w:t>
      </w:r>
      <w:r w:rsidR="004A6A28" w:rsidRPr="005D066F">
        <w:rPr>
          <w:rFonts w:ascii="Arial" w:hAnsi="Arial" w:cs="Arial"/>
          <w:sz w:val="22"/>
          <w:szCs w:val="22"/>
        </w:rPr>
        <w:t>Az ez évi költségvetésben fedezetet kell biztosítanunk az előző évről áthúzó</w:t>
      </w:r>
      <w:r w:rsidR="008D1292">
        <w:rPr>
          <w:rFonts w:ascii="Arial" w:hAnsi="Arial" w:cs="Arial"/>
          <w:sz w:val="22"/>
          <w:szCs w:val="22"/>
        </w:rPr>
        <w:t>d</w:t>
      </w:r>
      <w:r w:rsidR="004A6A28" w:rsidRPr="005D066F">
        <w:rPr>
          <w:rFonts w:ascii="Arial" w:hAnsi="Arial" w:cs="Arial"/>
          <w:sz w:val="22"/>
          <w:szCs w:val="22"/>
        </w:rPr>
        <w:t xml:space="preserve">ó, le nem számlázott kötelezettségekre is. </w:t>
      </w:r>
    </w:p>
    <w:p w14:paraId="229BBC98" w14:textId="77777777" w:rsidR="0011001D" w:rsidRDefault="0011001D" w:rsidP="006325C2">
      <w:pPr>
        <w:spacing w:before="120"/>
        <w:jc w:val="both"/>
        <w:rPr>
          <w:rFonts w:ascii="Arial" w:hAnsi="Arial" w:cs="Arial"/>
          <w:b/>
          <w:sz w:val="22"/>
          <w:szCs w:val="22"/>
          <w:highlight w:val="yellow"/>
          <w:u w:val="single"/>
        </w:rPr>
      </w:pPr>
    </w:p>
    <w:p w14:paraId="7AA5FB77" w14:textId="33AD8388" w:rsidR="006325C2" w:rsidRPr="00576D84" w:rsidRDefault="00217B03" w:rsidP="006325C2">
      <w:pPr>
        <w:spacing w:before="120"/>
        <w:jc w:val="both"/>
        <w:rPr>
          <w:rFonts w:ascii="Arial" w:hAnsi="Arial" w:cs="Arial"/>
          <w:b/>
          <w:sz w:val="22"/>
          <w:szCs w:val="22"/>
          <w:u w:val="single"/>
        </w:rPr>
      </w:pPr>
      <w:r w:rsidRPr="00576D84">
        <w:rPr>
          <w:rFonts w:ascii="Arial" w:hAnsi="Arial" w:cs="Arial"/>
          <w:b/>
          <w:sz w:val="22"/>
          <w:szCs w:val="22"/>
          <w:u w:val="single"/>
        </w:rPr>
        <w:t xml:space="preserve">Bátaszék Város </w:t>
      </w:r>
      <w:r w:rsidR="006325C2" w:rsidRPr="00576D84">
        <w:rPr>
          <w:rFonts w:ascii="Arial" w:hAnsi="Arial" w:cs="Arial"/>
          <w:b/>
          <w:sz w:val="22"/>
          <w:szCs w:val="22"/>
          <w:u w:val="single"/>
        </w:rPr>
        <w:t>költségvetés</w:t>
      </w:r>
      <w:r w:rsidRPr="00576D84">
        <w:rPr>
          <w:rFonts w:ascii="Arial" w:hAnsi="Arial" w:cs="Arial"/>
          <w:b/>
          <w:sz w:val="22"/>
          <w:szCs w:val="22"/>
          <w:u w:val="single"/>
        </w:rPr>
        <w:t>é</w:t>
      </w:r>
      <w:r w:rsidR="006325C2" w:rsidRPr="00576D84">
        <w:rPr>
          <w:rFonts w:ascii="Arial" w:hAnsi="Arial" w:cs="Arial"/>
          <w:b/>
          <w:sz w:val="22"/>
          <w:szCs w:val="22"/>
          <w:u w:val="single"/>
        </w:rPr>
        <w:t>ben jóváhagyásra javasolt városüzemeltetési dologi kiadások:</w:t>
      </w:r>
    </w:p>
    <w:p w14:paraId="447F93EB" w14:textId="77777777" w:rsidR="00200C1F" w:rsidRPr="00576D84" w:rsidRDefault="00200C1F" w:rsidP="006325C2">
      <w:pPr>
        <w:spacing w:before="120"/>
        <w:jc w:val="both"/>
        <w:rPr>
          <w:rFonts w:ascii="Arial" w:hAnsi="Arial" w:cs="Arial"/>
          <w:b/>
          <w:sz w:val="22"/>
          <w:szCs w:val="22"/>
          <w:u w:val="single"/>
        </w:rPr>
      </w:pPr>
    </w:p>
    <w:p w14:paraId="046112E2" w14:textId="77777777" w:rsidR="00200C1F" w:rsidRPr="00576D84" w:rsidRDefault="00200C1F" w:rsidP="00200C1F">
      <w:pPr>
        <w:pStyle w:val="Listaszerbekezds"/>
        <w:numPr>
          <w:ilvl w:val="0"/>
          <w:numId w:val="17"/>
        </w:numPr>
        <w:ind w:left="502"/>
        <w:jc w:val="both"/>
        <w:rPr>
          <w:rFonts w:ascii="Arial" w:hAnsi="Arial" w:cs="Arial"/>
          <w:sz w:val="22"/>
          <w:szCs w:val="22"/>
        </w:rPr>
      </w:pPr>
      <w:r w:rsidRPr="00576D84">
        <w:rPr>
          <w:rFonts w:ascii="Arial" w:hAnsi="Arial" w:cs="Arial"/>
          <w:sz w:val="22"/>
          <w:szCs w:val="22"/>
        </w:rPr>
        <w:t xml:space="preserve">utcabútorok </w:t>
      </w:r>
      <w:r w:rsidRPr="00576D84">
        <w:rPr>
          <w:rFonts w:ascii="Arial" w:hAnsi="Arial" w:cs="Arial"/>
          <w:i/>
          <w:sz w:val="22"/>
          <w:szCs w:val="22"/>
        </w:rPr>
        <w:t>(kukák, biciklitárolók, padok</w:t>
      </w:r>
      <w:proofErr w:type="gramStart"/>
      <w:r w:rsidRPr="00576D84">
        <w:rPr>
          <w:rFonts w:ascii="Arial" w:hAnsi="Arial" w:cs="Arial"/>
          <w:i/>
          <w:sz w:val="22"/>
          <w:szCs w:val="22"/>
        </w:rPr>
        <w:t>)</w:t>
      </w:r>
      <w:r w:rsidRPr="00576D84">
        <w:rPr>
          <w:rFonts w:ascii="Arial" w:hAnsi="Arial" w:cs="Arial"/>
          <w:i/>
          <w:sz w:val="22"/>
          <w:szCs w:val="22"/>
        </w:rPr>
        <w:tab/>
      </w:r>
      <w:r w:rsidRPr="00576D84">
        <w:rPr>
          <w:rFonts w:ascii="Arial" w:hAnsi="Arial" w:cs="Arial"/>
          <w:i/>
          <w:sz w:val="22"/>
          <w:szCs w:val="22"/>
        </w:rPr>
        <w:tab/>
      </w:r>
      <w:r w:rsidRPr="00576D84">
        <w:rPr>
          <w:rFonts w:ascii="Arial" w:hAnsi="Arial" w:cs="Arial"/>
          <w:i/>
          <w:sz w:val="22"/>
          <w:szCs w:val="22"/>
        </w:rPr>
        <w:tab/>
      </w:r>
      <w:r w:rsidRPr="00576D84">
        <w:rPr>
          <w:rFonts w:ascii="Arial" w:hAnsi="Arial" w:cs="Arial"/>
          <w:i/>
          <w:sz w:val="22"/>
          <w:szCs w:val="22"/>
        </w:rPr>
        <w:tab/>
      </w:r>
      <w:r w:rsidRPr="00576D84">
        <w:rPr>
          <w:rFonts w:ascii="Arial" w:hAnsi="Arial" w:cs="Arial"/>
          <w:i/>
          <w:sz w:val="22"/>
          <w:szCs w:val="22"/>
        </w:rPr>
        <w:tab/>
        <w:t xml:space="preserve">   </w:t>
      </w:r>
      <w:r w:rsidRPr="00576D84">
        <w:rPr>
          <w:rFonts w:ascii="Arial" w:hAnsi="Arial" w:cs="Arial"/>
          <w:sz w:val="22"/>
          <w:szCs w:val="22"/>
        </w:rPr>
        <w:t>500</w:t>
      </w:r>
      <w:proofErr w:type="gramEnd"/>
      <w:r w:rsidRPr="00576D84">
        <w:rPr>
          <w:rFonts w:ascii="Arial" w:hAnsi="Arial" w:cs="Arial"/>
          <w:sz w:val="22"/>
          <w:szCs w:val="22"/>
        </w:rPr>
        <w:t xml:space="preserve"> e Ft</w:t>
      </w:r>
    </w:p>
    <w:p w14:paraId="1B1E0986" w14:textId="44B88260" w:rsidR="00200C1F" w:rsidRPr="00576D84" w:rsidRDefault="00200C1F" w:rsidP="00200C1F">
      <w:pPr>
        <w:pStyle w:val="Listaszerbekezds"/>
        <w:numPr>
          <w:ilvl w:val="0"/>
          <w:numId w:val="17"/>
        </w:numPr>
        <w:ind w:left="502"/>
        <w:jc w:val="both"/>
        <w:rPr>
          <w:rFonts w:ascii="Arial" w:hAnsi="Arial" w:cs="Arial"/>
          <w:sz w:val="22"/>
          <w:szCs w:val="22"/>
        </w:rPr>
      </w:pPr>
      <w:r w:rsidRPr="00576D84">
        <w:rPr>
          <w:rFonts w:ascii="Arial" w:hAnsi="Arial" w:cs="Arial"/>
          <w:sz w:val="22"/>
          <w:szCs w:val="22"/>
        </w:rPr>
        <w:t xml:space="preserve">egyéb </w:t>
      </w:r>
      <w:proofErr w:type="spellStart"/>
      <w:r w:rsidRPr="00576D84">
        <w:rPr>
          <w:rFonts w:ascii="Arial" w:hAnsi="Arial" w:cs="Arial"/>
          <w:sz w:val="22"/>
          <w:szCs w:val="22"/>
        </w:rPr>
        <w:t>városüz</w:t>
      </w:r>
      <w:proofErr w:type="spellEnd"/>
      <w:r w:rsidRPr="00576D84">
        <w:rPr>
          <w:rFonts w:ascii="Arial" w:hAnsi="Arial" w:cs="Arial"/>
          <w:sz w:val="22"/>
          <w:szCs w:val="22"/>
        </w:rPr>
        <w:t xml:space="preserve">. feladatok </w:t>
      </w:r>
      <w:r w:rsidRPr="00576D84">
        <w:rPr>
          <w:rFonts w:ascii="Arial" w:hAnsi="Arial" w:cs="Arial"/>
          <w:i/>
          <w:sz w:val="22"/>
          <w:szCs w:val="22"/>
        </w:rPr>
        <w:t>(anyag költségek pl. mart aszfalt, zúzott kő</w:t>
      </w:r>
      <w:proofErr w:type="gramStart"/>
      <w:r w:rsidRPr="00576D84">
        <w:rPr>
          <w:rFonts w:ascii="Arial" w:hAnsi="Arial" w:cs="Arial"/>
          <w:i/>
          <w:sz w:val="22"/>
          <w:szCs w:val="22"/>
        </w:rPr>
        <w:t>)</w:t>
      </w:r>
      <w:r w:rsidR="00DF7D1C" w:rsidRPr="00576D84">
        <w:rPr>
          <w:rFonts w:ascii="Arial" w:hAnsi="Arial" w:cs="Arial"/>
          <w:i/>
          <w:sz w:val="22"/>
          <w:szCs w:val="22"/>
        </w:rPr>
        <w:t xml:space="preserve">         </w:t>
      </w:r>
      <w:r w:rsidR="00C96F0D" w:rsidRPr="00576D84">
        <w:rPr>
          <w:rFonts w:ascii="Arial" w:hAnsi="Arial" w:cs="Arial"/>
          <w:sz w:val="22"/>
          <w:szCs w:val="22"/>
        </w:rPr>
        <w:t>2</w:t>
      </w:r>
      <w:proofErr w:type="gramEnd"/>
      <w:r w:rsidR="00C96F0D" w:rsidRPr="00576D84">
        <w:rPr>
          <w:rFonts w:ascii="Arial" w:hAnsi="Arial" w:cs="Arial"/>
          <w:sz w:val="22"/>
          <w:szCs w:val="22"/>
        </w:rPr>
        <w:t>.5</w:t>
      </w:r>
      <w:r w:rsidR="00DF7D1C" w:rsidRPr="00576D84">
        <w:rPr>
          <w:rFonts w:ascii="Arial" w:hAnsi="Arial" w:cs="Arial"/>
          <w:sz w:val="22"/>
          <w:szCs w:val="22"/>
        </w:rPr>
        <w:t>00 e</w:t>
      </w:r>
      <w:r w:rsidRPr="00576D84">
        <w:rPr>
          <w:rFonts w:ascii="Arial" w:hAnsi="Arial" w:cs="Arial"/>
          <w:sz w:val="22"/>
          <w:szCs w:val="22"/>
        </w:rPr>
        <w:t xml:space="preserve"> Ft</w:t>
      </w:r>
    </w:p>
    <w:p w14:paraId="6A600D9A" w14:textId="21F1BAF0" w:rsidR="00200C1F" w:rsidRPr="00576D84" w:rsidRDefault="00200C1F" w:rsidP="00200C1F">
      <w:pPr>
        <w:pStyle w:val="Listaszerbekezds"/>
        <w:numPr>
          <w:ilvl w:val="0"/>
          <w:numId w:val="17"/>
        </w:numPr>
        <w:ind w:left="502"/>
        <w:jc w:val="both"/>
        <w:rPr>
          <w:rFonts w:ascii="Arial" w:hAnsi="Arial" w:cs="Arial"/>
          <w:sz w:val="22"/>
          <w:szCs w:val="22"/>
        </w:rPr>
      </w:pPr>
      <w:r w:rsidRPr="00576D84">
        <w:rPr>
          <w:rFonts w:ascii="Arial" w:hAnsi="Arial" w:cs="Arial"/>
          <w:sz w:val="22"/>
          <w:szCs w:val="22"/>
        </w:rPr>
        <w:t xml:space="preserve">karácsonyi világítás </w:t>
      </w:r>
      <w:r w:rsidRPr="00576D84">
        <w:rPr>
          <w:rFonts w:ascii="Arial" w:hAnsi="Arial" w:cs="Arial"/>
          <w:i/>
          <w:sz w:val="22"/>
          <w:szCs w:val="22"/>
        </w:rPr>
        <w:t>(fel és le szer</w:t>
      </w:r>
      <w:proofErr w:type="gramStart"/>
      <w:r w:rsidRPr="00576D84">
        <w:rPr>
          <w:rFonts w:ascii="Arial" w:hAnsi="Arial" w:cs="Arial"/>
          <w:i/>
          <w:sz w:val="22"/>
          <w:szCs w:val="22"/>
        </w:rPr>
        <w:t>.,</w:t>
      </w:r>
      <w:proofErr w:type="gramEnd"/>
      <w:r w:rsidRPr="00576D84">
        <w:rPr>
          <w:rFonts w:ascii="Arial" w:hAnsi="Arial" w:cs="Arial"/>
          <w:i/>
          <w:sz w:val="22"/>
          <w:szCs w:val="22"/>
        </w:rPr>
        <w:t xml:space="preserve"> érintésvédelmi kiépítés a fákon )   </w:t>
      </w:r>
      <w:r w:rsidRPr="00576D84">
        <w:rPr>
          <w:rFonts w:ascii="Arial" w:hAnsi="Arial" w:cs="Arial"/>
          <w:i/>
          <w:sz w:val="22"/>
          <w:szCs w:val="22"/>
        </w:rPr>
        <w:tab/>
      </w:r>
      <w:r w:rsidR="00576D84" w:rsidRPr="00576D84">
        <w:rPr>
          <w:rFonts w:ascii="Arial" w:hAnsi="Arial" w:cs="Arial"/>
          <w:sz w:val="22"/>
          <w:szCs w:val="22"/>
        </w:rPr>
        <w:t xml:space="preserve">1 </w:t>
      </w:r>
      <w:r w:rsidR="00C96F0D" w:rsidRPr="00576D84">
        <w:rPr>
          <w:rFonts w:ascii="Arial" w:hAnsi="Arial" w:cs="Arial"/>
          <w:sz w:val="22"/>
          <w:szCs w:val="22"/>
        </w:rPr>
        <w:t>2</w:t>
      </w:r>
      <w:r w:rsidRPr="00576D84">
        <w:rPr>
          <w:rFonts w:ascii="Arial" w:hAnsi="Arial" w:cs="Arial"/>
          <w:sz w:val="22"/>
          <w:szCs w:val="22"/>
        </w:rPr>
        <w:t>00 e Ft</w:t>
      </w:r>
    </w:p>
    <w:p w14:paraId="01F6C86E" w14:textId="32DBED1D" w:rsidR="00200C1F" w:rsidRPr="00576D84" w:rsidRDefault="00200C1F" w:rsidP="00200C1F">
      <w:pPr>
        <w:pStyle w:val="Listaszerbekezds"/>
        <w:numPr>
          <w:ilvl w:val="0"/>
          <w:numId w:val="17"/>
        </w:numPr>
        <w:ind w:left="502"/>
        <w:jc w:val="both"/>
        <w:rPr>
          <w:rFonts w:ascii="Arial" w:hAnsi="Arial" w:cs="Arial"/>
          <w:sz w:val="22"/>
          <w:szCs w:val="22"/>
        </w:rPr>
      </w:pPr>
      <w:proofErr w:type="spellStart"/>
      <w:r w:rsidRPr="00576D84">
        <w:rPr>
          <w:rFonts w:ascii="Arial" w:hAnsi="Arial" w:cs="Arial"/>
          <w:sz w:val="22"/>
          <w:szCs w:val="22"/>
        </w:rPr>
        <w:t>közvill</w:t>
      </w:r>
      <w:proofErr w:type="spellEnd"/>
      <w:r w:rsidRPr="00576D84">
        <w:rPr>
          <w:rFonts w:ascii="Arial" w:hAnsi="Arial" w:cs="Arial"/>
          <w:sz w:val="22"/>
          <w:szCs w:val="22"/>
        </w:rPr>
        <w:t xml:space="preserve">. hálózat üzemelt. </w:t>
      </w:r>
      <w:proofErr w:type="gramStart"/>
      <w:r w:rsidRPr="00576D84">
        <w:rPr>
          <w:rFonts w:ascii="Arial" w:hAnsi="Arial" w:cs="Arial"/>
          <w:sz w:val="22"/>
          <w:szCs w:val="22"/>
        </w:rPr>
        <w:t>szerződés</w:t>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t xml:space="preserve">   </w:t>
      </w:r>
      <w:r w:rsidRPr="00576D84">
        <w:rPr>
          <w:rFonts w:ascii="Arial" w:hAnsi="Arial" w:cs="Arial"/>
          <w:sz w:val="22"/>
          <w:szCs w:val="22"/>
        </w:rPr>
        <w:tab/>
        <w:t xml:space="preserve">            </w:t>
      </w:r>
      <w:r w:rsidR="00C96F0D" w:rsidRPr="00576D84">
        <w:rPr>
          <w:rFonts w:ascii="Arial" w:hAnsi="Arial" w:cs="Arial"/>
          <w:sz w:val="22"/>
          <w:szCs w:val="22"/>
        </w:rPr>
        <w:t>1</w:t>
      </w:r>
      <w:proofErr w:type="gramEnd"/>
      <w:r w:rsidR="00C96F0D" w:rsidRPr="00576D84">
        <w:rPr>
          <w:rFonts w:ascii="Arial" w:hAnsi="Arial" w:cs="Arial"/>
          <w:sz w:val="22"/>
          <w:szCs w:val="22"/>
        </w:rPr>
        <w:t xml:space="preserve"> </w:t>
      </w:r>
      <w:r w:rsidR="00576D84" w:rsidRPr="00576D84">
        <w:rPr>
          <w:rFonts w:ascii="Arial" w:hAnsi="Arial" w:cs="Arial"/>
          <w:sz w:val="22"/>
          <w:szCs w:val="22"/>
        </w:rPr>
        <w:t>494</w:t>
      </w:r>
      <w:r w:rsidRPr="00576D84">
        <w:rPr>
          <w:rFonts w:ascii="Arial" w:hAnsi="Arial" w:cs="Arial"/>
          <w:sz w:val="22"/>
          <w:szCs w:val="22"/>
        </w:rPr>
        <w:t xml:space="preserve"> e Ft  </w:t>
      </w:r>
    </w:p>
    <w:p w14:paraId="7373E49F" w14:textId="7C411988" w:rsidR="00200C1F" w:rsidRPr="00576D84" w:rsidRDefault="00200C1F" w:rsidP="00200C1F">
      <w:pPr>
        <w:pStyle w:val="Listaszerbekezds"/>
        <w:numPr>
          <w:ilvl w:val="0"/>
          <w:numId w:val="17"/>
        </w:numPr>
        <w:ind w:left="502"/>
        <w:jc w:val="both"/>
        <w:rPr>
          <w:rFonts w:ascii="Arial" w:hAnsi="Arial" w:cs="Arial"/>
          <w:sz w:val="22"/>
          <w:szCs w:val="22"/>
        </w:rPr>
      </w:pPr>
      <w:r w:rsidRPr="00576D84">
        <w:rPr>
          <w:rFonts w:ascii="Arial" w:hAnsi="Arial" w:cs="Arial"/>
          <w:sz w:val="22"/>
          <w:szCs w:val="22"/>
        </w:rPr>
        <w:t>hulladéklerakó monitoring</w:t>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00576D84" w:rsidRPr="00576D84">
        <w:rPr>
          <w:rFonts w:ascii="Arial" w:hAnsi="Arial" w:cs="Arial"/>
          <w:sz w:val="22"/>
          <w:szCs w:val="22"/>
        </w:rPr>
        <w:t>2 000</w:t>
      </w:r>
      <w:r w:rsidRPr="00576D84">
        <w:rPr>
          <w:rFonts w:ascii="Arial" w:hAnsi="Arial" w:cs="Arial"/>
          <w:sz w:val="22"/>
          <w:szCs w:val="22"/>
        </w:rPr>
        <w:t xml:space="preserve"> e Ft</w:t>
      </w:r>
    </w:p>
    <w:p w14:paraId="40169E9A" w14:textId="048A46AC" w:rsidR="00200C1F" w:rsidRPr="00576D84" w:rsidRDefault="00200C1F" w:rsidP="00200C1F">
      <w:pPr>
        <w:pStyle w:val="Listaszerbekezds"/>
        <w:numPr>
          <w:ilvl w:val="0"/>
          <w:numId w:val="17"/>
        </w:numPr>
        <w:ind w:left="502"/>
        <w:jc w:val="both"/>
        <w:rPr>
          <w:rFonts w:ascii="Arial" w:hAnsi="Arial" w:cs="Arial"/>
          <w:sz w:val="22"/>
          <w:szCs w:val="22"/>
        </w:rPr>
      </w:pPr>
      <w:proofErr w:type="spellStart"/>
      <w:r w:rsidRPr="00576D84">
        <w:rPr>
          <w:rFonts w:ascii="Arial" w:hAnsi="Arial" w:cs="Arial"/>
          <w:sz w:val="22"/>
          <w:szCs w:val="22"/>
        </w:rPr>
        <w:t>főépítészi</w:t>
      </w:r>
      <w:proofErr w:type="spellEnd"/>
      <w:r w:rsidRPr="00576D84">
        <w:rPr>
          <w:rFonts w:ascii="Arial" w:hAnsi="Arial" w:cs="Arial"/>
          <w:sz w:val="22"/>
          <w:szCs w:val="22"/>
        </w:rPr>
        <w:t xml:space="preserve"> tevékenység</w:t>
      </w:r>
      <w:r w:rsidRPr="00576D84">
        <w:rPr>
          <w:rFonts w:ascii="Arial" w:hAnsi="Arial" w:cs="Arial"/>
          <w:sz w:val="22"/>
          <w:szCs w:val="22"/>
        </w:rPr>
        <w:tab/>
      </w:r>
      <w:r w:rsidRPr="00576D84">
        <w:rPr>
          <w:rFonts w:ascii="Arial" w:hAnsi="Arial" w:cs="Arial"/>
          <w:sz w:val="22"/>
          <w:szCs w:val="22"/>
        </w:rPr>
        <w:tab/>
      </w:r>
      <w:r w:rsidR="002139D7">
        <w:rPr>
          <w:rFonts w:ascii="Arial" w:hAnsi="Arial" w:cs="Arial"/>
          <w:sz w:val="22"/>
          <w:szCs w:val="22"/>
        </w:rPr>
        <w:t xml:space="preserve">        </w:t>
      </w:r>
      <w:r w:rsidR="002139D7">
        <w:rPr>
          <w:rFonts w:ascii="Arial" w:hAnsi="Arial" w:cs="Arial"/>
          <w:sz w:val="22"/>
          <w:szCs w:val="22"/>
        </w:rPr>
        <w:tab/>
      </w:r>
      <w:r w:rsidR="002139D7">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t>2.400 e Ft</w:t>
      </w:r>
    </w:p>
    <w:p w14:paraId="3ECF47A5" w14:textId="5168ECF0" w:rsidR="00200C1F" w:rsidRPr="00576D84" w:rsidRDefault="00200C1F" w:rsidP="00200C1F">
      <w:pPr>
        <w:pStyle w:val="Listaszerbekezds"/>
        <w:numPr>
          <w:ilvl w:val="0"/>
          <w:numId w:val="17"/>
        </w:numPr>
        <w:ind w:left="502"/>
        <w:jc w:val="both"/>
        <w:rPr>
          <w:rFonts w:ascii="Arial" w:hAnsi="Arial" w:cs="Arial"/>
          <w:sz w:val="22"/>
          <w:szCs w:val="22"/>
        </w:rPr>
      </w:pPr>
      <w:r w:rsidRPr="00576D84">
        <w:rPr>
          <w:rFonts w:ascii="Arial" w:hAnsi="Arial" w:cs="Arial"/>
          <w:sz w:val="22"/>
          <w:szCs w:val="22"/>
        </w:rPr>
        <w:t xml:space="preserve">lakossági járda </w:t>
      </w:r>
      <w:proofErr w:type="gramStart"/>
      <w:r w:rsidRPr="00576D84">
        <w:rPr>
          <w:rFonts w:ascii="Arial" w:hAnsi="Arial" w:cs="Arial"/>
          <w:sz w:val="22"/>
          <w:szCs w:val="22"/>
        </w:rPr>
        <w:t xml:space="preserve">program               </w:t>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r>
      <w:r w:rsidRPr="00576D84">
        <w:rPr>
          <w:rFonts w:ascii="Arial" w:hAnsi="Arial" w:cs="Arial"/>
          <w:sz w:val="22"/>
          <w:szCs w:val="22"/>
        </w:rPr>
        <w:tab/>
        <w:t>2</w:t>
      </w:r>
      <w:proofErr w:type="gramEnd"/>
      <w:r w:rsidRPr="00576D84">
        <w:rPr>
          <w:rFonts w:ascii="Arial" w:hAnsi="Arial" w:cs="Arial"/>
          <w:sz w:val="22"/>
          <w:szCs w:val="22"/>
        </w:rPr>
        <w:t>.000 e Ft</w:t>
      </w:r>
    </w:p>
    <w:p w14:paraId="551C23D7" w14:textId="7B546C08" w:rsidR="00E57D87" w:rsidRPr="00003B13" w:rsidRDefault="00E57D87" w:rsidP="00003B13">
      <w:pPr>
        <w:jc w:val="both"/>
        <w:rPr>
          <w:rFonts w:ascii="Arial" w:hAnsi="Arial" w:cs="Arial"/>
          <w:sz w:val="22"/>
          <w:szCs w:val="22"/>
        </w:rPr>
      </w:pPr>
      <w:r w:rsidRPr="00003B13">
        <w:rPr>
          <w:rFonts w:ascii="Arial" w:hAnsi="Arial" w:cs="Arial"/>
          <w:b/>
          <w:sz w:val="22"/>
          <w:szCs w:val="22"/>
        </w:rPr>
        <w:tab/>
      </w:r>
    </w:p>
    <w:p w14:paraId="7BE90463" w14:textId="54699A1E" w:rsidR="006325C2" w:rsidRPr="00DF7D1C" w:rsidRDefault="006325C2" w:rsidP="00E57D87">
      <w:pPr>
        <w:jc w:val="both"/>
        <w:rPr>
          <w:rFonts w:ascii="Arial" w:hAnsi="Arial" w:cs="Arial"/>
          <w:b/>
          <w:sz w:val="22"/>
          <w:szCs w:val="22"/>
        </w:rPr>
      </w:pPr>
      <w:r w:rsidRPr="00DF7D1C">
        <w:rPr>
          <w:rFonts w:ascii="Arial" w:hAnsi="Arial" w:cs="Arial"/>
          <w:b/>
          <w:sz w:val="22"/>
          <w:szCs w:val="22"/>
        </w:rPr>
        <w:t>ÖSSZESEN</w:t>
      </w:r>
      <w:proofErr w:type="gramStart"/>
      <w:r w:rsidRPr="00DF7D1C">
        <w:rPr>
          <w:rFonts w:ascii="Arial" w:hAnsi="Arial" w:cs="Arial"/>
          <w:b/>
          <w:sz w:val="22"/>
          <w:szCs w:val="22"/>
        </w:rPr>
        <w:t>:</w:t>
      </w:r>
      <w:r w:rsidRPr="00DF7D1C">
        <w:rPr>
          <w:rFonts w:ascii="Arial" w:hAnsi="Arial" w:cs="Arial"/>
          <w:b/>
          <w:sz w:val="22"/>
          <w:szCs w:val="22"/>
        </w:rPr>
        <w:tab/>
      </w:r>
      <w:r w:rsidRPr="00DF7D1C">
        <w:rPr>
          <w:rFonts w:ascii="Arial" w:hAnsi="Arial" w:cs="Arial"/>
          <w:b/>
          <w:sz w:val="22"/>
          <w:szCs w:val="22"/>
        </w:rPr>
        <w:tab/>
      </w:r>
      <w:r w:rsidRPr="00DF7D1C">
        <w:rPr>
          <w:rFonts w:ascii="Arial" w:hAnsi="Arial" w:cs="Arial"/>
          <w:b/>
          <w:sz w:val="22"/>
          <w:szCs w:val="22"/>
        </w:rPr>
        <w:tab/>
      </w:r>
      <w:r w:rsidRPr="00DF7D1C">
        <w:rPr>
          <w:rFonts w:ascii="Arial" w:hAnsi="Arial" w:cs="Arial"/>
          <w:b/>
          <w:sz w:val="22"/>
          <w:szCs w:val="22"/>
        </w:rPr>
        <w:tab/>
      </w:r>
      <w:r w:rsidRPr="00DF7D1C">
        <w:rPr>
          <w:rFonts w:ascii="Arial" w:hAnsi="Arial" w:cs="Arial"/>
          <w:b/>
          <w:sz w:val="22"/>
          <w:szCs w:val="22"/>
        </w:rPr>
        <w:tab/>
      </w:r>
      <w:r w:rsidRPr="00DF7D1C">
        <w:rPr>
          <w:rFonts w:ascii="Arial" w:hAnsi="Arial" w:cs="Arial"/>
          <w:b/>
          <w:sz w:val="22"/>
          <w:szCs w:val="22"/>
        </w:rPr>
        <w:tab/>
      </w:r>
      <w:r w:rsidRPr="00DF7D1C">
        <w:rPr>
          <w:rFonts w:ascii="Arial" w:hAnsi="Arial" w:cs="Arial"/>
          <w:b/>
          <w:sz w:val="22"/>
          <w:szCs w:val="22"/>
        </w:rPr>
        <w:tab/>
        <w:t xml:space="preserve">       </w:t>
      </w:r>
      <w:r w:rsidR="00E57D87" w:rsidRPr="00DF7D1C">
        <w:rPr>
          <w:rFonts w:ascii="Arial" w:hAnsi="Arial" w:cs="Arial"/>
          <w:b/>
          <w:sz w:val="22"/>
          <w:szCs w:val="22"/>
        </w:rPr>
        <w:t xml:space="preserve">                          </w:t>
      </w:r>
      <w:r w:rsidR="002139D7">
        <w:rPr>
          <w:rFonts w:ascii="Arial" w:hAnsi="Arial" w:cs="Arial"/>
          <w:b/>
          <w:sz w:val="22"/>
          <w:szCs w:val="22"/>
        </w:rPr>
        <w:t>12</w:t>
      </w:r>
      <w:proofErr w:type="gramEnd"/>
      <w:r w:rsidR="002139D7">
        <w:rPr>
          <w:rFonts w:ascii="Arial" w:hAnsi="Arial" w:cs="Arial"/>
          <w:b/>
          <w:sz w:val="22"/>
          <w:szCs w:val="22"/>
        </w:rPr>
        <w:t xml:space="preserve"> 094</w:t>
      </w:r>
      <w:r w:rsidRPr="00DF7D1C">
        <w:rPr>
          <w:rFonts w:ascii="Arial" w:hAnsi="Arial" w:cs="Arial"/>
          <w:b/>
          <w:sz w:val="22"/>
          <w:szCs w:val="22"/>
        </w:rPr>
        <w:t xml:space="preserve"> e Ft</w:t>
      </w:r>
    </w:p>
    <w:p w14:paraId="455D1FFC" w14:textId="35C8E961" w:rsidR="00E344C4" w:rsidRPr="003D2E5D" w:rsidRDefault="00E344C4" w:rsidP="00E57D87">
      <w:pPr>
        <w:jc w:val="both"/>
        <w:rPr>
          <w:rFonts w:ascii="Arial" w:hAnsi="Arial" w:cs="Arial"/>
          <w:b/>
          <w:sz w:val="22"/>
          <w:szCs w:val="22"/>
        </w:rPr>
      </w:pPr>
    </w:p>
    <w:p w14:paraId="65BC2FD8" w14:textId="0D7F2AA6" w:rsidR="006F433B" w:rsidRPr="003D2E5D" w:rsidRDefault="003D2E5D" w:rsidP="00576D84">
      <w:pPr>
        <w:spacing w:line="276" w:lineRule="auto"/>
        <w:jc w:val="both"/>
        <w:rPr>
          <w:rFonts w:ascii="Arial" w:hAnsi="Arial" w:cs="Arial"/>
          <w:sz w:val="22"/>
          <w:szCs w:val="22"/>
        </w:rPr>
      </w:pPr>
      <w:r w:rsidRPr="003D2E5D">
        <w:rPr>
          <w:rFonts w:ascii="Arial" w:hAnsi="Arial" w:cs="Arial"/>
          <w:sz w:val="22"/>
          <w:szCs w:val="22"/>
        </w:rPr>
        <w:t xml:space="preserve">Az előző évhez hasonlóan vettük számításba az e jogcímen </w:t>
      </w:r>
      <w:proofErr w:type="gramStart"/>
      <w:r w:rsidRPr="003D2E5D">
        <w:rPr>
          <w:rFonts w:ascii="Arial" w:hAnsi="Arial" w:cs="Arial"/>
          <w:sz w:val="22"/>
          <w:szCs w:val="22"/>
        </w:rPr>
        <w:t>finanszírozandó</w:t>
      </w:r>
      <w:proofErr w:type="gramEnd"/>
      <w:r w:rsidRPr="003D2E5D">
        <w:rPr>
          <w:rFonts w:ascii="Arial" w:hAnsi="Arial" w:cs="Arial"/>
          <w:sz w:val="22"/>
          <w:szCs w:val="22"/>
        </w:rPr>
        <w:t xml:space="preserve"> feladatokat, számolunk többek között </w:t>
      </w:r>
      <w:r w:rsidR="00AE327E" w:rsidRPr="003D2E5D">
        <w:rPr>
          <w:rFonts w:ascii="Arial" w:hAnsi="Arial" w:cs="Arial"/>
          <w:sz w:val="22"/>
          <w:szCs w:val="22"/>
        </w:rPr>
        <w:t xml:space="preserve">a </w:t>
      </w:r>
      <w:proofErr w:type="spellStart"/>
      <w:r w:rsidR="00AE327E" w:rsidRPr="003D2E5D">
        <w:rPr>
          <w:rFonts w:ascii="Arial" w:hAnsi="Arial" w:cs="Arial"/>
          <w:sz w:val="22"/>
          <w:szCs w:val="22"/>
        </w:rPr>
        <w:t>főépítészi</w:t>
      </w:r>
      <w:proofErr w:type="spellEnd"/>
      <w:r w:rsidR="00AE327E" w:rsidRPr="003D2E5D">
        <w:rPr>
          <w:rFonts w:ascii="Arial" w:hAnsi="Arial" w:cs="Arial"/>
          <w:sz w:val="22"/>
          <w:szCs w:val="22"/>
        </w:rPr>
        <w:t xml:space="preserve"> tevékenység díj</w:t>
      </w:r>
      <w:r w:rsidR="00200C1F" w:rsidRPr="003D2E5D">
        <w:rPr>
          <w:rFonts w:ascii="Arial" w:hAnsi="Arial" w:cs="Arial"/>
          <w:sz w:val="22"/>
          <w:szCs w:val="22"/>
        </w:rPr>
        <w:t>á</w:t>
      </w:r>
      <w:r w:rsidRPr="003D2E5D">
        <w:rPr>
          <w:rFonts w:ascii="Arial" w:hAnsi="Arial" w:cs="Arial"/>
          <w:sz w:val="22"/>
          <w:szCs w:val="22"/>
        </w:rPr>
        <w:t>v</w:t>
      </w:r>
      <w:r>
        <w:rPr>
          <w:rFonts w:ascii="Arial" w:hAnsi="Arial" w:cs="Arial"/>
          <w:sz w:val="22"/>
          <w:szCs w:val="22"/>
        </w:rPr>
        <w:t>a</w:t>
      </w:r>
      <w:r w:rsidRPr="003D2E5D">
        <w:rPr>
          <w:rFonts w:ascii="Arial" w:hAnsi="Arial" w:cs="Arial"/>
          <w:sz w:val="22"/>
          <w:szCs w:val="22"/>
        </w:rPr>
        <w:t>l</w:t>
      </w:r>
      <w:r w:rsidR="00AE327E" w:rsidRPr="003D2E5D">
        <w:rPr>
          <w:rFonts w:ascii="Arial" w:hAnsi="Arial" w:cs="Arial"/>
          <w:sz w:val="22"/>
          <w:szCs w:val="22"/>
        </w:rPr>
        <w:t xml:space="preserve">, </w:t>
      </w:r>
      <w:r w:rsidR="006568D0" w:rsidRPr="003D2E5D">
        <w:rPr>
          <w:rFonts w:ascii="Arial" w:hAnsi="Arial" w:cs="Arial"/>
          <w:sz w:val="22"/>
          <w:szCs w:val="22"/>
        </w:rPr>
        <w:t xml:space="preserve">továbbá az </w:t>
      </w:r>
      <w:r w:rsidR="00AE327E" w:rsidRPr="003D2E5D">
        <w:rPr>
          <w:rFonts w:ascii="Arial" w:hAnsi="Arial" w:cs="Arial"/>
          <w:sz w:val="22"/>
          <w:szCs w:val="22"/>
        </w:rPr>
        <w:t>előző év</w:t>
      </w:r>
      <w:r w:rsidR="00200C1F" w:rsidRPr="003D2E5D">
        <w:rPr>
          <w:rFonts w:ascii="Arial" w:hAnsi="Arial" w:cs="Arial"/>
          <w:sz w:val="22"/>
          <w:szCs w:val="22"/>
        </w:rPr>
        <w:t>hez hasonlóan a lakossági járdaprogramra is</w:t>
      </w:r>
      <w:r w:rsidR="00C1525F" w:rsidRPr="003D2E5D">
        <w:rPr>
          <w:rFonts w:ascii="Arial" w:hAnsi="Arial" w:cs="Arial"/>
          <w:sz w:val="22"/>
          <w:szCs w:val="22"/>
        </w:rPr>
        <w:t xml:space="preserve"> biztosítunk</w:t>
      </w:r>
      <w:r w:rsidR="00AE327E" w:rsidRPr="003D2E5D">
        <w:rPr>
          <w:rFonts w:ascii="Arial" w:hAnsi="Arial" w:cs="Arial"/>
          <w:sz w:val="22"/>
          <w:szCs w:val="22"/>
        </w:rPr>
        <w:t xml:space="preserve"> </w:t>
      </w:r>
      <w:r w:rsidR="00200C1F" w:rsidRPr="003D2E5D">
        <w:rPr>
          <w:rFonts w:ascii="Arial" w:hAnsi="Arial" w:cs="Arial"/>
          <w:sz w:val="22"/>
          <w:szCs w:val="22"/>
        </w:rPr>
        <w:t>fedezetet.</w:t>
      </w:r>
    </w:p>
    <w:p w14:paraId="0EDFEAE5" w14:textId="77777777" w:rsidR="00844371" w:rsidRDefault="00844371" w:rsidP="00576D84">
      <w:pPr>
        <w:spacing w:line="276" w:lineRule="auto"/>
        <w:jc w:val="both"/>
        <w:rPr>
          <w:rFonts w:ascii="Arial" w:hAnsi="Arial" w:cs="Arial"/>
          <w:b/>
          <w:sz w:val="22"/>
          <w:szCs w:val="22"/>
          <w:u w:val="single"/>
        </w:rPr>
      </w:pPr>
    </w:p>
    <w:p w14:paraId="13A86C16" w14:textId="6376C8DB" w:rsidR="006325C2" w:rsidRPr="003D2E5D" w:rsidRDefault="00AE327E" w:rsidP="00576D84">
      <w:pPr>
        <w:spacing w:line="276" w:lineRule="auto"/>
        <w:jc w:val="both"/>
        <w:rPr>
          <w:rFonts w:ascii="Arial" w:hAnsi="Arial" w:cs="Arial"/>
          <w:sz w:val="22"/>
          <w:szCs w:val="22"/>
        </w:rPr>
      </w:pPr>
      <w:r w:rsidRPr="003D2E5D">
        <w:rPr>
          <w:rFonts w:ascii="Arial" w:hAnsi="Arial" w:cs="Arial"/>
          <w:b/>
          <w:sz w:val="22"/>
          <w:szCs w:val="22"/>
          <w:u w:val="single"/>
        </w:rPr>
        <w:t>Az e</w:t>
      </w:r>
      <w:r w:rsidR="006325C2" w:rsidRPr="003D2E5D">
        <w:rPr>
          <w:rFonts w:ascii="Arial" w:hAnsi="Arial" w:cs="Arial"/>
          <w:b/>
          <w:sz w:val="22"/>
          <w:szCs w:val="22"/>
          <w:u w:val="single"/>
        </w:rPr>
        <w:t>llátottak pénzbeli juttatásai</w:t>
      </w:r>
      <w:r w:rsidR="000C5EF6" w:rsidRPr="003D2E5D">
        <w:rPr>
          <w:rFonts w:ascii="Arial" w:hAnsi="Arial" w:cs="Arial"/>
          <w:b/>
          <w:sz w:val="22"/>
          <w:szCs w:val="22"/>
          <w:u w:val="single"/>
        </w:rPr>
        <w:t xml:space="preserve"> előirányzat összege</w:t>
      </w:r>
      <w:r w:rsidR="000C5EF6" w:rsidRPr="003D2E5D">
        <w:rPr>
          <w:b/>
        </w:rPr>
        <w:t xml:space="preserve"> </w:t>
      </w:r>
      <w:r w:rsidR="00436CA3" w:rsidRPr="00436CA3">
        <w:rPr>
          <w:rFonts w:ascii="Arial" w:hAnsi="Arial" w:cs="Arial"/>
          <w:b/>
          <w:sz w:val="22"/>
          <w:szCs w:val="22"/>
        </w:rPr>
        <w:t>18 285 000 Ft az előző évihez haszonló összeg</w:t>
      </w:r>
      <w:r w:rsidR="003D2E5D" w:rsidRPr="00436CA3">
        <w:rPr>
          <w:rFonts w:ascii="Arial" w:hAnsi="Arial" w:cs="Arial"/>
          <w:sz w:val="22"/>
          <w:szCs w:val="22"/>
        </w:rPr>
        <w:t>.</w:t>
      </w:r>
      <w:r w:rsidR="003D2E5D" w:rsidRPr="003D2E5D">
        <w:rPr>
          <w:rFonts w:ascii="Arial" w:hAnsi="Arial" w:cs="Arial"/>
          <w:sz w:val="22"/>
          <w:szCs w:val="22"/>
        </w:rPr>
        <w:t xml:space="preserve">  </w:t>
      </w:r>
      <w:r w:rsidR="003D2E5D" w:rsidRPr="0011001D">
        <w:rPr>
          <w:rFonts w:ascii="Arial" w:hAnsi="Arial" w:cs="Arial"/>
          <w:sz w:val="22"/>
          <w:szCs w:val="22"/>
        </w:rPr>
        <w:t>A</w:t>
      </w:r>
      <w:r w:rsidR="006325C2" w:rsidRPr="0011001D">
        <w:rPr>
          <w:rFonts w:ascii="Arial" w:hAnsi="Arial" w:cs="Arial"/>
          <w:sz w:val="22"/>
          <w:szCs w:val="22"/>
        </w:rPr>
        <w:t xml:space="preserve"> </w:t>
      </w:r>
      <w:r w:rsidR="0011001D" w:rsidRPr="0011001D">
        <w:rPr>
          <w:rFonts w:ascii="Arial" w:hAnsi="Arial" w:cs="Arial"/>
          <w:sz w:val="22"/>
          <w:szCs w:val="22"/>
        </w:rPr>
        <w:t>20.</w:t>
      </w:r>
      <w:r w:rsidR="006325C2" w:rsidRPr="0011001D">
        <w:rPr>
          <w:rFonts w:ascii="Arial" w:hAnsi="Arial" w:cs="Arial"/>
          <w:sz w:val="22"/>
          <w:szCs w:val="22"/>
        </w:rPr>
        <w:t xml:space="preserve"> melléklet </w:t>
      </w:r>
      <w:r w:rsidR="002750BE" w:rsidRPr="0011001D">
        <w:rPr>
          <w:rFonts w:ascii="Arial" w:hAnsi="Arial" w:cs="Arial"/>
          <w:sz w:val="22"/>
          <w:szCs w:val="22"/>
        </w:rPr>
        <w:t>részletesen</w:t>
      </w:r>
      <w:r w:rsidR="002750BE" w:rsidRPr="003D2E5D">
        <w:rPr>
          <w:rFonts w:ascii="Arial" w:hAnsi="Arial" w:cs="Arial"/>
          <w:sz w:val="22"/>
          <w:szCs w:val="22"/>
        </w:rPr>
        <w:t xml:space="preserve"> </w:t>
      </w:r>
      <w:r w:rsidR="00500E42" w:rsidRPr="003D2E5D">
        <w:rPr>
          <w:rFonts w:ascii="Arial" w:hAnsi="Arial" w:cs="Arial"/>
          <w:sz w:val="22"/>
          <w:szCs w:val="22"/>
        </w:rPr>
        <w:t>tartalmazza az egyes juttatások jogcímeit.</w:t>
      </w:r>
    </w:p>
    <w:p w14:paraId="151E9362" w14:textId="77777777" w:rsidR="005A3BA4" w:rsidRDefault="005A3BA4" w:rsidP="00576D84">
      <w:pPr>
        <w:spacing w:line="276" w:lineRule="auto"/>
        <w:jc w:val="both"/>
        <w:rPr>
          <w:rFonts w:ascii="Arial" w:hAnsi="Arial" w:cs="Arial"/>
          <w:b/>
          <w:sz w:val="22"/>
          <w:szCs w:val="22"/>
          <w:u w:val="single"/>
        </w:rPr>
      </w:pPr>
    </w:p>
    <w:p w14:paraId="0624F172" w14:textId="46C5CF64" w:rsidR="00617C75" w:rsidRPr="00936265" w:rsidRDefault="00500E42" w:rsidP="00576D84">
      <w:pPr>
        <w:spacing w:line="276" w:lineRule="auto"/>
        <w:jc w:val="both"/>
        <w:rPr>
          <w:rFonts w:ascii="Arial" w:hAnsi="Arial" w:cs="Arial"/>
          <w:b/>
          <w:sz w:val="22"/>
          <w:szCs w:val="22"/>
        </w:rPr>
      </w:pPr>
      <w:r w:rsidRPr="00FC631C">
        <w:rPr>
          <w:rFonts w:ascii="Arial" w:hAnsi="Arial" w:cs="Arial"/>
          <w:b/>
          <w:sz w:val="22"/>
          <w:szCs w:val="22"/>
          <w:u w:val="single"/>
        </w:rPr>
        <w:t>Az egyéb működési célú kiadások előirányzata</w:t>
      </w:r>
      <w:r w:rsidRPr="00FC631C">
        <w:rPr>
          <w:rFonts w:ascii="Arial" w:hAnsi="Arial" w:cs="Arial"/>
          <w:sz w:val="22"/>
          <w:szCs w:val="22"/>
        </w:rPr>
        <w:t xml:space="preserve"> </w:t>
      </w:r>
      <w:r w:rsidR="00436CA3">
        <w:rPr>
          <w:rFonts w:ascii="Arial" w:hAnsi="Arial" w:cs="Arial"/>
          <w:sz w:val="22"/>
          <w:szCs w:val="22"/>
        </w:rPr>
        <w:t>1</w:t>
      </w:r>
      <w:r w:rsidR="0011001D">
        <w:rPr>
          <w:rFonts w:ascii="Arial" w:hAnsi="Arial" w:cs="Arial"/>
          <w:sz w:val="22"/>
          <w:szCs w:val="22"/>
        </w:rPr>
        <w:t> 403 623 566</w:t>
      </w:r>
      <w:r w:rsidR="0024285D" w:rsidRPr="00FC631C">
        <w:rPr>
          <w:rFonts w:ascii="Arial" w:hAnsi="Arial" w:cs="Arial"/>
          <w:sz w:val="22"/>
          <w:szCs w:val="22"/>
        </w:rPr>
        <w:t xml:space="preserve"> </w:t>
      </w:r>
      <w:r w:rsidRPr="00FC631C">
        <w:rPr>
          <w:rFonts w:ascii="Arial" w:hAnsi="Arial" w:cs="Arial"/>
          <w:sz w:val="22"/>
          <w:szCs w:val="22"/>
        </w:rPr>
        <w:t xml:space="preserve">Ft. </w:t>
      </w:r>
      <w:r w:rsidR="006325C2" w:rsidRPr="00FC631C">
        <w:rPr>
          <w:rFonts w:ascii="Arial" w:hAnsi="Arial" w:cs="Arial"/>
          <w:sz w:val="22"/>
          <w:szCs w:val="22"/>
        </w:rPr>
        <w:t xml:space="preserve">Itt </w:t>
      </w:r>
      <w:r w:rsidR="00FC631C" w:rsidRPr="00FC631C">
        <w:rPr>
          <w:rFonts w:ascii="Arial" w:hAnsi="Arial" w:cs="Arial"/>
          <w:sz w:val="22"/>
          <w:szCs w:val="22"/>
        </w:rPr>
        <w:t>terveztük meg a</w:t>
      </w:r>
      <w:r w:rsidR="006325C2" w:rsidRPr="00FC631C">
        <w:rPr>
          <w:rFonts w:ascii="Arial" w:hAnsi="Arial" w:cs="Arial"/>
          <w:sz w:val="22"/>
          <w:szCs w:val="22"/>
        </w:rPr>
        <w:t xml:space="preserve"> </w:t>
      </w:r>
      <w:r w:rsidR="006325C2" w:rsidRPr="00E23390">
        <w:rPr>
          <w:rFonts w:ascii="Arial" w:hAnsi="Arial" w:cs="Arial"/>
          <w:sz w:val="22"/>
          <w:szCs w:val="22"/>
        </w:rPr>
        <w:t>szolidaritási hozzájárul</w:t>
      </w:r>
      <w:r w:rsidR="00E23390">
        <w:rPr>
          <w:rFonts w:ascii="Arial" w:hAnsi="Arial" w:cs="Arial"/>
          <w:sz w:val="22"/>
          <w:szCs w:val="22"/>
        </w:rPr>
        <w:t>ás</w:t>
      </w:r>
      <w:r w:rsidR="00936265">
        <w:rPr>
          <w:rFonts w:ascii="Arial" w:hAnsi="Arial" w:cs="Arial"/>
          <w:sz w:val="22"/>
          <w:szCs w:val="22"/>
        </w:rPr>
        <w:t xml:space="preserve"> 83 507 953 Ft összegét. </w:t>
      </w:r>
      <w:r w:rsidRPr="00FC631C">
        <w:rPr>
          <w:rFonts w:ascii="Arial" w:hAnsi="Arial" w:cs="Arial"/>
          <w:sz w:val="22"/>
          <w:szCs w:val="22"/>
        </w:rPr>
        <w:t>Ezen kívül</w:t>
      </w:r>
      <w:r w:rsidR="006325C2" w:rsidRPr="00FC631C">
        <w:rPr>
          <w:rFonts w:ascii="Arial" w:hAnsi="Arial" w:cs="Arial"/>
          <w:sz w:val="22"/>
          <w:szCs w:val="22"/>
        </w:rPr>
        <w:t xml:space="preserve"> itt jelennek meg az </w:t>
      </w:r>
      <w:r w:rsidR="006325C2" w:rsidRPr="005A3BA4">
        <w:rPr>
          <w:rFonts w:ascii="Arial" w:hAnsi="Arial" w:cs="Arial"/>
          <w:sz w:val="22"/>
          <w:szCs w:val="22"/>
          <w:u w:val="single"/>
        </w:rPr>
        <w:t>egyéb működési célú ÁH-</w:t>
      </w:r>
      <w:proofErr w:type="spellStart"/>
      <w:r w:rsidR="006325C2" w:rsidRPr="005A3BA4">
        <w:rPr>
          <w:rFonts w:ascii="Arial" w:hAnsi="Arial" w:cs="Arial"/>
          <w:sz w:val="22"/>
          <w:szCs w:val="22"/>
          <w:u w:val="single"/>
        </w:rPr>
        <w:t>on</w:t>
      </w:r>
      <w:proofErr w:type="spellEnd"/>
      <w:r w:rsidR="006325C2" w:rsidRPr="005A3BA4">
        <w:rPr>
          <w:rFonts w:ascii="Arial" w:hAnsi="Arial" w:cs="Arial"/>
          <w:sz w:val="22"/>
          <w:szCs w:val="22"/>
          <w:u w:val="single"/>
        </w:rPr>
        <w:t xml:space="preserve"> belülre átadott</w:t>
      </w:r>
      <w:r w:rsidR="006325C2" w:rsidRPr="00FC631C">
        <w:rPr>
          <w:rFonts w:ascii="Arial" w:hAnsi="Arial" w:cs="Arial"/>
          <w:sz w:val="22"/>
          <w:szCs w:val="22"/>
        </w:rPr>
        <w:t xml:space="preserve"> összegek </w:t>
      </w:r>
      <w:r w:rsidR="0011001D">
        <w:rPr>
          <w:rFonts w:ascii="Arial" w:hAnsi="Arial" w:cs="Arial"/>
          <w:sz w:val="22"/>
          <w:szCs w:val="22"/>
        </w:rPr>
        <w:t>861 025 068</w:t>
      </w:r>
      <w:r w:rsidR="00BB1928" w:rsidRPr="00FC631C">
        <w:rPr>
          <w:rFonts w:ascii="Arial" w:hAnsi="Arial" w:cs="Arial"/>
          <w:sz w:val="22"/>
          <w:szCs w:val="22"/>
        </w:rPr>
        <w:t xml:space="preserve"> Ft összegben, melynek </w:t>
      </w:r>
      <w:r w:rsidR="00BB1928" w:rsidRPr="00ED5E23">
        <w:rPr>
          <w:rFonts w:ascii="Arial" w:hAnsi="Arial" w:cs="Arial"/>
          <w:sz w:val="22"/>
          <w:szCs w:val="22"/>
        </w:rPr>
        <w:t>tartalmát a</w:t>
      </w:r>
      <w:r w:rsidR="006325C2" w:rsidRPr="00ED5E23">
        <w:rPr>
          <w:rFonts w:ascii="Arial" w:hAnsi="Arial" w:cs="Arial"/>
          <w:sz w:val="22"/>
          <w:szCs w:val="22"/>
        </w:rPr>
        <w:t xml:space="preserve"> </w:t>
      </w:r>
      <w:r w:rsidR="00BB1928" w:rsidRPr="00ED5E23">
        <w:rPr>
          <w:rFonts w:ascii="Arial" w:hAnsi="Arial" w:cs="Arial"/>
          <w:sz w:val="22"/>
          <w:szCs w:val="22"/>
        </w:rPr>
        <w:t xml:space="preserve">12. sz. </w:t>
      </w:r>
      <w:r w:rsidR="00BB1928" w:rsidRPr="00936265">
        <w:rPr>
          <w:rFonts w:ascii="Arial" w:hAnsi="Arial" w:cs="Arial"/>
          <w:sz w:val="22"/>
          <w:szCs w:val="22"/>
        </w:rPr>
        <w:t>melléklet r</w:t>
      </w:r>
      <w:r w:rsidR="006325C2" w:rsidRPr="00936265">
        <w:rPr>
          <w:rFonts w:ascii="Arial" w:hAnsi="Arial" w:cs="Arial"/>
          <w:sz w:val="22"/>
          <w:szCs w:val="22"/>
        </w:rPr>
        <w:t>észlete</w:t>
      </w:r>
      <w:r w:rsidR="00BB1928" w:rsidRPr="00936265">
        <w:rPr>
          <w:rFonts w:ascii="Arial" w:hAnsi="Arial" w:cs="Arial"/>
          <w:sz w:val="22"/>
          <w:szCs w:val="22"/>
        </w:rPr>
        <w:t xml:space="preserve">zi. </w:t>
      </w:r>
    </w:p>
    <w:p w14:paraId="1CF6E99F" w14:textId="77777777" w:rsidR="00B20587" w:rsidRPr="00436CA3" w:rsidRDefault="00B20587" w:rsidP="00576D84">
      <w:pPr>
        <w:suppressAutoHyphens/>
        <w:overflowPunct w:val="0"/>
        <w:autoSpaceDE w:val="0"/>
        <w:spacing w:line="276" w:lineRule="auto"/>
        <w:jc w:val="both"/>
        <w:textAlignment w:val="baseline"/>
        <w:rPr>
          <w:rFonts w:ascii="Arial" w:hAnsi="Arial" w:cs="Arial"/>
          <w:b/>
          <w:sz w:val="22"/>
          <w:szCs w:val="22"/>
        </w:rPr>
      </w:pPr>
    </w:p>
    <w:p w14:paraId="07A2599E" w14:textId="44056BA8" w:rsidR="007A0EDF" w:rsidRPr="007A0EDF" w:rsidRDefault="007A0EDF" w:rsidP="00576D84">
      <w:pPr>
        <w:suppressAutoHyphens/>
        <w:overflowPunct w:val="0"/>
        <w:autoSpaceDE w:val="0"/>
        <w:spacing w:line="276" w:lineRule="auto"/>
        <w:jc w:val="both"/>
        <w:textAlignment w:val="baseline"/>
        <w:rPr>
          <w:rFonts w:ascii="Arial" w:hAnsi="Arial" w:cs="Arial"/>
          <w:sz w:val="22"/>
          <w:szCs w:val="22"/>
        </w:rPr>
      </w:pPr>
      <w:r w:rsidRPr="00436CA3">
        <w:rPr>
          <w:rFonts w:ascii="Arial" w:hAnsi="Arial" w:cs="Arial"/>
          <w:sz w:val="22"/>
          <w:szCs w:val="22"/>
          <w:u w:val="single"/>
        </w:rPr>
        <w:t>Törvényi előíráson alapuló befizetések összege</w:t>
      </w:r>
      <w:r w:rsidRPr="00436CA3">
        <w:rPr>
          <w:rFonts w:ascii="Arial" w:hAnsi="Arial" w:cs="Arial"/>
          <w:sz w:val="22"/>
          <w:szCs w:val="22"/>
        </w:rPr>
        <w:t xml:space="preserve"> 143 153 099 Ft, amely a 2026. évben fizetendő szolidaritási hozzájárulás 83 507 953 Ft összegét és a 2026.03. hónapban elvonásra kerülő, 2025. évi iparűzési adóbevétel többlethez kapcsolódó elvonás 59 645 146 Ft összegét tartalmazza.</w:t>
      </w:r>
    </w:p>
    <w:p w14:paraId="21DD2100" w14:textId="77777777" w:rsidR="007A0EDF" w:rsidRPr="007A0EDF" w:rsidRDefault="007A0EDF" w:rsidP="00576D84">
      <w:pPr>
        <w:suppressAutoHyphens/>
        <w:overflowPunct w:val="0"/>
        <w:autoSpaceDE w:val="0"/>
        <w:spacing w:line="276" w:lineRule="auto"/>
        <w:jc w:val="both"/>
        <w:textAlignment w:val="baseline"/>
        <w:rPr>
          <w:rFonts w:ascii="Arial" w:hAnsi="Arial" w:cs="Arial"/>
          <w:sz w:val="22"/>
          <w:szCs w:val="22"/>
        </w:rPr>
      </w:pPr>
    </w:p>
    <w:p w14:paraId="6B3FC233" w14:textId="54AAD46A" w:rsidR="00436CA3" w:rsidRPr="00436CA3" w:rsidRDefault="00436CA3" w:rsidP="00576D84">
      <w:pPr>
        <w:suppressAutoHyphens/>
        <w:overflowPunct w:val="0"/>
        <w:autoSpaceDE w:val="0"/>
        <w:spacing w:line="276" w:lineRule="auto"/>
        <w:jc w:val="both"/>
        <w:textAlignment w:val="baseline"/>
        <w:rPr>
          <w:rFonts w:ascii="Arial" w:hAnsi="Arial" w:cs="Arial"/>
          <w:bCs/>
          <w:sz w:val="22"/>
          <w:szCs w:val="22"/>
        </w:rPr>
      </w:pPr>
      <w:r w:rsidRPr="00436CA3">
        <w:rPr>
          <w:rFonts w:ascii="Arial" w:hAnsi="Arial" w:cs="Arial"/>
          <w:bCs/>
          <w:sz w:val="22"/>
          <w:szCs w:val="22"/>
          <w:u w:val="single"/>
        </w:rPr>
        <w:t>Visszatérítendő támogatások, kö</w:t>
      </w:r>
      <w:r w:rsidR="0014153F">
        <w:rPr>
          <w:rFonts w:ascii="Arial" w:hAnsi="Arial" w:cs="Arial"/>
          <w:bCs/>
          <w:sz w:val="22"/>
          <w:szCs w:val="22"/>
          <w:u w:val="single"/>
        </w:rPr>
        <w:t>lcsön nyújtása ÁH-n belülre elői</w:t>
      </w:r>
      <w:r w:rsidRPr="00436CA3">
        <w:rPr>
          <w:rFonts w:ascii="Arial" w:hAnsi="Arial" w:cs="Arial"/>
          <w:bCs/>
          <w:sz w:val="22"/>
          <w:szCs w:val="22"/>
          <w:u w:val="single"/>
        </w:rPr>
        <w:t>rányzata</w:t>
      </w:r>
      <w:r>
        <w:rPr>
          <w:rFonts w:ascii="Arial" w:hAnsi="Arial" w:cs="Arial"/>
          <w:b/>
          <w:bCs/>
          <w:sz w:val="22"/>
          <w:szCs w:val="22"/>
          <w:u w:val="single"/>
        </w:rPr>
        <w:t xml:space="preserve"> </w:t>
      </w:r>
      <w:r w:rsidRPr="00436CA3">
        <w:rPr>
          <w:rFonts w:ascii="Arial" w:hAnsi="Arial" w:cs="Arial"/>
          <w:bCs/>
          <w:sz w:val="22"/>
          <w:szCs w:val="22"/>
        </w:rPr>
        <w:t xml:space="preserve">a TETT társulásnak átmeneti jelleggel átadott 3 000 000 Ft támogatás összegét tartalmazza, amelyet a társulás 2026-ban visszafizet. </w:t>
      </w:r>
    </w:p>
    <w:p w14:paraId="4AD71AEE" w14:textId="77777777" w:rsidR="00436CA3" w:rsidRDefault="00436CA3" w:rsidP="00576D84">
      <w:pPr>
        <w:suppressAutoHyphens/>
        <w:overflowPunct w:val="0"/>
        <w:autoSpaceDE w:val="0"/>
        <w:spacing w:line="276" w:lineRule="auto"/>
        <w:jc w:val="both"/>
        <w:textAlignment w:val="baseline"/>
        <w:rPr>
          <w:rFonts w:ascii="Arial" w:hAnsi="Arial" w:cs="Arial"/>
          <w:b/>
          <w:bCs/>
          <w:sz w:val="22"/>
          <w:szCs w:val="22"/>
          <w:u w:val="single"/>
        </w:rPr>
      </w:pPr>
    </w:p>
    <w:p w14:paraId="367C55D0" w14:textId="77777777" w:rsidR="008921C0" w:rsidRDefault="008921C0" w:rsidP="00576D84">
      <w:pPr>
        <w:suppressAutoHyphens/>
        <w:overflowPunct w:val="0"/>
        <w:autoSpaceDE w:val="0"/>
        <w:spacing w:line="276" w:lineRule="auto"/>
        <w:jc w:val="both"/>
        <w:textAlignment w:val="baseline"/>
        <w:rPr>
          <w:rFonts w:ascii="Arial" w:hAnsi="Arial" w:cs="Arial"/>
          <w:bCs/>
          <w:sz w:val="22"/>
          <w:szCs w:val="22"/>
        </w:rPr>
      </w:pPr>
    </w:p>
    <w:p w14:paraId="5B52FFBB" w14:textId="77777777" w:rsidR="008921C0" w:rsidRDefault="008921C0" w:rsidP="00576D84">
      <w:pPr>
        <w:suppressAutoHyphens/>
        <w:overflowPunct w:val="0"/>
        <w:autoSpaceDE w:val="0"/>
        <w:spacing w:line="276" w:lineRule="auto"/>
        <w:jc w:val="both"/>
        <w:textAlignment w:val="baseline"/>
        <w:rPr>
          <w:rFonts w:ascii="Arial" w:hAnsi="Arial" w:cs="Arial"/>
          <w:bCs/>
          <w:sz w:val="22"/>
          <w:szCs w:val="22"/>
        </w:rPr>
      </w:pPr>
    </w:p>
    <w:p w14:paraId="619911AE" w14:textId="079E348F" w:rsidR="0036446A" w:rsidRPr="005A3BA4" w:rsidRDefault="0036446A" w:rsidP="00576D84">
      <w:pPr>
        <w:suppressAutoHyphens/>
        <w:overflowPunct w:val="0"/>
        <w:autoSpaceDE w:val="0"/>
        <w:spacing w:line="276" w:lineRule="auto"/>
        <w:jc w:val="both"/>
        <w:textAlignment w:val="baseline"/>
        <w:rPr>
          <w:rFonts w:ascii="Arial" w:hAnsi="Arial" w:cs="Arial"/>
          <w:bCs/>
          <w:sz w:val="22"/>
          <w:szCs w:val="22"/>
        </w:rPr>
      </w:pPr>
      <w:r w:rsidRPr="00D8402B">
        <w:rPr>
          <w:rFonts w:ascii="Arial" w:hAnsi="Arial" w:cs="Arial"/>
          <w:bCs/>
          <w:sz w:val="22"/>
          <w:szCs w:val="22"/>
        </w:rPr>
        <w:t xml:space="preserve">Az </w:t>
      </w:r>
      <w:bookmarkStart w:id="1" w:name="_Hlk158052194"/>
      <w:r w:rsidRPr="00D8402B">
        <w:rPr>
          <w:rFonts w:ascii="Arial" w:hAnsi="Arial" w:cs="Arial"/>
          <w:bCs/>
          <w:sz w:val="22"/>
          <w:szCs w:val="22"/>
        </w:rPr>
        <w:t xml:space="preserve">államháztartáson belülre átadandó működési célú összeg </w:t>
      </w:r>
      <w:bookmarkEnd w:id="1"/>
      <w:r w:rsidRPr="00D8402B">
        <w:rPr>
          <w:rFonts w:ascii="Arial" w:hAnsi="Arial" w:cs="Arial"/>
          <w:bCs/>
          <w:sz w:val="22"/>
          <w:szCs w:val="22"/>
        </w:rPr>
        <w:t>nagy része a két társulásunk feladatellátásához kapcsolódik</w:t>
      </w:r>
      <w:r w:rsidRPr="00D8402B">
        <w:rPr>
          <w:rFonts w:ascii="Arial" w:hAnsi="Arial" w:cs="Arial"/>
          <w:b/>
          <w:bCs/>
          <w:sz w:val="22"/>
          <w:szCs w:val="22"/>
        </w:rPr>
        <w:t>.</w:t>
      </w:r>
      <w:r w:rsidR="00D8402B">
        <w:rPr>
          <w:rFonts w:ascii="Arial" w:hAnsi="Arial" w:cs="Arial"/>
          <w:b/>
          <w:bCs/>
          <w:sz w:val="22"/>
          <w:szCs w:val="22"/>
        </w:rPr>
        <w:t xml:space="preserve"> </w:t>
      </w:r>
      <w:r w:rsidRPr="005A3BA4">
        <w:rPr>
          <w:rFonts w:ascii="Arial" w:hAnsi="Arial" w:cs="Arial"/>
          <w:bCs/>
          <w:sz w:val="22"/>
          <w:szCs w:val="22"/>
        </w:rPr>
        <w:t xml:space="preserve">A </w:t>
      </w:r>
      <w:r w:rsidRPr="005A3BA4">
        <w:rPr>
          <w:rFonts w:ascii="Arial" w:hAnsi="Arial" w:cs="Arial"/>
          <w:bCs/>
          <w:sz w:val="22"/>
          <w:szCs w:val="22"/>
          <w:u w:val="single"/>
        </w:rPr>
        <w:t xml:space="preserve">MOB </w:t>
      </w:r>
      <w:r w:rsidR="003963BE" w:rsidRPr="005A3BA4">
        <w:rPr>
          <w:rFonts w:ascii="Arial" w:hAnsi="Arial" w:cs="Arial"/>
          <w:bCs/>
          <w:sz w:val="22"/>
          <w:szCs w:val="22"/>
        </w:rPr>
        <w:t xml:space="preserve">intézmény </w:t>
      </w:r>
      <w:r w:rsidRPr="005A3BA4">
        <w:rPr>
          <w:rFonts w:ascii="Arial" w:hAnsi="Arial" w:cs="Arial"/>
          <w:bCs/>
          <w:sz w:val="22"/>
          <w:szCs w:val="22"/>
        </w:rPr>
        <w:t xml:space="preserve">részére tervszinten </w:t>
      </w:r>
      <w:r w:rsidR="00E66EF1">
        <w:rPr>
          <w:rFonts w:ascii="Arial" w:hAnsi="Arial" w:cs="Arial"/>
          <w:bCs/>
          <w:sz w:val="22"/>
          <w:szCs w:val="22"/>
        </w:rPr>
        <w:t>625 927 680</w:t>
      </w:r>
      <w:r w:rsidR="00F16FA9" w:rsidRPr="005A3BA4">
        <w:rPr>
          <w:rFonts w:ascii="Arial" w:hAnsi="Arial" w:cs="Arial"/>
          <w:bCs/>
          <w:sz w:val="22"/>
          <w:szCs w:val="22"/>
        </w:rPr>
        <w:t xml:space="preserve"> </w:t>
      </w:r>
      <w:r w:rsidR="003963BE" w:rsidRPr="005A3BA4">
        <w:rPr>
          <w:rFonts w:ascii="Arial" w:hAnsi="Arial" w:cs="Arial"/>
          <w:bCs/>
          <w:sz w:val="22"/>
          <w:szCs w:val="22"/>
        </w:rPr>
        <w:t>Ft állami támogatás, valamint</w:t>
      </w:r>
      <w:r w:rsidR="00F16FA9" w:rsidRPr="005A3BA4">
        <w:rPr>
          <w:rFonts w:ascii="Arial" w:hAnsi="Arial" w:cs="Arial"/>
          <w:bCs/>
          <w:sz w:val="22"/>
          <w:szCs w:val="22"/>
        </w:rPr>
        <w:t xml:space="preserve"> </w:t>
      </w:r>
      <w:r w:rsidR="00E66EF1">
        <w:rPr>
          <w:rFonts w:ascii="Arial" w:hAnsi="Arial" w:cs="Arial"/>
          <w:bCs/>
          <w:sz w:val="22"/>
          <w:szCs w:val="22"/>
        </w:rPr>
        <w:t>55 916 145</w:t>
      </w:r>
      <w:r w:rsidR="00F16FA9" w:rsidRPr="005A3BA4">
        <w:rPr>
          <w:rFonts w:ascii="Arial" w:hAnsi="Arial" w:cs="Arial"/>
          <w:bCs/>
          <w:sz w:val="22"/>
          <w:szCs w:val="22"/>
        </w:rPr>
        <w:t xml:space="preserve"> Ft </w:t>
      </w:r>
      <w:r w:rsidR="003963BE" w:rsidRPr="005A3BA4">
        <w:rPr>
          <w:rFonts w:ascii="Arial" w:hAnsi="Arial" w:cs="Arial"/>
          <w:bCs/>
          <w:sz w:val="22"/>
          <w:szCs w:val="22"/>
        </w:rPr>
        <w:t>önkormányzati saját forrás kerül átadásra</w:t>
      </w:r>
      <w:r w:rsidR="00F16FA9" w:rsidRPr="005A3BA4">
        <w:rPr>
          <w:rFonts w:ascii="Arial" w:hAnsi="Arial" w:cs="Arial"/>
          <w:bCs/>
          <w:sz w:val="22"/>
          <w:szCs w:val="22"/>
        </w:rPr>
        <w:t xml:space="preserve"> </w:t>
      </w:r>
      <w:r w:rsidR="00AD67EC" w:rsidRPr="005A3BA4">
        <w:rPr>
          <w:rFonts w:ascii="Arial" w:hAnsi="Arial" w:cs="Arial"/>
          <w:bCs/>
          <w:sz w:val="22"/>
          <w:szCs w:val="22"/>
        </w:rPr>
        <w:t xml:space="preserve">(ami tartalmazza a felhalmozási célra átadott pénzeszközt is) </w:t>
      </w:r>
      <w:r w:rsidR="00F16FA9" w:rsidRPr="005A3BA4">
        <w:rPr>
          <w:rFonts w:ascii="Arial" w:hAnsi="Arial" w:cs="Arial"/>
          <w:bCs/>
          <w:sz w:val="22"/>
          <w:szCs w:val="22"/>
        </w:rPr>
        <w:t xml:space="preserve">az előző évi </w:t>
      </w:r>
      <w:r w:rsidR="00E66EF1">
        <w:rPr>
          <w:rFonts w:ascii="Arial" w:hAnsi="Arial" w:cs="Arial"/>
          <w:bCs/>
          <w:sz w:val="22"/>
          <w:szCs w:val="22"/>
        </w:rPr>
        <w:t>42 360 640</w:t>
      </w:r>
      <w:r w:rsidR="00F16FA9" w:rsidRPr="005A3BA4">
        <w:rPr>
          <w:rFonts w:ascii="Arial" w:hAnsi="Arial" w:cs="Arial"/>
          <w:bCs/>
          <w:sz w:val="22"/>
          <w:szCs w:val="22"/>
        </w:rPr>
        <w:t xml:space="preserve"> Ft-tal szemben.</w:t>
      </w:r>
    </w:p>
    <w:p w14:paraId="4A332A27" w14:textId="50C40000" w:rsidR="004E3232" w:rsidRPr="004E3232" w:rsidRDefault="004E3232" w:rsidP="00576D84">
      <w:pPr>
        <w:suppressAutoHyphens/>
        <w:overflowPunct w:val="0"/>
        <w:autoSpaceDE w:val="0"/>
        <w:spacing w:line="276" w:lineRule="auto"/>
        <w:jc w:val="both"/>
        <w:textAlignment w:val="baseline"/>
        <w:rPr>
          <w:rFonts w:ascii="Arial" w:hAnsi="Arial" w:cs="Arial"/>
          <w:sz w:val="22"/>
          <w:szCs w:val="22"/>
        </w:rPr>
      </w:pPr>
      <w:r w:rsidRPr="00654560">
        <w:rPr>
          <w:rFonts w:ascii="Arial" w:hAnsi="Arial" w:cs="Arial"/>
          <w:sz w:val="22"/>
          <w:szCs w:val="22"/>
        </w:rPr>
        <w:t xml:space="preserve">A MOB közalkalmazottjainak jóváhagyott álláshelyszáma a 10/2024. (VIII.30.) TT határozat alapján 65 fő. A dolgozókat érinti a minimálbér és a </w:t>
      </w:r>
      <w:proofErr w:type="gramStart"/>
      <w:r w:rsidRPr="00654560">
        <w:rPr>
          <w:rFonts w:ascii="Arial" w:hAnsi="Arial" w:cs="Arial"/>
          <w:sz w:val="22"/>
          <w:szCs w:val="22"/>
        </w:rPr>
        <w:t>garantált</w:t>
      </w:r>
      <w:proofErr w:type="gramEnd"/>
      <w:r w:rsidRPr="00654560">
        <w:rPr>
          <w:rFonts w:ascii="Arial" w:hAnsi="Arial" w:cs="Arial"/>
          <w:sz w:val="22"/>
          <w:szCs w:val="22"/>
        </w:rPr>
        <w:t xml:space="preserve"> bérminimum változás hatása, az óvodai ellátás tekintetében</w:t>
      </w:r>
      <w:r w:rsidRPr="004E3232">
        <w:rPr>
          <w:rFonts w:ascii="Arial" w:hAnsi="Arial" w:cs="Arial"/>
          <w:sz w:val="22"/>
          <w:szCs w:val="22"/>
        </w:rPr>
        <w:t xml:space="preserve"> a 2024. január 1-től bevezetett pedagógus életpálya jogszabályi változásai alapján </w:t>
      </w:r>
      <w:r>
        <w:rPr>
          <w:rFonts w:ascii="Arial" w:hAnsi="Arial" w:cs="Arial"/>
          <w:sz w:val="22"/>
          <w:szCs w:val="22"/>
        </w:rPr>
        <w:t xml:space="preserve">ez évben </w:t>
      </w:r>
      <w:r w:rsidR="00E66EF1">
        <w:rPr>
          <w:rFonts w:ascii="Arial" w:hAnsi="Arial" w:cs="Arial"/>
          <w:sz w:val="22"/>
          <w:szCs w:val="22"/>
        </w:rPr>
        <w:t>10 %-</w:t>
      </w:r>
      <w:proofErr w:type="spellStart"/>
      <w:r w:rsidR="00E66EF1">
        <w:rPr>
          <w:rFonts w:ascii="Arial" w:hAnsi="Arial" w:cs="Arial"/>
          <w:sz w:val="22"/>
          <w:szCs w:val="22"/>
        </w:rPr>
        <w:t>os</w:t>
      </w:r>
      <w:proofErr w:type="spellEnd"/>
      <w:r w:rsidR="0036063A">
        <w:rPr>
          <w:rFonts w:ascii="Arial" w:hAnsi="Arial" w:cs="Arial"/>
          <w:sz w:val="22"/>
          <w:szCs w:val="22"/>
        </w:rPr>
        <w:t xml:space="preserve"> </w:t>
      </w:r>
      <w:r w:rsidRPr="004E3232">
        <w:rPr>
          <w:rFonts w:ascii="Arial" w:hAnsi="Arial" w:cs="Arial"/>
          <w:sz w:val="22"/>
          <w:szCs w:val="22"/>
        </w:rPr>
        <w:t>béremelésekben részesülnek</w:t>
      </w:r>
      <w:r>
        <w:rPr>
          <w:rFonts w:ascii="Arial" w:hAnsi="Arial" w:cs="Arial"/>
          <w:sz w:val="22"/>
          <w:szCs w:val="22"/>
        </w:rPr>
        <w:t xml:space="preserve"> a pedagógusok</w:t>
      </w:r>
      <w:r w:rsidRPr="004E3232">
        <w:rPr>
          <w:rFonts w:ascii="Arial" w:hAnsi="Arial" w:cs="Arial"/>
          <w:sz w:val="22"/>
          <w:szCs w:val="22"/>
        </w:rPr>
        <w:t xml:space="preserve">. </w:t>
      </w:r>
    </w:p>
    <w:p w14:paraId="783F849D" w14:textId="24A13B20" w:rsidR="00D46103" w:rsidRDefault="004E3232" w:rsidP="00576D84">
      <w:pPr>
        <w:suppressAutoHyphens/>
        <w:overflowPunct w:val="0"/>
        <w:autoSpaceDE w:val="0"/>
        <w:spacing w:line="276" w:lineRule="auto"/>
        <w:jc w:val="both"/>
        <w:textAlignment w:val="baseline"/>
        <w:rPr>
          <w:rFonts w:ascii="Arial" w:hAnsi="Arial" w:cs="Arial"/>
          <w:sz w:val="22"/>
          <w:szCs w:val="22"/>
          <w:highlight w:val="yellow"/>
        </w:rPr>
      </w:pPr>
      <w:r w:rsidRPr="004E3232">
        <w:rPr>
          <w:rFonts w:ascii="Arial" w:hAnsi="Arial" w:cs="Arial"/>
          <w:sz w:val="22"/>
          <w:szCs w:val="22"/>
        </w:rPr>
        <w:t xml:space="preserve">A nevelést, oktatást közvetlenül segítő dajkák, óvodatitkár, és pedagógiai </w:t>
      </w:r>
      <w:proofErr w:type="gramStart"/>
      <w:r w:rsidRPr="004E3232">
        <w:rPr>
          <w:rFonts w:ascii="Arial" w:hAnsi="Arial" w:cs="Arial"/>
          <w:sz w:val="22"/>
          <w:szCs w:val="22"/>
        </w:rPr>
        <w:t>asszisztensek</w:t>
      </w:r>
      <w:proofErr w:type="gramEnd"/>
      <w:r w:rsidRPr="004E3232">
        <w:rPr>
          <w:rFonts w:ascii="Arial" w:hAnsi="Arial" w:cs="Arial"/>
          <w:sz w:val="22"/>
          <w:szCs w:val="22"/>
        </w:rPr>
        <w:t xml:space="preserve"> bére a minimálbér és garantált bérminimum emelés következtében nő</w:t>
      </w:r>
      <w:r w:rsidR="00E66EF1">
        <w:rPr>
          <w:rFonts w:ascii="Arial" w:hAnsi="Arial" w:cs="Arial"/>
          <w:sz w:val="22"/>
          <w:szCs w:val="22"/>
        </w:rPr>
        <w:t xml:space="preserve">. </w:t>
      </w:r>
      <w:r w:rsidRPr="004E3232">
        <w:rPr>
          <w:rFonts w:ascii="Arial" w:hAnsi="Arial" w:cs="Arial"/>
          <w:sz w:val="22"/>
          <w:szCs w:val="22"/>
        </w:rPr>
        <w:t xml:space="preserve">A konyhai dolgozókra a minimálbér és </w:t>
      </w:r>
      <w:proofErr w:type="gramStart"/>
      <w:r w:rsidRPr="004E3232">
        <w:rPr>
          <w:rFonts w:ascii="Arial" w:hAnsi="Arial" w:cs="Arial"/>
          <w:sz w:val="22"/>
          <w:szCs w:val="22"/>
        </w:rPr>
        <w:t>garantált</w:t>
      </w:r>
      <w:proofErr w:type="gramEnd"/>
      <w:r w:rsidRPr="004E3232">
        <w:rPr>
          <w:rFonts w:ascii="Arial" w:hAnsi="Arial" w:cs="Arial"/>
          <w:sz w:val="22"/>
          <w:szCs w:val="22"/>
        </w:rPr>
        <w:t xml:space="preserve"> bérminimum összegei vonatkoznak a közalkalmazotti bértáblázat szerint. </w:t>
      </w:r>
      <w:r w:rsidR="00CA26BC">
        <w:rPr>
          <w:rFonts w:ascii="Arial" w:hAnsi="Arial" w:cs="Arial"/>
          <w:sz w:val="22"/>
          <w:szCs w:val="22"/>
        </w:rPr>
        <w:t xml:space="preserve">A tervezet tartalmazza az előző évben már adott, </w:t>
      </w:r>
      <w:r w:rsidR="00E66EF1">
        <w:rPr>
          <w:rFonts w:ascii="Arial" w:hAnsi="Arial" w:cs="Arial"/>
          <w:sz w:val="22"/>
          <w:szCs w:val="22"/>
        </w:rPr>
        <w:t>munkáltatói döntésen alapuló bérkiegészítés összegét.</w:t>
      </w:r>
    </w:p>
    <w:p w14:paraId="06E49A95" w14:textId="77777777" w:rsidR="004E3232" w:rsidRPr="00A82F71" w:rsidRDefault="004E3232" w:rsidP="004E3232">
      <w:pPr>
        <w:suppressAutoHyphens/>
        <w:overflowPunct w:val="0"/>
        <w:autoSpaceDE w:val="0"/>
        <w:spacing w:line="276" w:lineRule="auto"/>
        <w:jc w:val="both"/>
        <w:textAlignment w:val="baseline"/>
        <w:rPr>
          <w:rFonts w:ascii="Arial" w:hAnsi="Arial" w:cs="Arial"/>
          <w:sz w:val="22"/>
          <w:szCs w:val="22"/>
          <w:highlight w:val="yellow"/>
        </w:rPr>
      </w:pPr>
    </w:p>
    <w:p w14:paraId="70D80D9B" w14:textId="6FDE323C" w:rsidR="003963BE" w:rsidRPr="005A3BA4" w:rsidRDefault="003963BE" w:rsidP="003963BE">
      <w:pPr>
        <w:suppressAutoHyphens/>
        <w:overflowPunct w:val="0"/>
        <w:autoSpaceDE w:val="0"/>
        <w:spacing w:line="276" w:lineRule="auto"/>
        <w:jc w:val="both"/>
        <w:textAlignment w:val="baseline"/>
        <w:rPr>
          <w:rFonts w:ascii="Arial" w:hAnsi="Arial" w:cs="Arial"/>
          <w:sz w:val="22"/>
          <w:szCs w:val="22"/>
        </w:rPr>
      </w:pPr>
      <w:r w:rsidRPr="005A3BA4">
        <w:rPr>
          <w:rFonts w:ascii="Arial" w:hAnsi="Arial" w:cs="Arial"/>
          <w:bCs/>
          <w:sz w:val="22"/>
          <w:szCs w:val="22"/>
        </w:rPr>
        <w:t xml:space="preserve">A </w:t>
      </w:r>
      <w:r w:rsidRPr="005A3BA4">
        <w:rPr>
          <w:rFonts w:ascii="Arial" w:hAnsi="Arial" w:cs="Arial"/>
          <w:bCs/>
          <w:sz w:val="22"/>
          <w:szCs w:val="22"/>
          <w:u w:val="single"/>
        </w:rPr>
        <w:t>Gondozási Központ</w:t>
      </w:r>
      <w:r w:rsidRPr="005A3BA4">
        <w:rPr>
          <w:rFonts w:ascii="Arial" w:hAnsi="Arial" w:cs="Arial"/>
          <w:bCs/>
          <w:sz w:val="22"/>
          <w:szCs w:val="22"/>
        </w:rPr>
        <w:t xml:space="preserve"> feladatellátásához </w:t>
      </w:r>
      <w:r w:rsidR="00E66EF1">
        <w:rPr>
          <w:rFonts w:ascii="Arial" w:hAnsi="Arial" w:cs="Arial"/>
          <w:bCs/>
          <w:sz w:val="22"/>
          <w:szCs w:val="22"/>
        </w:rPr>
        <w:t>116 210 210</w:t>
      </w:r>
      <w:r w:rsidR="004E3232" w:rsidRPr="005A3BA4">
        <w:rPr>
          <w:rFonts w:ascii="Arial" w:hAnsi="Arial" w:cs="Arial"/>
          <w:bCs/>
          <w:sz w:val="22"/>
          <w:szCs w:val="22"/>
        </w:rPr>
        <w:t xml:space="preserve"> </w:t>
      </w:r>
      <w:r w:rsidRPr="005A3BA4">
        <w:rPr>
          <w:rFonts w:ascii="Arial" w:hAnsi="Arial" w:cs="Arial"/>
          <w:bCs/>
          <w:sz w:val="22"/>
          <w:szCs w:val="22"/>
        </w:rPr>
        <w:t xml:space="preserve">Ft, Bátaszék Város Önkormányzata által igényelhető állami támogatás kerül átadásra, emellett </w:t>
      </w:r>
      <w:r w:rsidR="00E66EF1">
        <w:rPr>
          <w:rFonts w:ascii="Arial" w:hAnsi="Arial" w:cs="Arial"/>
          <w:bCs/>
          <w:sz w:val="22"/>
          <w:szCs w:val="22"/>
        </w:rPr>
        <w:t xml:space="preserve">az </w:t>
      </w:r>
      <w:r w:rsidRPr="005A3BA4">
        <w:rPr>
          <w:rFonts w:ascii="Arial" w:hAnsi="Arial" w:cs="Arial"/>
          <w:bCs/>
          <w:sz w:val="22"/>
          <w:szCs w:val="22"/>
        </w:rPr>
        <w:t xml:space="preserve">Önkormányzat </w:t>
      </w:r>
      <w:r w:rsidR="00E66EF1">
        <w:rPr>
          <w:rFonts w:ascii="Arial" w:hAnsi="Arial" w:cs="Arial"/>
          <w:bCs/>
          <w:sz w:val="22"/>
          <w:szCs w:val="22"/>
        </w:rPr>
        <w:t>61 114 416</w:t>
      </w:r>
      <w:r w:rsidR="0014153F">
        <w:rPr>
          <w:rFonts w:ascii="Arial" w:hAnsi="Arial" w:cs="Arial"/>
          <w:bCs/>
          <w:sz w:val="22"/>
          <w:szCs w:val="22"/>
        </w:rPr>
        <w:t xml:space="preserve"> Ft önerőt</w:t>
      </w:r>
      <w:r w:rsidR="004E3232" w:rsidRPr="005A3BA4">
        <w:rPr>
          <w:rFonts w:ascii="Arial" w:hAnsi="Arial" w:cs="Arial"/>
          <w:bCs/>
          <w:sz w:val="22"/>
          <w:szCs w:val="22"/>
        </w:rPr>
        <w:t xml:space="preserve"> biztosít tervszinten a feladat ellátáshoz </w:t>
      </w:r>
      <w:r w:rsidR="00E66EF1">
        <w:rPr>
          <w:rFonts w:ascii="Arial" w:hAnsi="Arial" w:cs="Arial"/>
          <w:bCs/>
          <w:sz w:val="22"/>
          <w:szCs w:val="22"/>
        </w:rPr>
        <w:t xml:space="preserve">hasonlóan </w:t>
      </w:r>
      <w:r w:rsidR="004E3232" w:rsidRPr="005A3BA4">
        <w:rPr>
          <w:rFonts w:ascii="Arial" w:hAnsi="Arial" w:cs="Arial"/>
          <w:bCs/>
          <w:sz w:val="22"/>
          <w:szCs w:val="22"/>
        </w:rPr>
        <w:t xml:space="preserve">az előző évi </w:t>
      </w:r>
      <w:r w:rsidR="00E66EF1">
        <w:rPr>
          <w:rFonts w:ascii="Arial" w:hAnsi="Arial" w:cs="Arial"/>
          <w:bCs/>
          <w:sz w:val="22"/>
          <w:szCs w:val="22"/>
        </w:rPr>
        <w:t>61 774 856</w:t>
      </w:r>
      <w:r w:rsidRPr="005A3BA4">
        <w:rPr>
          <w:rFonts w:ascii="Arial" w:hAnsi="Arial" w:cs="Arial"/>
          <w:bCs/>
          <w:sz w:val="22"/>
          <w:szCs w:val="22"/>
        </w:rPr>
        <w:t xml:space="preserve"> Ft</w:t>
      </w:r>
      <w:r w:rsidR="00E66EF1">
        <w:rPr>
          <w:rFonts w:ascii="Arial" w:hAnsi="Arial" w:cs="Arial"/>
          <w:bCs/>
          <w:sz w:val="22"/>
          <w:szCs w:val="22"/>
        </w:rPr>
        <w:t xml:space="preserve"> összeghez.</w:t>
      </w:r>
    </w:p>
    <w:p w14:paraId="1EF1E5CA" w14:textId="1639BA43" w:rsidR="004E3232" w:rsidRPr="004E3232" w:rsidRDefault="002E29DE" w:rsidP="004E3232">
      <w:pPr>
        <w:overflowPunct w:val="0"/>
        <w:autoSpaceDE w:val="0"/>
        <w:autoSpaceDN w:val="0"/>
        <w:adjustRightInd w:val="0"/>
        <w:spacing w:line="276" w:lineRule="auto"/>
        <w:jc w:val="both"/>
        <w:textAlignment w:val="baseline"/>
        <w:rPr>
          <w:rFonts w:ascii="Arial" w:hAnsi="Arial" w:cs="Arial"/>
          <w:sz w:val="22"/>
          <w:szCs w:val="22"/>
        </w:rPr>
      </w:pPr>
      <w:r w:rsidRPr="00F95C2E">
        <w:rPr>
          <w:rFonts w:ascii="Arial" w:hAnsi="Arial" w:cs="Arial"/>
          <w:sz w:val="22"/>
          <w:szCs w:val="22"/>
        </w:rPr>
        <w:t>Az intézmény</w:t>
      </w:r>
      <w:r w:rsidR="004E3232">
        <w:rPr>
          <w:rFonts w:ascii="Arial" w:hAnsi="Arial" w:cs="Arial"/>
          <w:sz w:val="22"/>
          <w:szCs w:val="22"/>
        </w:rPr>
        <w:t xml:space="preserve"> </w:t>
      </w:r>
      <w:r w:rsidR="004E3232" w:rsidRPr="004E3232">
        <w:rPr>
          <w:rFonts w:ascii="Arial" w:hAnsi="Arial" w:cs="Arial"/>
          <w:sz w:val="22"/>
          <w:szCs w:val="22"/>
        </w:rPr>
        <w:t xml:space="preserve">20 fő munkatársa a közalkalmazotti törvény alapján kerül alkalmazásra. A közalkalmazotti bértábla fizetési fokozatai és osztályai szerinti alapilletmény besorolás a </w:t>
      </w:r>
      <w:proofErr w:type="gramStart"/>
      <w:r w:rsidR="004E3232" w:rsidRPr="004E3232">
        <w:rPr>
          <w:rFonts w:ascii="Arial" w:hAnsi="Arial" w:cs="Arial"/>
          <w:sz w:val="22"/>
          <w:szCs w:val="22"/>
        </w:rPr>
        <w:t>garantált</w:t>
      </w:r>
      <w:proofErr w:type="gramEnd"/>
      <w:r w:rsidR="004E3232" w:rsidRPr="004E3232">
        <w:rPr>
          <w:rFonts w:ascii="Arial" w:hAnsi="Arial" w:cs="Arial"/>
          <w:sz w:val="22"/>
          <w:szCs w:val="22"/>
        </w:rPr>
        <w:t xml:space="preserve"> bérminimum összegeivel azonosak. A személyi juttatások között került betervezésre a közalkalmazottak rendszeres bére, a közlekedési költségtérítés, a bankszámlavezetési díjak, valamint az időszaki </w:t>
      </w:r>
      <w:r w:rsidR="004E3232" w:rsidRPr="00043A23">
        <w:rPr>
          <w:rFonts w:ascii="Arial" w:hAnsi="Arial" w:cs="Arial"/>
          <w:sz w:val="22"/>
          <w:szCs w:val="22"/>
        </w:rPr>
        <w:t>megbízási díjak. (A 15/2023.</w:t>
      </w:r>
      <w:r w:rsidR="00D8402B">
        <w:rPr>
          <w:rFonts w:ascii="Arial" w:hAnsi="Arial" w:cs="Arial"/>
          <w:sz w:val="22"/>
          <w:szCs w:val="22"/>
        </w:rPr>
        <w:t xml:space="preserve"> </w:t>
      </w:r>
      <w:r w:rsidR="004E3232" w:rsidRPr="00043A23">
        <w:rPr>
          <w:rFonts w:ascii="Arial" w:hAnsi="Arial" w:cs="Arial"/>
          <w:sz w:val="22"/>
          <w:szCs w:val="22"/>
        </w:rPr>
        <w:t>(IX.28) TT határozat értelmében 20 fő az álláshelyek száma, de a részmunkaidősök miatt 22 fővel került betöltésre az engedélyezett álláshely).</w:t>
      </w:r>
    </w:p>
    <w:p w14:paraId="4CC75FA9" w14:textId="3DC02B7E" w:rsidR="00E66EF1" w:rsidRDefault="004E3232" w:rsidP="0036446A">
      <w:pPr>
        <w:overflowPunct w:val="0"/>
        <w:autoSpaceDE w:val="0"/>
        <w:autoSpaceDN w:val="0"/>
        <w:adjustRightInd w:val="0"/>
        <w:spacing w:line="276" w:lineRule="auto"/>
        <w:jc w:val="both"/>
        <w:textAlignment w:val="baseline"/>
        <w:rPr>
          <w:rFonts w:ascii="Arial" w:hAnsi="Arial" w:cs="Arial"/>
          <w:sz w:val="22"/>
          <w:szCs w:val="22"/>
        </w:rPr>
      </w:pPr>
      <w:r w:rsidRPr="004E3232">
        <w:rPr>
          <w:rFonts w:ascii="Arial" w:hAnsi="Arial" w:cs="Arial"/>
          <w:sz w:val="22"/>
          <w:szCs w:val="22"/>
        </w:rPr>
        <w:t>A 202</w:t>
      </w:r>
      <w:r w:rsidR="00E66EF1">
        <w:rPr>
          <w:rFonts w:ascii="Arial" w:hAnsi="Arial" w:cs="Arial"/>
          <w:sz w:val="22"/>
          <w:szCs w:val="22"/>
        </w:rPr>
        <w:t>6</w:t>
      </w:r>
      <w:r w:rsidRPr="004E3232">
        <w:rPr>
          <w:rFonts w:ascii="Arial" w:hAnsi="Arial" w:cs="Arial"/>
          <w:sz w:val="22"/>
          <w:szCs w:val="22"/>
        </w:rPr>
        <w:t xml:space="preserve">. évi költségvetési javaslat minden dolgozót érintve </w:t>
      </w:r>
      <w:r w:rsidR="00E66EF1">
        <w:rPr>
          <w:rFonts w:ascii="Arial" w:hAnsi="Arial" w:cs="Arial"/>
          <w:sz w:val="22"/>
          <w:szCs w:val="22"/>
        </w:rPr>
        <w:t xml:space="preserve">tartalmazza </w:t>
      </w:r>
      <w:r w:rsidR="00CA26BC">
        <w:rPr>
          <w:rFonts w:ascii="Arial" w:hAnsi="Arial" w:cs="Arial"/>
          <w:sz w:val="22"/>
          <w:szCs w:val="22"/>
        </w:rPr>
        <w:t>az előző évben már adott</w:t>
      </w:r>
      <w:r w:rsidR="00E66EF1">
        <w:rPr>
          <w:rFonts w:ascii="Arial" w:hAnsi="Arial" w:cs="Arial"/>
          <w:sz w:val="22"/>
          <w:szCs w:val="22"/>
        </w:rPr>
        <w:t xml:space="preserve"> m</w:t>
      </w:r>
      <w:r w:rsidR="00D8402B">
        <w:rPr>
          <w:rFonts w:ascii="Arial" w:hAnsi="Arial" w:cs="Arial"/>
          <w:sz w:val="22"/>
          <w:szCs w:val="22"/>
        </w:rPr>
        <w:t>unkáltatói döntésen alapuló bér</w:t>
      </w:r>
      <w:r w:rsidR="00E66EF1">
        <w:rPr>
          <w:rFonts w:ascii="Arial" w:hAnsi="Arial" w:cs="Arial"/>
          <w:sz w:val="22"/>
          <w:szCs w:val="22"/>
        </w:rPr>
        <w:t>kiegészítés összegét.</w:t>
      </w:r>
    </w:p>
    <w:p w14:paraId="487087F6" w14:textId="77777777" w:rsidR="00043A23" w:rsidRDefault="00043A23" w:rsidP="00D46103">
      <w:pPr>
        <w:overflowPunct w:val="0"/>
        <w:autoSpaceDE w:val="0"/>
        <w:autoSpaceDN w:val="0"/>
        <w:adjustRightInd w:val="0"/>
        <w:spacing w:line="276" w:lineRule="auto"/>
        <w:jc w:val="both"/>
        <w:textAlignment w:val="baseline"/>
        <w:rPr>
          <w:rFonts w:ascii="Arial" w:hAnsi="Arial" w:cs="Arial"/>
          <w:sz w:val="22"/>
          <w:szCs w:val="22"/>
          <w:lang w:eastAsia="hu-HU"/>
        </w:rPr>
      </w:pPr>
    </w:p>
    <w:p w14:paraId="720C30A4" w14:textId="68D0DF6E" w:rsidR="00D459CC" w:rsidRPr="00F95C2E" w:rsidRDefault="0036446A" w:rsidP="00D46103">
      <w:pPr>
        <w:overflowPunct w:val="0"/>
        <w:autoSpaceDE w:val="0"/>
        <w:autoSpaceDN w:val="0"/>
        <w:adjustRightInd w:val="0"/>
        <w:spacing w:line="276" w:lineRule="auto"/>
        <w:jc w:val="both"/>
        <w:textAlignment w:val="baseline"/>
        <w:rPr>
          <w:rFonts w:ascii="Arial" w:hAnsi="Arial" w:cs="Arial"/>
          <w:sz w:val="22"/>
          <w:szCs w:val="22"/>
          <w:lang w:eastAsia="hu-HU"/>
        </w:rPr>
      </w:pPr>
      <w:r w:rsidRPr="00F95C2E">
        <w:rPr>
          <w:rFonts w:ascii="Arial" w:hAnsi="Arial" w:cs="Arial"/>
          <w:sz w:val="22"/>
          <w:szCs w:val="22"/>
          <w:lang w:eastAsia="hu-HU"/>
        </w:rPr>
        <w:t>A</w:t>
      </w:r>
      <w:r w:rsidR="00043A23">
        <w:rPr>
          <w:rFonts w:ascii="Arial" w:hAnsi="Arial" w:cs="Arial"/>
          <w:sz w:val="22"/>
          <w:szCs w:val="22"/>
          <w:lang w:eastAsia="hu-HU"/>
        </w:rPr>
        <w:t xml:space="preserve"> Társulásoknál</w:t>
      </w:r>
      <w:r w:rsidRPr="00F95C2E">
        <w:rPr>
          <w:rFonts w:ascii="Arial" w:hAnsi="Arial" w:cs="Arial"/>
          <w:sz w:val="22"/>
          <w:szCs w:val="22"/>
          <w:lang w:eastAsia="hu-HU"/>
        </w:rPr>
        <w:t xml:space="preserve"> dolgozók részére az előző évben is biztosított </w:t>
      </w:r>
      <w:r w:rsidRPr="00F95C2E">
        <w:rPr>
          <w:rFonts w:ascii="Arial" w:hAnsi="Arial" w:cs="Arial"/>
          <w:sz w:val="22"/>
          <w:szCs w:val="22"/>
        </w:rPr>
        <w:t>nem rendszeres juttatásokkal</w:t>
      </w:r>
      <w:r w:rsidR="000507A1" w:rsidRPr="00F95C2E">
        <w:rPr>
          <w:rFonts w:ascii="Arial" w:hAnsi="Arial" w:cs="Arial"/>
          <w:sz w:val="22"/>
          <w:szCs w:val="22"/>
        </w:rPr>
        <w:t xml:space="preserve"> </w:t>
      </w:r>
      <w:r w:rsidRPr="00F95C2E">
        <w:rPr>
          <w:rFonts w:ascii="Arial" w:hAnsi="Arial" w:cs="Arial"/>
          <w:sz w:val="22"/>
          <w:szCs w:val="22"/>
        </w:rPr>
        <w:t>(a bankszámlavezetési díjak, közlekedési költségtérítések, a magáncélú telefon használati díjak)</w:t>
      </w:r>
      <w:r w:rsidR="000507A1" w:rsidRPr="00F95C2E">
        <w:rPr>
          <w:rFonts w:ascii="Arial" w:hAnsi="Arial" w:cs="Arial"/>
          <w:sz w:val="22"/>
          <w:szCs w:val="22"/>
        </w:rPr>
        <w:t>,</w:t>
      </w:r>
      <w:r w:rsidRPr="00F95C2E">
        <w:rPr>
          <w:rFonts w:ascii="Arial" w:hAnsi="Arial" w:cs="Arial"/>
          <w:sz w:val="22"/>
          <w:szCs w:val="22"/>
        </w:rPr>
        <w:t xml:space="preserve"> é</w:t>
      </w:r>
      <w:r w:rsidR="000507A1" w:rsidRPr="00F95C2E">
        <w:rPr>
          <w:rFonts w:ascii="Arial" w:hAnsi="Arial" w:cs="Arial"/>
          <w:sz w:val="22"/>
          <w:szCs w:val="22"/>
        </w:rPr>
        <w:t>s</w:t>
      </w:r>
      <w:r w:rsidRPr="00F95C2E">
        <w:rPr>
          <w:rFonts w:ascii="Arial" w:hAnsi="Arial" w:cs="Arial"/>
          <w:sz w:val="22"/>
          <w:szCs w:val="22"/>
        </w:rPr>
        <w:t xml:space="preserve"> megbízási díjak</w:t>
      </w:r>
      <w:r w:rsidR="000507A1" w:rsidRPr="00F95C2E">
        <w:rPr>
          <w:rFonts w:ascii="Arial" w:hAnsi="Arial" w:cs="Arial"/>
          <w:sz w:val="22"/>
          <w:szCs w:val="22"/>
        </w:rPr>
        <w:t>kal</w:t>
      </w:r>
      <w:r w:rsidRPr="00F95C2E">
        <w:rPr>
          <w:rFonts w:ascii="Arial" w:hAnsi="Arial" w:cs="Arial"/>
          <w:sz w:val="22"/>
          <w:szCs w:val="22"/>
        </w:rPr>
        <w:t xml:space="preserve"> </w:t>
      </w:r>
      <w:r w:rsidR="000507A1" w:rsidRPr="00F95C2E">
        <w:rPr>
          <w:rFonts w:ascii="Arial" w:hAnsi="Arial" w:cs="Arial"/>
          <w:sz w:val="22"/>
          <w:szCs w:val="22"/>
        </w:rPr>
        <w:t>terveztünk.</w:t>
      </w:r>
    </w:p>
    <w:p w14:paraId="46FB27CF" w14:textId="4F7BC498" w:rsidR="00D459CC" w:rsidRPr="00F95C2E" w:rsidRDefault="00D46103" w:rsidP="00D459CC">
      <w:pPr>
        <w:overflowPunct w:val="0"/>
        <w:autoSpaceDE w:val="0"/>
        <w:autoSpaceDN w:val="0"/>
        <w:adjustRightInd w:val="0"/>
        <w:spacing w:line="276" w:lineRule="auto"/>
        <w:jc w:val="both"/>
        <w:textAlignment w:val="baseline"/>
        <w:rPr>
          <w:rFonts w:ascii="Arial" w:hAnsi="Arial" w:cs="Arial"/>
          <w:sz w:val="22"/>
          <w:szCs w:val="22"/>
          <w:lang w:eastAsia="hu-HU"/>
        </w:rPr>
      </w:pPr>
      <w:r w:rsidRPr="00F95C2E">
        <w:rPr>
          <w:rFonts w:ascii="Arial" w:hAnsi="Arial" w:cs="Arial"/>
          <w:sz w:val="22"/>
          <w:szCs w:val="22"/>
          <w:lang w:eastAsia="hu-HU"/>
        </w:rPr>
        <w:t xml:space="preserve">A </w:t>
      </w:r>
      <w:r w:rsidRPr="00723C10">
        <w:rPr>
          <w:rFonts w:ascii="Arial" w:hAnsi="Arial" w:cs="Arial"/>
          <w:sz w:val="22"/>
          <w:szCs w:val="22"/>
          <w:lang w:eastAsia="hu-HU"/>
        </w:rPr>
        <w:t xml:space="preserve">dologi kiadásoknál átlag </w:t>
      </w:r>
      <w:r w:rsidR="00043A23" w:rsidRPr="00723C10">
        <w:rPr>
          <w:rFonts w:ascii="Arial" w:hAnsi="Arial" w:cs="Arial"/>
          <w:sz w:val="22"/>
          <w:szCs w:val="22"/>
          <w:lang w:eastAsia="hu-HU"/>
        </w:rPr>
        <w:t>5</w:t>
      </w:r>
      <w:r w:rsidR="00F95C2E" w:rsidRPr="00723C10">
        <w:rPr>
          <w:rFonts w:ascii="Arial" w:hAnsi="Arial" w:cs="Arial"/>
          <w:sz w:val="22"/>
          <w:szCs w:val="22"/>
          <w:lang w:eastAsia="hu-HU"/>
        </w:rPr>
        <w:t xml:space="preserve"> </w:t>
      </w:r>
      <w:r w:rsidRPr="00723C10">
        <w:rPr>
          <w:rFonts w:ascii="Arial" w:hAnsi="Arial" w:cs="Arial"/>
          <w:sz w:val="22"/>
          <w:szCs w:val="22"/>
          <w:lang w:eastAsia="hu-HU"/>
        </w:rPr>
        <w:t>%-</w:t>
      </w:r>
      <w:proofErr w:type="spellStart"/>
      <w:r w:rsidRPr="00723C10">
        <w:rPr>
          <w:rFonts w:ascii="Arial" w:hAnsi="Arial" w:cs="Arial"/>
          <w:sz w:val="22"/>
          <w:szCs w:val="22"/>
          <w:lang w:eastAsia="hu-HU"/>
        </w:rPr>
        <w:t>os</w:t>
      </w:r>
      <w:proofErr w:type="spellEnd"/>
      <w:r w:rsidRPr="00723C10">
        <w:rPr>
          <w:rFonts w:ascii="Arial" w:hAnsi="Arial" w:cs="Arial"/>
          <w:sz w:val="22"/>
          <w:szCs w:val="22"/>
          <w:lang w:eastAsia="hu-HU"/>
        </w:rPr>
        <w:t xml:space="preserve"> emeléssel számoltunk</w:t>
      </w:r>
      <w:r w:rsidR="00877E17" w:rsidRPr="00723C10">
        <w:rPr>
          <w:rFonts w:ascii="Arial" w:hAnsi="Arial" w:cs="Arial"/>
          <w:sz w:val="22"/>
          <w:szCs w:val="22"/>
          <w:lang w:eastAsia="hu-HU"/>
        </w:rPr>
        <w:t xml:space="preserve">. </w:t>
      </w:r>
      <w:r w:rsidR="00D459CC" w:rsidRPr="00723C10">
        <w:rPr>
          <w:rFonts w:ascii="Arial" w:hAnsi="Arial" w:cs="Arial"/>
          <w:sz w:val="22"/>
          <w:szCs w:val="22"/>
          <w:lang w:eastAsia="hu-HU"/>
        </w:rPr>
        <w:t>Az energiaköltségeket az előző év tényleges felhasználási adatai alapján, a szerződésekből</w:t>
      </w:r>
      <w:r w:rsidR="00D459CC" w:rsidRPr="00F95C2E">
        <w:rPr>
          <w:rFonts w:ascii="Arial" w:hAnsi="Arial" w:cs="Arial"/>
          <w:sz w:val="22"/>
          <w:szCs w:val="22"/>
          <w:lang w:eastAsia="hu-HU"/>
        </w:rPr>
        <w:t xml:space="preserve"> ismert díjjal </w:t>
      </w:r>
      <w:proofErr w:type="gramStart"/>
      <w:r w:rsidR="00D459CC" w:rsidRPr="00F95C2E">
        <w:rPr>
          <w:rFonts w:ascii="Arial" w:hAnsi="Arial" w:cs="Arial"/>
          <w:sz w:val="22"/>
          <w:szCs w:val="22"/>
          <w:lang w:eastAsia="hu-HU"/>
        </w:rPr>
        <w:t>kalkuláltuk</w:t>
      </w:r>
      <w:proofErr w:type="gramEnd"/>
      <w:r w:rsidR="00D459CC" w:rsidRPr="00F95C2E">
        <w:rPr>
          <w:rFonts w:ascii="Arial" w:hAnsi="Arial" w:cs="Arial"/>
          <w:sz w:val="22"/>
          <w:szCs w:val="22"/>
          <w:lang w:eastAsia="hu-HU"/>
        </w:rPr>
        <w:t>, a nyersanyagbeszerzés költségét az előző évben lefolytatott beszerzés keretében elfogadott áraknak megfelelően, az érvényes nyersanyagnorma szerint határoztuk meg</w:t>
      </w:r>
      <w:r w:rsidR="00877E17" w:rsidRPr="00F95C2E">
        <w:rPr>
          <w:rFonts w:ascii="Arial" w:hAnsi="Arial" w:cs="Arial"/>
          <w:sz w:val="22"/>
          <w:szCs w:val="22"/>
          <w:lang w:eastAsia="hu-HU"/>
        </w:rPr>
        <w:t>.</w:t>
      </w:r>
    </w:p>
    <w:p w14:paraId="265B4352" w14:textId="237E753E" w:rsidR="00877E17" w:rsidRPr="006D4450" w:rsidRDefault="00877E17" w:rsidP="008067EC">
      <w:pPr>
        <w:overflowPunct w:val="0"/>
        <w:autoSpaceDE w:val="0"/>
        <w:autoSpaceDN w:val="0"/>
        <w:adjustRightInd w:val="0"/>
        <w:spacing w:line="276" w:lineRule="auto"/>
        <w:jc w:val="both"/>
        <w:textAlignment w:val="baseline"/>
        <w:rPr>
          <w:rFonts w:ascii="Arial" w:hAnsi="Arial" w:cs="Arial"/>
          <w:sz w:val="22"/>
          <w:szCs w:val="22"/>
          <w:lang w:eastAsia="hu-HU"/>
        </w:rPr>
      </w:pPr>
    </w:p>
    <w:p w14:paraId="464338A9" w14:textId="310A7DBB" w:rsidR="00617C75" w:rsidRPr="00AD67EC" w:rsidRDefault="00877E17" w:rsidP="0036063A">
      <w:pPr>
        <w:suppressAutoHyphens/>
        <w:overflowPunct w:val="0"/>
        <w:autoSpaceDE w:val="0"/>
        <w:spacing w:line="276" w:lineRule="auto"/>
        <w:jc w:val="both"/>
        <w:textAlignment w:val="baseline"/>
        <w:rPr>
          <w:rFonts w:ascii="Arial" w:hAnsi="Arial" w:cs="Arial"/>
          <w:sz w:val="22"/>
          <w:szCs w:val="22"/>
        </w:rPr>
      </w:pPr>
      <w:r w:rsidRPr="00AD67EC">
        <w:rPr>
          <w:rFonts w:ascii="Arial" w:hAnsi="Arial" w:cs="Arial"/>
          <w:sz w:val="22"/>
          <w:szCs w:val="22"/>
        </w:rPr>
        <w:t>Az államháztartáson belülre átadandó működési célú összeg tartalmazza még</w:t>
      </w:r>
      <w:r w:rsidR="00AD67EC" w:rsidRPr="00AD67EC">
        <w:rPr>
          <w:rFonts w:ascii="Arial" w:hAnsi="Arial" w:cs="Arial"/>
          <w:sz w:val="22"/>
          <w:szCs w:val="22"/>
        </w:rPr>
        <w:t xml:space="preserve"> </w:t>
      </w:r>
      <w:r w:rsidR="00D46103" w:rsidRPr="00AD67EC">
        <w:rPr>
          <w:rFonts w:ascii="Arial" w:hAnsi="Arial" w:cs="Arial"/>
          <w:sz w:val="22"/>
          <w:szCs w:val="22"/>
        </w:rPr>
        <w:t>a nemzetiségi önkormányzatok részére</w:t>
      </w:r>
      <w:r w:rsidR="000B50B7" w:rsidRPr="00AD67EC">
        <w:rPr>
          <w:rFonts w:ascii="Arial" w:hAnsi="Arial" w:cs="Arial"/>
          <w:sz w:val="22"/>
          <w:szCs w:val="22"/>
        </w:rPr>
        <w:t xml:space="preserve"> biztosított </w:t>
      </w:r>
      <w:r w:rsidR="00043A23">
        <w:rPr>
          <w:rFonts w:ascii="Arial" w:hAnsi="Arial" w:cs="Arial"/>
          <w:sz w:val="22"/>
          <w:szCs w:val="22"/>
        </w:rPr>
        <w:t>összesen 1 100 000</w:t>
      </w:r>
      <w:r w:rsidR="00AD67EC" w:rsidRPr="00AD67EC">
        <w:rPr>
          <w:rFonts w:ascii="Arial" w:hAnsi="Arial" w:cs="Arial"/>
          <w:sz w:val="22"/>
          <w:szCs w:val="22"/>
        </w:rPr>
        <w:t xml:space="preserve"> Ft </w:t>
      </w:r>
      <w:r w:rsidR="000B50B7" w:rsidRPr="00AD67EC">
        <w:rPr>
          <w:rFonts w:ascii="Arial" w:hAnsi="Arial" w:cs="Arial"/>
          <w:sz w:val="22"/>
          <w:szCs w:val="22"/>
        </w:rPr>
        <w:t>támogatást</w:t>
      </w:r>
      <w:r w:rsidR="00D46103" w:rsidRPr="00AD67EC">
        <w:rPr>
          <w:rFonts w:ascii="Arial" w:hAnsi="Arial" w:cs="Arial"/>
          <w:sz w:val="22"/>
          <w:szCs w:val="22"/>
        </w:rPr>
        <w:t xml:space="preserve">, a </w:t>
      </w:r>
      <w:proofErr w:type="spellStart"/>
      <w:r w:rsidR="00D46103" w:rsidRPr="00AD67EC">
        <w:rPr>
          <w:rFonts w:ascii="Arial" w:hAnsi="Arial" w:cs="Arial"/>
          <w:sz w:val="22"/>
          <w:szCs w:val="22"/>
        </w:rPr>
        <w:t>Bursa</w:t>
      </w:r>
      <w:proofErr w:type="spellEnd"/>
      <w:r w:rsidR="00D46103" w:rsidRPr="00AD67EC">
        <w:rPr>
          <w:rFonts w:ascii="Arial" w:hAnsi="Arial" w:cs="Arial"/>
          <w:sz w:val="22"/>
          <w:szCs w:val="22"/>
        </w:rPr>
        <w:t xml:space="preserve"> Hungarica ösztöndíjra átadásra kerülő </w:t>
      </w:r>
      <w:r w:rsidR="00043A23">
        <w:rPr>
          <w:rFonts w:ascii="Arial" w:hAnsi="Arial" w:cs="Arial"/>
          <w:sz w:val="22"/>
          <w:szCs w:val="22"/>
        </w:rPr>
        <w:t>500</w:t>
      </w:r>
      <w:r w:rsidR="00AD67EC" w:rsidRPr="00AD67EC">
        <w:rPr>
          <w:rFonts w:ascii="Arial" w:hAnsi="Arial" w:cs="Arial"/>
          <w:sz w:val="22"/>
          <w:szCs w:val="22"/>
        </w:rPr>
        <w:t xml:space="preserve"> 000 Ft </w:t>
      </w:r>
      <w:r w:rsidR="00D8402B">
        <w:rPr>
          <w:rFonts w:ascii="Arial" w:hAnsi="Arial" w:cs="Arial"/>
          <w:sz w:val="22"/>
          <w:szCs w:val="22"/>
        </w:rPr>
        <w:t>összegé</w:t>
      </w:r>
      <w:r w:rsidR="000B50B7" w:rsidRPr="00AD67EC">
        <w:rPr>
          <w:rFonts w:ascii="Arial" w:hAnsi="Arial" w:cs="Arial"/>
          <w:sz w:val="22"/>
          <w:szCs w:val="22"/>
        </w:rPr>
        <w:t>t</w:t>
      </w:r>
      <w:r w:rsidR="00D46103" w:rsidRPr="00AD67EC">
        <w:rPr>
          <w:rFonts w:ascii="Arial" w:hAnsi="Arial" w:cs="Arial"/>
          <w:sz w:val="22"/>
          <w:szCs w:val="22"/>
        </w:rPr>
        <w:t xml:space="preserve">, </w:t>
      </w:r>
      <w:r w:rsidR="000B50B7" w:rsidRPr="00AD67EC">
        <w:rPr>
          <w:rFonts w:ascii="Arial" w:hAnsi="Arial" w:cs="Arial"/>
          <w:sz w:val="22"/>
          <w:szCs w:val="22"/>
        </w:rPr>
        <w:t xml:space="preserve">valamint </w:t>
      </w:r>
      <w:r w:rsidR="00DB0DC4">
        <w:rPr>
          <w:rFonts w:ascii="Arial" w:hAnsi="Arial" w:cs="Arial"/>
          <w:sz w:val="22"/>
          <w:szCs w:val="22"/>
        </w:rPr>
        <w:t xml:space="preserve">itt kerül </w:t>
      </w:r>
      <w:r w:rsidR="00DB0DC4" w:rsidRPr="00DB0DC4">
        <w:rPr>
          <w:rFonts w:ascii="Arial" w:hAnsi="Arial" w:cs="Arial"/>
          <w:sz w:val="22"/>
          <w:szCs w:val="22"/>
        </w:rPr>
        <w:t xml:space="preserve">kimutatásra </w:t>
      </w:r>
      <w:r w:rsidR="000B50B7" w:rsidRPr="00DB0DC4">
        <w:rPr>
          <w:rFonts w:ascii="Arial" w:hAnsi="Arial" w:cs="Arial"/>
          <w:sz w:val="22"/>
          <w:szCs w:val="22"/>
        </w:rPr>
        <w:t xml:space="preserve">a </w:t>
      </w:r>
      <w:r w:rsidR="00E83EB3" w:rsidRPr="00DB0DC4">
        <w:rPr>
          <w:rFonts w:ascii="Arial" w:hAnsi="Arial" w:cs="Arial"/>
          <w:sz w:val="22"/>
          <w:szCs w:val="22"/>
        </w:rPr>
        <w:t>KÖH 202</w:t>
      </w:r>
      <w:r w:rsidR="00043A23">
        <w:rPr>
          <w:rFonts w:ascii="Arial" w:hAnsi="Arial" w:cs="Arial"/>
          <w:sz w:val="22"/>
          <w:szCs w:val="22"/>
        </w:rPr>
        <w:t>5</w:t>
      </w:r>
      <w:r w:rsidR="00E83EB3" w:rsidRPr="00DB0DC4">
        <w:rPr>
          <w:rFonts w:ascii="Arial" w:hAnsi="Arial" w:cs="Arial"/>
          <w:sz w:val="22"/>
          <w:szCs w:val="22"/>
        </w:rPr>
        <w:t xml:space="preserve">. évi </w:t>
      </w:r>
      <w:r w:rsidR="00DB0DC4" w:rsidRPr="00DB0DC4">
        <w:rPr>
          <w:rFonts w:ascii="Arial" w:hAnsi="Arial" w:cs="Arial"/>
          <w:sz w:val="22"/>
          <w:szCs w:val="22"/>
        </w:rPr>
        <w:t xml:space="preserve">felosztandó maradványa </w:t>
      </w:r>
      <w:r w:rsidR="00043A23">
        <w:rPr>
          <w:rFonts w:ascii="Arial" w:hAnsi="Arial" w:cs="Arial"/>
          <w:sz w:val="22"/>
          <w:szCs w:val="22"/>
        </w:rPr>
        <w:t>3 692 617</w:t>
      </w:r>
      <w:r w:rsidR="00DB0DC4" w:rsidRPr="00DB0DC4">
        <w:rPr>
          <w:rFonts w:ascii="Arial" w:hAnsi="Arial" w:cs="Arial"/>
          <w:sz w:val="22"/>
          <w:szCs w:val="22"/>
        </w:rPr>
        <w:t xml:space="preserve"> Ft összeggel.</w:t>
      </w:r>
    </w:p>
    <w:p w14:paraId="1950C8CD" w14:textId="77777777" w:rsidR="0036063A" w:rsidRDefault="0036063A" w:rsidP="0036063A">
      <w:pPr>
        <w:spacing w:line="276" w:lineRule="auto"/>
        <w:jc w:val="both"/>
        <w:rPr>
          <w:rFonts w:ascii="Arial" w:hAnsi="Arial" w:cs="Arial"/>
          <w:sz w:val="22"/>
          <w:szCs w:val="22"/>
        </w:rPr>
      </w:pPr>
    </w:p>
    <w:p w14:paraId="4FCD9FD3" w14:textId="71F2E87F" w:rsidR="00D54413" w:rsidRPr="000D7EF1" w:rsidRDefault="006325C2" w:rsidP="0036063A">
      <w:pPr>
        <w:spacing w:line="276" w:lineRule="auto"/>
        <w:jc w:val="both"/>
        <w:rPr>
          <w:rFonts w:ascii="Arial" w:hAnsi="Arial" w:cs="Arial"/>
          <w:sz w:val="22"/>
          <w:szCs w:val="22"/>
        </w:rPr>
      </w:pPr>
      <w:r w:rsidRPr="00343350">
        <w:rPr>
          <w:rFonts w:ascii="Arial" w:hAnsi="Arial" w:cs="Arial"/>
          <w:sz w:val="22"/>
          <w:szCs w:val="22"/>
        </w:rPr>
        <w:t xml:space="preserve">Szintén a 12. sz. mellékletben részletesen kimutattuk az </w:t>
      </w:r>
      <w:r w:rsidRPr="00043A23">
        <w:rPr>
          <w:rFonts w:ascii="Arial" w:hAnsi="Arial" w:cs="Arial"/>
          <w:bCs/>
          <w:sz w:val="22"/>
          <w:szCs w:val="22"/>
          <w:u w:val="single"/>
        </w:rPr>
        <w:t>Egyéb működési célú kiadásokat államháztartáson kívülre</w:t>
      </w:r>
      <w:r w:rsidR="00161EEA" w:rsidRPr="000D7EF1">
        <w:rPr>
          <w:rFonts w:ascii="Arial" w:hAnsi="Arial" w:cs="Arial"/>
          <w:sz w:val="22"/>
          <w:szCs w:val="22"/>
        </w:rPr>
        <w:t xml:space="preserve">. Az itt megjelenő </w:t>
      </w:r>
      <w:r w:rsidR="00043A23">
        <w:rPr>
          <w:rFonts w:ascii="Arial" w:hAnsi="Arial" w:cs="Arial"/>
          <w:sz w:val="22"/>
          <w:szCs w:val="22"/>
        </w:rPr>
        <w:t>306 399 010</w:t>
      </w:r>
      <w:r w:rsidR="00AD67EC" w:rsidRPr="000D7EF1">
        <w:rPr>
          <w:rFonts w:ascii="Arial" w:hAnsi="Arial" w:cs="Arial"/>
          <w:sz w:val="22"/>
          <w:szCs w:val="22"/>
        </w:rPr>
        <w:t xml:space="preserve"> Ft előirányzat</w:t>
      </w:r>
      <w:r w:rsidR="00723C10">
        <w:rPr>
          <w:rFonts w:ascii="Arial" w:hAnsi="Arial" w:cs="Arial"/>
          <w:sz w:val="22"/>
          <w:szCs w:val="22"/>
        </w:rPr>
        <w:t xml:space="preserve"> </w:t>
      </w:r>
      <w:proofErr w:type="gramStart"/>
      <w:r w:rsidR="00723C10">
        <w:rPr>
          <w:rFonts w:ascii="Arial" w:hAnsi="Arial" w:cs="Arial"/>
          <w:sz w:val="22"/>
          <w:szCs w:val="22"/>
        </w:rPr>
        <w:t xml:space="preserve">tartalmazza </w:t>
      </w:r>
      <w:r w:rsidR="008921C0">
        <w:rPr>
          <w:rFonts w:ascii="Arial" w:hAnsi="Arial" w:cs="Arial"/>
          <w:sz w:val="22"/>
          <w:szCs w:val="22"/>
        </w:rPr>
        <w:t xml:space="preserve">               </w:t>
      </w:r>
      <w:r w:rsidR="00723C10">
        <w:rPr>
          <w:rFonts w:ascii="Arial" w:hAnsi="Arial" w:cs="Arial"/>
          <w:sz w:val="22"/>
          <w:szCs w:val="22"/>
        </w:rPr>
        <w:t>17</w:t>
      </w:r>
      <w:proofErr w:type="gramEnd"/>
      <w:r w:rsidR="00723C10">
        <w:rPr>
          <w:rFonts w:ascii="Arial" w:hAnsi="Arial" w:cs="Arial"/>
          <w:sz w:val="22"/>
          <w:szCs w:val="22"/>
        </w:rPr>
        <w:t> 5</w:t>
      </w:r>
      <w:r w:rsidR="00043A23">
        <w:rPr>
          <w:rFonts w:ascii="Arial" w:hAnsi="Arial" w:cs="Arial"/>
          <w:sz w:val="22"/>
          <w:szCs w:val="22"/>
        </w:rPr>
        <w:t>32 550</w:t>
      </w:r>
      <w:r w:rsidR="00354E5A" w:rsidRPr="000D7EF1">
        <w:rPr>
          <w:rFonts w:ascii="Arial" w:hAnsi="Arial" w:cs="Arial"/>
          <w:sz w:val="22"/>
          <w:szCs w:val="22"/>
        </w:rPr>
        <w:t xml:space="preserve"> Ft </w:t>
      </w:r>
      <w:r w:rsidR="008921C0">
        <w:rPr>
          <w:rFonts w:ascii="Arial" w:hAnsi="Arial" w:cs="Arial"/>
          <w:sz w:val="22"/>
          <w:szCs w:val="22"/>
        </w:rPr>
        <w:t>nagyságban</w:t>
      </w:r>
      <w:r w:rsidR="00043A23">
        <w:rPr>
          <w:rFonts w:ascii="Arial" w:hAnsi="Arial" w:cs="Arial"/>
          <w:sz w:val="22"/>
          <w:szCs w:val="22"/>
        </w:rPr>
        <w:t xml:space="preserve"> </w:t>
      </w:r>
      <w:r w:rsidR="00354E5A" w:rsidRPr="000D7EF1">
        <w:rPr>
          <w:rFonts w:ascii="Arial" w:hAnsi="Arial" w:cs="Arial"/>
          <w:sz w:val="22"/>
          <w:szCs w:val="22"/>
        </w:rPr>
        <w:t xml:space="preserve">a </w:t>
      </w:r>
      <w:r w:rsidR="00F8190F" w:rsidRPr="000D7EF1">
        <w:rPr>
          <w:rFonts w:ascii="Arial" w:hAnsi="Arial" w:cs="Arial"/>
          <w:sz w:val="22"/>
          <w:szCs w:val="22"/>
        </w:rPr>
        <w:t>kiemelt szervezetek támogatására</w:t>
      </w:r>
      <w:r w:rsidR="00043A23">
        <w:rPr>
          <w:rFonts w:ascii="Arial" w:hAnsi="Arial" w:cs="Arial"/>
          <w:sz w:val="22"/>
          <w:szCs w:val="22"/>
        </w:rPr>
        <w:t xml:space="preserve"> fordítandó összeget</w:t>
      </w:r>
      <w:r w:rsidR="00F8190F" w:rsidRPr="000D7EF1">
        <w:rPr>
          <w:rFonts w:ascii="Arial" w:hAnsi="Arial" w:cs="Arial"/>
          <w:sz w:val="22"/>
          <w:szCs w:val="22"/>
        </w:rPr>
        <w:t xml:space="preserve">, </w:t>
      </w:r>
      <w:r w:rsidR="00D54413" w:rsidRPr="000D7EF1">
        <w:rPr>
          <w:rFonts w:ascii="Arial" w:hAnsi="Arial" w:cs="Arial"/>
          <w:sz w:val="22"/>
          <w:szCs w:val="22"/>
        </w:rPr>
        <w:t>továbbá tartalmazza az egyházak, a hagyományőrző egyesületek, az alapítványok, a sport</w:t>
      </w:r>
      <w:r w:rsidR="0060779E" w:rsidRPr="000D7EF1">
        <w:rPr>
          <w:rFonts w:ascii="Arial" w:hAnsi="Arial" w:cs="Arial"/>
          <w:sz w:val="22"/>
          <w:szCs w:val="22"/>
        </w:rPr>
        <w:t xml:space="preserve"> </w:t>
      </w:r>
      <w:r w:rsidR="00D54413" w:rsidRPr="000D7EF1">
        <w:rPr>
          <w:rFonts w:ascii="Arial" w:hAnsi="Arial" w:cs="Arial"/>
          <w:sz w:val="22"/>
          <w:szCs w:val="22"/>
        </w:rPr>
        <w:t>szervezet</w:t>
      </w:r>
      <w:r w:rsidR="0060779E" w:rsidRPr="000D7EF1">
        <w:rPr>
          <w:rFonts w:ascii="Arial" w:hAnsi="Arial" w:cs="Arial"/>
          <w:sz w:val="22"/>
          <w:szCs w:val="22"/>
        </w:rPr>
        <w:t>e</w:t>
      </w:r>
      <w:r w:rsidR="00D54413" w:rsidRPr="000D7EF1">
        <w:rPr>
          <w:rFonts w:ascii="Arial" w:hAnsi="Arial" w:cs="Arial"/>
          <w:sz w:val="22"/>
          <w:szCs w:val="22"/>
        </w:rPr>
        <w:t>k, közművelődési szervezetek, egyéb civil szervezetek pályázható támogatási keretösszegét</w:t>
      </w:r>
      <w:r w:rsidR="0036063A">
        <w:rPr>
          <w:rFonts w:ascii="Arial" w:hAnsi="Arial" w:cs="Arial"/>
          <w:sz w:val="22"/>
          <w:szCs w:val="22"/>
        </w:rPr>
        <w:t>. Az előirányzat f</w:t>
      </w:r>
      <w:r w:rsidR="00E1502C" w:rsidRPr="000D7EF1">
        <w:rPr>
          <w:rFonts w:ascii="Arial" w:hAnsi="Arial" w:cs="Arial"/>
          <w:sz w:val="22"/>
          <w:szCs w:val="22"/>
        </w:rPr>
        <w:t xml:space="preserve">edezetet tartalmaz a felsőoktatási tanulmányi ösztöndíj 1 havi áthúzódó kiadására, valamint az ez évi kiadásra. </w:t>
      </w:r>
      <w:r w:rsidR="005A2562" w:rsidRPr="000D7EF1">
        <w:rPr>
          <w:rFonts w:ascii="Arial" w:hAnsi="Arial" w:cs="Arial"/>
          <w:sz w:val="22"/>
          <w:szCs w:val="22"/>
        </w:rPr>
        <w:t>Az előirányzat tartalmazza a köztemető fenntartásának 202</w:t>
      </w:r>
      <w:r w:rsidR="00043A23">
        <w:rPr>
          <w:rFonts w:ascii="Arial" w:hAnsi="Arial" w:cs="Arial"/>
          <w:sz w:val="22"/>
          <w:szCs w:val="22"/>
        </w:rPr>
        <w:t>5</w:t>
      </w:r>
      <w:r w:rsidR="005A2562" w:rsidRPr="000D7EF1">
        <w:rPr>
          <w:rFonts w:ascii="Arial" w:hAnsi="Arial" w:cs="Arial"/>
          <w:sz w:val="22"/>
          <w:szCs w:val="22"/>
        </w:rPr>
        <w:t>. évi elszámolásával összefüggően fizetendő ös</w:t>
      </w:r>
      <w:r w:rsidR="00864EA0" w:rsidRPr="000D7EF1">
        <w:rPr>
          <w:rFonts w:ascii="Arial" w:hAnsi="Arial" w:cs="Arial"/>
          <w:sz w:val="22"/>
          <w:szCs w:val="22"/>
        </w:rPr>
        <w:t>s</w:t>
      </w:r>
      <w:r w:rsidR="005A2562" w:rsidRPr="000D7EF1">
        <w:rPr>
          <w:rFonts w:ascii="Arial" w:hAnsi="Arial" w:cs="Arial"/>
          <w:sz w:val="22"/>
          <w:szCs w:val="22"/>
        </w:rPr>
        <w:t>zeget.</w:t>
      </w:r>
    </w:p>
    <w:p w14:paraId="240F0821" w14:textId="28B4743A" w:rsidR="00864EA0" w:rsidRPr="0036063A" w:rsidRDefault="0036063A" w:rsidP="0036063A">
      <w:pPr>
        <w:spacing w:line="276" w:lineRule="auto"/>
        <w:jc w:val="both"/>
        <w:rPr>
          <w:rFonts w:ascii="Arial" w:hAnsi="Arial" w:cs="Arial"/>
          <w:sz w:val="22"/>
          <w:szCs w:val="22"/>
        </w:rPr>
      </w:pPr>
      <w:r>
        <w:rPr>
          <w:rFonts w:ascii="Arial" w:hAnsi="Arial" w:cs="Arial"/>
          <w:sz w:val="22"/>
          <w:szCs w:val="22"/>
        </w:rPr>
        <w:t xml:space="preserve">Itt jelenik meg </w:t>
      </w:r>
      <w:r w:rsidR="00F8190F" w:rsidRPr="000D7EF1">
        <w:rPr>
          <w:rFonts w:ascii="Arial" w:hAnsi="Arial" w:cs="Arial"/>
          <w:sz w:val="22"/>
          <w:szCs w:val="22"/>
        </w:rPr>
        <w:t>az ö</w:t>
      </w:r>
      <w:r w:rsidR="00864EA0" w:rsidRPr="000D7EF1">
        <w:rPr>
          <w:rFonts w:ascii="Arial" w:hAnsi="Arial" w:cs="Arial"/>
          <w:sz w:val="22"/>
          <w:szCs w:val="22"/>
        </w:rPr>
        <w:t>nkormányzat által alapított K</w:t>
      </w:r>
      <w:r w:rsidR="006325C2" w:rsidRPr="000D7EF1">
        <w:rPr>
          <w:rFonts w:ascii="Arial" w:hAnsi="Arial" w:cs="Arial"/>
          <w:sz w:val="22"/>
          <w:szCs w:val="22"/>
        </w:rPr>
        <w:t xml:space="preserve">ft-k </w:t>
      </w:r>
      <w:r w:rsidR="00354E5A" w:rsidRPr="000D7EF1">
        <w:rPr>
          <w:rFonts w:ascii="Arial" w:hAnsi="Arial" w:cs="Arial"/>
          <w:sz w:val="22"/>
          <w:szCs w:val="22"/>
        </w:rPr>
        <w:t xml:space="preserve">útján </w:t>
      </w:r>
      <w:r w:rsidR="00F8190F" w:rsidRPr="000D7EF1">
        <w:rPr>
          <w:rFonts w:ascii="Arial" w:hAnsi="Arial" w:cs="Arial"/>
          <w:sz w:val="22"/>
          <w:szCs w:val="22"/>
        </w:rPr>
        <w:t xml:space="preserve">ellátott </w:t>
      </w:r>
      <w:r w:rsidR="006325C2" w:rsidRPr="000D7EF1">
        <w:rPr>
          <w:rFonts w:ascii="Arial" w:hAnsi="Arial" w:cs="Arial"/>
          <w:sz w:val="22"/>
          <w:szCs w:val="22"/>
        </w:rPr>
        <w:t>önkormány</w:t>
      </w:r>
      <w:r w:rsidR="00723C10">
        <w:rPr>
          <w:rFonts w:ascii="Arial" w:hAnsi="Arial" w:cs="Arial"/>
          <w:sz w:val="22"/>
          <w:szCs w:val="22"/>
        </w:rPr>
        <w:t>zati üzemeltetési feladatok</w:t>
      </w:r>
      <w:r w:rsidR="00955355" w:rsidRPr="000D7EF1">
        <w:rPr>
          <w:rFonts w:ascii="Arial" w:hAnsi="Arial" w:cs="Arial"/>
          <w:sz w:val="22"/>
          <w:szCs w:val="22"/>
        </w:rPr>
        <w:t xml:space="preserve"> a költs</w:t>
      </w:r>
      <w:r>
        <w:rPr>
          <w:rFonts w:ascii="Arial" w:hAnsi="Arial" w:cs="Arial"/>
          <w:sz w:val="22"/>
          <w:szCs w:val="22"/>
        </w:rPr>
        <w:t>égvetésből biztosítandó fedezete</w:t>
      </w:r>
      <w:r w:rsidR="00F8190F" w:rsidRPr="000D7EF1">
        <w:rPr>
          <w:rFonts w:ascii="Arial" w:hAnsi="Arial" w:cs="Arial"/>
          <w:sz w:val="22"/>
          <w:szCs w:val="22"/>
        </w:rPr>
        <w:t xml:space="preserve">. </w:t>
      </w:r>
      <w:r w:rsidR="00955355" w:rsidRPr="0036063A">
        <w:rPr>
          <w:rFonts w:ascii="Arial" w:hAnsi="Arial" w:cs="Arial"/>
          <w:sz w:val="22"/>
          <w:szCs w:val="22"/>
        </w:rPr>
        <w:t xml:space="preserve">A BÁT-KOM 2004 Kft. részére </w:t>
      </w:r>
      <w:r w:rsidR="00043A23" w:rsidRPr="0036063A">
        <w:rPr>
          <w:rFonts w:ascii="Arial" w:hAnsi="Arial" w:cs="Arial"/>
          <w:sz w:val="22"/>
          <w:szCs w:val="22"/>
        </w:rPr>
        <w:t xml:space="preserve">194 048 000 </w:t>
      </w:r>
      <w:r w:rsidR="00D54413" w:rsidRPr="0036063A">
        <w:rPr>
          <w:rFonts w:ascii="Arial" w:hAnsi="Arial" w:cs="Arial"/>
          <w:sz w:val="22"/>
          <w:szCs w:val="22"/>
        </w:rPr>
        <w:t>Ft</w:t>
      </w:r>
      <w:r w:rsidR="002F3DD2">
        <w:rPr>
          <w:rFonts w:ascii="Arial" w:hAnsi="Arial" w:cs="Arial"/>
          <w:sz w:val="22"/>
          <w:szCs w:val="22"/>
        </w:rPr>
        <w:t xml:space="preserve">, </w:t>
      </w:r>
      <w:r w:rsidR="002F3DD2" w:rsidRPr="002F3DD2">
        <w:rPr>
          <w:rFonts w:ascii="Arial" w:hAnsi="Arial" w:cs="Arial"/>
          <w:sz w:val="22"/>
          <w:szCs w:val="22"/>
        </w:rPr>
        <w:t>ami az</w:t>
      </w:r>
      <w:r w:rsidR="00672EF3" w:rsidRPr="002F3DD2">
        <w:rPr>
          <w:rFonts w:ascii="Arial" w:hAnsi="Arial" w:cs="Arial"/>
          <w:sz w:val="22"/>
          <w:szCs w:val="22"/>
        </w:rPr>
        <w:t xml:space="preserve"> üzleti terv</w:t>
      </w:r>
      <w:r w:rsidR="002F3DD2" w:rsidRPr="002F3DD2">
        <w:rPr>
          <w:rFonts w:ascii="Arial" w:hAnsi="Arial" w:cs="Arial"/>
          <w:sz w:val="22"/>
          <w:szCs w:val="22"/>
        </w:rPr>
        <w:t xml:space="preserve">ben szereplő </w:t>
      </w:r>
      <w:r w:rsidR="00672EF3" w:rsidRPr="002F3DD2">
        <w:rPr>
          <w:rFonts w:ascii="Arial" w:hAnsi="Arial" w:cs="Arial"/>
          <w:sz w:val="22"/>
          <w:szCs w:val="22"/>
        </w:rPr>
        <w:t>193 850</w:t>
      </w:r>
      <w:r w:rsidR="00BE43E5" w:rsidRPr="002F3DD2">
        <w:rPr>
          <w:rFonts w:ascii="Arial" w:hAnsi="Arial" w:cs="Arial"/>
          <w:sz w:val="22"/>
          <w:szCs w:val="22"/>
        </w:rPr>
        <w:t> </w:t>
      </w:r>
      <w:r w:rsidR="00672EF3" w:rsidRPr="002F3DD2">
        <w:rPr>
          <w:rFonts w:ascii="Arial" w:hAnsi="Arial" w:cs="Arial"/>
          <w:sz w:val="22"/>
          <w:szCs w:val="22"/>
        </w:rPr>
        <w:t>000</w:t>
      </w:r>
      <w:r w:rsidR="002F3DD2" w:rsidRPr="002F3DD2">
        <w:rPr>
          <w:rFonts w:ascii="Arial" w:hAnsi="Arial" w:cs="Arial"/>
          <w:sz w:val="22"/>
          <w:szCs w:val="22"/>
        </w:rPr>
        <w:t xml:space="preserve"> Ft igény és a II. Géza Gimnázium tanulóira vonatkozó 20%-</w:t>
      </w:r>
      <w:proofErr w:type="spellStart"/>
      <w:r w:rsidR="002F3DD2" w:rsidRPr="002F3DD2">
        <w:rPr>
          <w:rFonts w:ascii="Arial" w:hAnsi="Arial" w:cs="Arial"/>
          <w:sz w:val="22"/>
          <w:szCs w:val="22"/>
        </w:rPr>
        <w:t>os</w:t>
      </w:r>
      <w:proofErr w:type="spellEnd"/>
      <w:r w:rsidR="002F3DD2" w:rsidRPr="002F3DD2">
        <w:rPr>
          <w:rFonts w:ascii="Arial" w:hAnsi="Arial" w:cs="Arial"/>
          <w:sz w:val="22"/>
          <w:szCs w:val="22"/>
        </w:rPr>
        <w:t xml:space="preserve"> díjkedvezmény </w:t>
      </w:r>
      <w:proofErr w:type="gramStart"/>
      <w:r w:rsidR="002F3DD2" w:rsidRPr="002F3DD2">
        <w:rPr>
          <w:rFonts w:ascii="Arial" w:hAnsi="Arial" w:cs="Arial"/>
          <w:sz w:val="22"/>
          <w:szCs w:val="22"/>
        </w:rPr>
        <w:t>kompenzációja</w:t>
      </w:r>
      <w:proofErr w:type="gramEnd"/>
      <w:r w:rsidR="002F3DD2" w:rsidRPr="002F3DD2">
        <w:rPr>
          <w:rFonts w:ascii="Arial" w:hAnsi="Arial" w:cs="Arial"/>
          <w:sz w:val="22"/>
          <w:szCs w:val="22"/>
        </w:rPr>
        <w:t xml:space="preserve">, </w:t>
      </w:r>
      <w:r w:rsidR="002F3DD2">
        <w:rPr>
          <w:rFonts w:ascii="Arial" w:hAnsi="Arial" w:cs="Arial"/>
          <w:sz w:val="22"/>
          <w:szCs w:val="22"/>
        </w:rPr>
        <w:t xml:space="preserve">és a </w:t>
      </w:r>
      <w:r w:rsidR="006325C2" w:rsidRPr="0036063A">
        <w:rPr>
          <w:rFonts w:ascii="Arial" w:hAnsi="Arial" w:cs="Arial"/>
          <w:sz w:val="22"/>
          <w:szCs w:val="22"/>
        </w:rPr>
        <w:t xml:space="preserve">Bátaszékért Marketing </w:t>
      </w:r>
      <w:r w:rsidR="00B05FEE" w:rsidRPr="0036063A">
        <w:rPr>
          <w:rFonts w:ascii="Arial" w:hAnsi="Arial" w:cs="Arial"/>
          <w:sz w:val="22"/>
          <w:szCs w:val="22"/>
        </w:rPr>
        <w:t xml:space="preserve">Nonprofit </w:t>
      </w:r>
      <w:r w:rsidR="006325C2" w:rsidRPr="0036063A">
        <w:rPr>
          <w:rFonts w:ascii="Arial" w:hAnsi="Arial" w:cs="Arial"/>
          <w:sz w:val="22"/>
          <w:szCs w:val="22"/>
        </w:rPr>
        <w:t xml:space="preserve">Kft. </w:t>
      </w:r>
      <w:r w:rsidR="00D54413" w:rsidRPr="0036063A">
        <w:rPr>
          <w:rFonts w:ascii="Arial" w:hAnsi="Arial" w:cs="Arial"/>
          <w:sz w:val="22"/>
          <w:szCs w:val="22"/>
        </w:rPr>
        <w:t xml:space="preserve">részére </w:t>
      </w:r>
      <w:r w:rsidR="00043A23" w:rsidRPr="0036063A">
        <w:rPr>
          <w:rFonts w:ascii="Arial" w:hAnsi="Arial" w:cs="Arial"/>
          <w:sz w:val="22"/>
          <w:szCs w:val="22"/>
        </w:rPr>
        <w:t>71 125 000</w:t>
      </w:r>
      <w:r w:rsidR="006325C2" w:rsidRPr="0036063A">
        <w:rPr>
          <w:rFonts w:ascii="Arial" w:hAnsi="Arial" w:cs="Arial"/>
          <w:sz w:val="22"/>
          <w:szCs w:val="22"/>
        </w:rPr>
        <w:t xml:space="preserve"> Ft </w:t>
      </w:r>
      <w:r w:rsidR="00955355" w:rsidRPr="0036063A">
        <w:rPr>
          <w:rFonts w:ascii="Arial" w:hAnsi="Arial" w:cs="Arial"/>
          <w:sz w:val="22"/>
          <w:szCs w:val="22"/>
        </w:rPr>
        <w:t xml:space="preserve">kerül átadásra </w:t>
      </w:r>
      <w:r w:rsidR="00864EA0" w:rsidRPr="0036063A">
        <w:rPr>
          <w:rFonts w:ascii="Arial" w:hAnsi="Arial" w:cs="Arial"/>
          <w:sz w:val="22"/>
          <w:szCs w:val="22"/>
        </w:rPr>
        <w:t xml:space="preserve">a Testület </w:t>
      </w:r>
      <w:r w:rsidR="0036003D" w:rsidRPr="0036063A">
        <w:rPr>
          <w:rFonts w:ascii="Arial" w:hAnsi="Arial" w:cs="Arial"/>
          <w:sz w:val="22"/>
          <w:szCs w:val="22"/>
        </w:rPr>
        <w:t>által már elfogadott 202</w:t>
      </w:r>
      <w:r w:rsidR="00043A23" w:rsidRPr="0036063A">
        <w:rPr>
          <w:rFonts w:ascii="Arial" w:hAnsi="Arial" w:cs="Arial"/>
          <w:sz w:val="22"/>
          <w:szCs w:val="22"/>
        </w:rPr>
        <w:t>6</w:t>
      </w:r>
      <w:r w:rsidR="00955355" w:rsidRPr="0036063A">
        <w:rPr>
          <w:rFonts w:ascii="Arial" w:hAnsi="Arial" w:cs="Arial"/>
          <w:sz w:val="22"/>
          <w:szCs w:val="22"/>
        </w:rPr>
        <w:t>. évi üzleti tervek</w:t>
      </w:r>
      <w:r w:rsidR="008F16F8" w:rsidRPr="0036063A">
        <w:rPr>
          <w:rFonts w:ascii="Arial" w:hAnsi="Arial" w:cs="Arial"/>
          <w:sz w:val="22"/>
          <w:szCs w:val="22"/>
        </w:rPr>
        <w:t xml:space="preserve"> </w:t>
      </w:r>
      <w:r w:rsidR="00043A23" w:rsidRPr="0036063A">
        <w:rPr>
          <w:rFonts w:ascii="Arial" w:hAnsi="Arial" w:cs="Arial"/>
          <w:sz w:val="22"/>
          <w:szCs w:val="22"/>
        </w:rPr>
        <w:t>szerint.</w:t>
      </w:r>
    </w:p>
    <w:p w14:paraId="351484DE" w14:textId="6F86BC79" w:rsidR="006D4450" w:rsidRDefault="00955355" w:rsidP="0036063A">
      <w:pPr>
        <w:spacing w:line="276" w:lineRule="auto"/>
        <w:jc w:val="both"/>
        <w:rPr>
          <w:rFonts w:ascii="Arial" w:hAnsi="Arial" w:cs="Arial"/>
          <w:sz w:val="22"/>
          <w:szCs w:val="22"/>
        </w:rPr>
      </w:pPr>
      <w:r w:rsidRPr="000D7EF1">
        <w:rPr>
          <w:rFonts w:ascii="Arial" w:hAnsi="Arial" w:cs="Arial"/>
          <w:sz w:val="22"/>
          <w:szCs w:val="22"/>
        </w:rPr>
        <w:t xml:space="preserve">A </w:t>
      </w:r>
      <w:r w:rsidR="00672EF3">
        <w:rPr>
          <w:rFonts w:ascii="Arial" w:hAnsi="Arial" w:cs="Arial"/>
          <w:sz w:val="22"/>
          <w:szCs w:val="22"/>
        </w:rPr>
        <w:t xml:space="preserve">Tanuszoda esetében a </w:t>
      </w:r>
      <w:r w:rsidRPr="00672EF3">
        <w:rPr>
          <w:rFonts w:ascii="Arial" w:hAnsi="Arial" w:cs="Arial"/>
          <w:sz w:val="22"/>
          <w:szCs w:val="22"/>
        </w:rPr>
        <w:t>Bát-</w:t>
      </w:r>
      <w:proofErr w:type="spellStart"/>
      <w:r w:rsidRPr="00672EF3">
        <w:rPr>
          <w:rFonts w:ascii="Arial" w:hAnsi="Arial" w:cs="Arial"/>
          <w:sz w:val="22"/>
          <w:szCs w:val="22"/>
        </w:rPr>
        <w:t>Kom</w:t>
      </w:r>
      <w:proofErr w:type="spellEnd"/>
      <w:r w:rsidRPr="00672EF3">
        <w:rPr>
          <w:rFonts w:ascii="Arial" w:hAnsi="Arial" w:cs="Arial"/>
          <w:sz w:val="22"/>
          <w:szCs w:val="22"/>
        </w:rPr>
        <w:t xml:space="preserve"> 2004. Kft-nek</w:t>
      </w:r>
      <w:r w:rsidRPr="000D7EF1">
        <w:rPr>
          <w:rFonts w:ascii="Arial" w:hAnsi="Arial" w:cs="Arial"/>
          <w:sz w:val="22"/>
          <w:szCs w:val="22"/>
        </w:rPr>
        <w:t xml:space="preserve"> </w:t>
      </w:r>
      <w:r w:rsidR="00672EF3">
        <w:rPr>
          <w:rFonts w:ascii="Arial" w:hAnsi="Arial" w:cs="Arial"/>
          <w:sz w:val="22"/>
          <w:szCs w:val="22"/>
        </w:rPr>
        <w:t>az Önkormányzat</w:t>
      </w:r>
      <w:r w:rsidRPr="000D7EF1">
        <w:rPr>
          <w:rFonts w:ascii="Arial" w:hAnsi="Arial" w:cs="Arial"/>
          <w:sz w:val="22"/>
          <w:szCs w:val="22"/>
        </w:rPr>
        <w:t xml:space="preserve"> </w:t>
      </w:r>
      <w:r w:rsidR="00672EF3">
        <w:rPr>
          <w:rFonts w:ascii="Arial" w:hAnsi="Arial" w:cs="Arial"/>
          <w:sz w:val="22"/>
          <w:szCs w:val="22"/>
        </w:rPr>
        <w:t>80 218</w:t>
      </w:r>
      <w:r w:rsidR="000D7EF1" w:rsidRPr="000D7EF1">
        <w:rPr>
          <w:rFonts w:ascii="Arial" w:hAnsi="Arial" w:cs="Arial"/>
          <w:sz w:val="22"/>
          <w:szCs w:val="22"/>
        </w:rPr>
        <w:t xml:space="preserve"> 000</w:t>
      </w:r>
      <w:r w:rsidRPr="000D7EF1">
        <w:rPr>
          <w:rFonts w:ascii="Arial" w:hAnsi="Arial" w:cs="Arial"/>
          <w:sz w:val="22"/>
          <w:szCs w:val="22"/>
        </w:rPr>
        <w:t xml:space="preserve"> </w:t>
      </w:r>
      <w:proofErr w:type="gramStart"/>
      <w:r w:rsidRPr="000D7EF1">
        <w:rPr>
          <w:rFonts w:ascii="Arial" w:hAnsi="Arial" w:cs="Arial"/>
          <w:sz w:val="22"/>
          <w:szCs w:val="22"/>
        </w:rPr>
        <w:t>Ft-ot</w:t>
      </w:r>
      <w:proofErr w:type="gramEnd"/>
      <w:r w:rsidR="00672EF3">
        <w:rPr>
          <w:rFonts w:ascii="Arial" w:hAnsi="Arial" w:cs="Arial"/>
          <w:sz w:val="22"/>
          <w:szCs w:val="22"/>
        </w:rPr>
        <w:t xml:space="preserve"> biztosit a működtetésre, amihez 2025-ben a Versenyképes Járások Program keretében 12 700 000 Ft támogatást nyert, ami az Önkormányzati önerő összegét csökkenti.  </w:t>
      </w:r>
    </w:p>
    <w:p w14:paraId="32C7FC3C" w14:textId="0BB2AFC7" w:rsidR="00EB6155" w:rsidRPr="00521FEF" w:rsidRDefault="00EB6155" w:rsidP="0036063A">
      <w:pPr>
        <w:spacing w:line="276" w:lineRule="auto"/>
        <w:jc w:val="both"/>
        <w:rPr>
          <w:rFonts w:ascii="Arial" w:hAnsi="Arial" w:cs="Arial"/>
          <w:sz w:val="22"/>
          <w:szCs w:val="22"/>
        </w:rPr>
      </w:pPr>
      <w:r w:rsidRPr="00521FEF">
        <w:rPr>
          <w:rFonts w:ascii="Arial" w:hAnsi="Arial" w:cs="Arial"/>
          <w:sz w:val="22"/>
          <w:szCs w:val="22"/>
        </w:rPr>
        <w:t>Az érintett szervezet</w:t>
      </w:r>
      <w:r w:rsidR="0041163E" w:rsidRPr="00521FEF">
        <w:rPr>
          <w:rFonts w:ascii="Arial" w:hAnsi="Arial" w:cs="Arial"/>
          <w:sz w:val="22"/>
          <w:szCs w:val="22"/>
        </w:rPr>
        <w:t>e</w:t>
      </w:r>
      <w:r w:rsidRPr="00521FEF">
        <w:rPr>
          <w:rFonts w:ascii="Arial" w:hAnsi="Arial" w:cs="Arial"/>
          <w:sz w:val="22"/>
          <w:szCs w:val="22"/>
        </w:rPr>
        <w:t>kné</w:t>
      </w:r>
      <w:r w:rsidR="0041163E" w:rsidRPr="00521FEF">
        <w:rPr>
          <w:rFonts w:ascii="Arial" w:hAnsi="Arial" w:cs="Arial"/>
          <w:sz w:val="22"/>
          <w:szCs w:val="22"/>
        </w:rPr>
        <w:t>l</w:t>
      </w:r>
      <w:r w:rsidRPr="00521FEF">
        <w:rPr>
          <w:rFonts w:ascii="Arial" w:hAnsi="Arial" w:cs="Arial"/>
          <w:sz w:val="22"/>
          <w:szCs w:val="22"/>
        </w:rPr>
        <w:t xml:space="preserve"> biztosítani tud</w:t>
      </w:r>
      <w:r w:rsidR="0041163E" w:rsidRPr="00521FEF">
        <w:rPr>
          <w:rFonts w:ascii="Arial" w:hAnsi="Arial" w:cs="Arial"/>
          <w:sz w:val="22"/>
          <w:szCs w:val="22"/>
        </w:rPr>
        <w:t>j</w:t>
      </w:r>
      <w:r w:rsidRPr="00521FEF">
        <w:rPr>
          <w:rFonts w:ascii="Arial" w:hAnsi="Arial" w:cs="Arial"/>
          <w:sz w:val="22"/>
          <w:szCs w:val="22"/>
        </w:rPr>
        <w:t>uk előző évben is jelentkező</w:t>
      </w:r>
      <w:r w:rsidR="006D4450">
        <w:rPr>
          <w:rFonts w:ascii="Arial" w:hAnsi="Arial" w:cs="Arial"/>
          <w:sz w:val="22"/>
          <w:szCs w:val="22"/>
        </w:rPr>
        <w:t xml:space="preserve"> </w:t>
      </w:r>
      <w:r w:rsidRPr="00521FEF">
        <w:rPr>
          <w:rFonts w:ascii="Arial" w:hAnsi="Arial" w:cs="Arial"/>
          <w:sz w:val="22"/>
          <w:szCs w:val="22"/>
        </w:rPr>
        <w:t>önkormányzati kötelező feladatok fedezetét, emellett az önként vállalt önkormányzati feladatok is fenntarthatók lehetnek. Így a városi uszoda üzemeltetésének költségeit, továbbá a Bátaszéki Bornapok megrendezésének költségeit is tartalmazzák az üzleti tervek</w:t>
      </w:r>
      <w:r w:rsidR="00672EF3">
        <w:rPr>
          <w:rFonts w:ascii="Arial" w:hAnsi="Arial" w:cs="Arial"/>
          <w:sz w:val="22"/>
          <w:szCs w:val="22"/>
        </w:rPr>
        <w:t>.</w:t>
      </w:r>
    </w:p>
    <w:p w14:paraId="7F7F9674" w14:textId="77777777" w:rsidR="0036063A" w:rsidRDefault="0036063A" w:rsidP="0036063A">
      <w:pPr>
        <w:spacing w:line="276" w:lineRule="auto"/>
        <w:jc w:val="both"/>
        <w:rPr>
          <w:rFonts w:ascii="Arial" w:hAnsi="Arial" w:cs="Arial"/>
          <w:sz w:val="22"/>
          <w:szCs w:val="22"/>
          <w:u w:val="single"/>
        </w:rPr>
      </w:pPr>
    </w:p>
    <w:p w14:paraId="3F565CCB" w14:textId="230E0CF7" w:rsidR="00DD2516" w:rsidRDefault="00D93C6F" w:rsidP="0036063A">
      <w:pPr>
        <w:spacing w:line="276" w:lineRule="auto"/>
        <w:jc w:val="both"/>
        <w:rPr>
          <w:rFonts w:ascii="Arial" w:hAnsi="Arial" w:cs="Arial"/>
          <w:sz w:val="22"/>
          <w:szCs w:val="22"/>
        </w:rPr>
      </w:pPr>
      <w:r w:rsidRPr="00672EF3">
        <w:rPr>
          <w:rFonts w:ascii="Arial" w:hAnsi="Arial" w:cs="Arial"/>
          <w:sz w:val="22"/>
          <w:szCs w:val="22"/>
          <w:u w:val="single"/>
        </w:rPr>
        <w:t>A</w:t>
      </w:r>
      <w:r w:rsidR="006325C2" w:rsidRPr="00672EF3">
        <w:rPr>
          <w:rFonts w:ascii="Arial" w:hAnsi="Arial" w:cs="Arial"/>
          <w:sz w:val="22"/>
          <w:szCs w:val="22"/>
          <w:u w:val="single"/>
        </w:rPr>
        <w:t xml:space="preserve"> Tartalékok</w:t>
      </w:r>
      <w:r w:rsidR="003547A4" w:rsidRPr="00992BC4">
        <w:rPr>
          <w:rFonts w:ascii="Arial" w:hAnsi="Arial" w:cs="Arial"/>
          <w:sz w:val="22"/>
          <w:szCs w:val="22"/>
        </w:rPr>
        <w:t xml:space="preserve"> </w:t>
      </w:r>
      <w:r w:rsidR="00493E2F" w:rsidRPr="00992BC4">
        <w:rPr>
          <w:rFonts w:ascii="Arial" w:hAnsi="Arial" w:cs="Arial"/>
          <w:sz w:val="22"/>
          <w:szCs w:val="22"/>
        </w:rPr>
        <w:t xml:space="preserve">összege </w:t>
      </w:r>
      <w:r w:rsidR="00672EF3">
        <w:rPr>
          <w:rFonts w:ascii="Arial" w:hAnsi="Arial" w:cs="Arial"/>
          <w:sz w:val="22"/>
          <w:szCs w:val="22"/>
        </w:rPr>
        <w:t>90 046 389</w:t>
      </w:r>
      <w:r w:rsidR="00493E2F" w:rsidRPr="00992BC4">
        <w:rPr>
          <w:rFonts w:ascii="Arial" w:hAnsi="Arial" w:cs="Arial"/>
          <w:sz w:val="22"/>
          <w:szCs w:val="22"/>
        </w:rPr>
        <w:t xml:space="preserve"> Ft, melyből céltartalékkén</w:t>
      </w:r>
      <w:r w:rsidR="0014153F">
        <w:rPr>
          <w:rFonts w:ascii="Arial" w:hAnsi="Arial" w:cs="Arial"/>
          <w:sz w:val="22"/>
          <w:szCs w:val="22"/>
        </w:rPr>
        <w:t>t</w:t>
      </w:r>
      <w:r w:rsidR="00B652C8">
        <w:rPr>
          <w:rFonts w:ascii="Arial" w:hAnsi="Arial" w:cs="Arial"/>
          <w:sz w:val="22"/>
          <w:szCs w:val="22"/>
        </w:rPr>
        <w:t xml:space="preserve"> </w:t>
      </w:r>
      <w:r w:rsidR="00672EF3">
        <w:rPr>
          <w:rFonts w:ascii="Arial" w:hAnsi="Arial" w:cs="Arial"/>
          <w:sz w:val="22"/>
          <w:szCs w:val="22"/>
        </w:rPr>
        <w:t>80 046 389</w:t>
      </w:r>
      <w:r w:rsidR="00493E2F" w:rsidRPr="00992BC4">
        <w:rPr>
          <w:rFonts w:ascii="Arial" w:hAnsi="Arial" w:cs="Arial"/>
          <w:sz w:val="22"/>
          <w:szCs w:val="22"/>
        </w:rPr>
        <w:t xml:space="preserve"> Ft-ot szerepeltettünk. A </w:t>
      </w:r>
      <w:r w:rsidR="00315E31" w:rsidRPr="00992BC4">
        <w:rPr>
          <w:rFonts w:ascii="Arial" w:hAnsi="Arial" w:cs="Arial"/>
          <w:sz w:val="22"/>
          <w:szCs w:val="22"/>
        </w:rPr>
        <w:t xml:space="preserve">rendelet-tervezet </w:t>
      </w:r>
      <w:r w:rsidR="00672EF3">
        <w:rPr>
          <w:rFonts w:ascii="Arial" w:hAnsi="Arial" w:cs="Arial"/>
          <w:sz w:val="22"/>
          <w:szCs w:val="22"/>
        </w:rPr>
        <w:t>21</w:t>
      </w:r>
      <w:r w:rsidR="00315E31" w:rsidRPr="00343350">
        <w:rPr>
          <w:rFonts w:ascii="Arial" w:hAnsi="Arial" w:cs="Arial"/>
          <w:sz w:val="22"/>
          <w:szCs w:val="22"/>
        </w:rPr>
        <w:t>. melléklete</w:t>
      </w:r>
      <w:r w:rsidR="00315E31" w:rsidRPr="00992BC4">
        <w:rPr>
          <w:rFonts w:ascii="Arial" w:hAnsi="Arial" w:cs="Arial"/>
          <w:sz w:val="22"/>
          <w:szCs w:val="22"/>
        </w:rPr>
        <w:t xml:space="preserve"> tartalmazza e célokat, de az indoklás részeként is szerepeltetjük:</w:t>
      </w:r>
    </w:p>
    <w:tbl>
      <w:tblPr>
        <w:tblW w:w="7940" w:type="dxa"/>
        <w:tblCellMar>
          <w:left w:w="70" w:type="dxa"/>
          <w:right w:w="70" w:type="dxa"/>
        </w:tblCellMar>
        <w:tblLook w:val="04A0" w:firstRow="1" w:lastRow="0" w:firstColumn="1" w:lastColumn="0" w:noHBand="0" w:noVBand="1"/>
      </w:tblPr>
      <w:tblGrid>
        <w:gridCol w:w="1120"/>
        <w:gridCol w:w="5260"/>
        <w:gridCol w:w="1560"/>
      </w:tblGrid>
      <w:tr w:rsidR="00672EF3" w14:paraId="1821B74E" w14:textId="77777777" w:rsidTr="00672EF3">
        <w:trPr>
          <w:trHeight w:val="456"/>
        </w:trPr>
        <w:tc>
          <w:tcPr>
            <w:tcW w:w="1120" w:type="dxa"/>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0BC5A473" w14:textId="77777777" w:rsidR="00672EF3" w:rsidRDefault="00672EF3">
            <w:pPr>
              <w:jc w:val="center"/>
              <w:rPr>
                <w:b/>
                <w:bCs/>
                <w:sz w:val="18"/>
                <w:szCs w:val="18"/>
                <w:lang w:eastAsia="hu-HU"/>
              </w:rPr>
            </w:pPr>
            <w:r>
              <w:rPr>
                <w:b/>
                <w:bCs/>
                <w:sz w:val="18"/>
                <w:szCs w:val="18"/>
              </w:rPr>
              <w:t>Cél</w:t>
            </w:r>
          </w:p>
        </w:tc>
        <w:tc>
          <w:tcPr>
            <w:tcW w:w="5260" w:type="dxa"/>
            <w:tcBorders>
              <w:top w:val="single" w:sz="8" w:space="0" w:color="auto"/>
              <w:left w:val="nil"/>
              <w:bottom w:val="single" w:sz="4" w:space="0" w:color="auto"/>
              <w:right w:val="single" w:sz="4" w:space="0" w:color="auto"/>
            </w:tcBorders>
            <w:shd w:val="clear" w:color="000000" w:fill="C5D9F1"/>
            <w:noWrap/>
            <w:vAlign w:val="center"/>
            <w:hideMark/>
          </w:tcPr>
          <w:p w14:paraId="38428A86" w14:textId="77777777" w:rsidR="00672EF3" w:rsidRDefault="00672EF3">
            <w:pPr>
              <w:jc w:val="center"/>
              <w:rPr>
                <w:b/>
                <w:bCs/>
                <w:sz w:val="18"/>
                <w:szCs w:val="18"/>
              </w:rPr>
            </w:pPr>
            <w:r>
              <w:rPr>
                <w:b/>
                <w:bCs/>
                <w:sz w:val="18"/>
                <w:szCs w:val="18"/>
              </w:rPr>
              <w:t>Céltartalék</w:t>
            </w:r>
          </w:p>
        </w:tc>
        <w:tc>
          <w:tcPr>
            <w:tcW w:w="1560" w:type="dxa"/>
            <w:tcBorders>
              <w:top w:val="single" w:sz="8" w:space="0" w:color="auto"/>
              <w:left w:val="nil"/>
              <w:bottom w:val="single" w:sz="4" w:space="0" w:color="auto"/>
              <w:right w:val="single" w:sz="8" w:space="0" w:color="auto"/>
            </w:tcBorders>
            <w:shd w:val="clear" w:color="000000" w:fill="B8CCE4"/>
            <w:noWrap/>
            <w:vAlign w:val="center"/>
            <w:hideMark/>
          </w:tcPr>
          <w:p w14:paraId="6BC8F9BD" w14:textId="77777777" w:rsidR="00672EF3" w:rsidRDefault="00672EF3">
            <w:pPr>
              <w:jc w:val="center"/>
              <w:rPr>
                <w:b/>
                <w:bCs/>
                <w:sz w:val="18"/>
                <w:szCs w:val="18"/>
              </w:rPr>
            </w:pPr>
            <w:r>
              <w:rPr>
                <w:b/>
                <w:bCs/>
                <w:sz w:val="18"/>
                <w:szCs w:val="18"/>
              </w:rPr>
              <w:t>2026.</w:t>
            </w:r>
          </w:p>
        </w:tc>
      </w:tr>
      <w:tr w:rsidR="00672EF3" w14:paraId="5B31190E"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6081F7B0"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7507F84C" w14:textId="77777777" w:rsidR="00672EF3" w:rsidRDefault="00672EF3">
            <w:pPr>
              <w:ind w:firstLineChars="100" w:firstLine="180"/>
              <w:rPr>
                <w:sz w:val="18"/>
                <w:szCs w:val="18"/>
              </w:rPr>
            </w:pPr>
            <w:r>
              <w:rPr>
                <w:sz w:val="18"/>
                <w:szCs w:val="18"/>
              </w:rPr>
              <w:t>Széchenyi Program pénzeszköz elkülönítés</w:t>
            </w:r>
          </w:p>
        </w:tc>
        <w:tc>
          <w:tcPr>
            <w:tcW w:w="1560" w:type="dxa"/>
            <w:tcBorders>
              <w:top w:val="nil"/>
              <w:left w:val="nil"/>
              <w:bottom w:val="single" w:sz="4" w:space="0" w:color="auto"/>
              <w:right w:val="single" w:sz="8" w:space="0" w:color="auto"/>
            </w:tcBorders>
            <w:shd w:val="clear" w:color="000000" w:fill="FFFFFF"/>
            <w:vAlign w:val="bottom"/>
            <w:hideMark/>
          </w:tcPr>
          <w:p w14:paraId="4DCD61E3" w14:textId="77777777" w:rsidR="00672EF3" w:rsidRDefault="00672EF3">
            <w:pPr>
              <w:jc w:val="right"/>
              <w:rPr>
                <w:b/>
                <w:bCs/>
                <w:sz w:val="18"/>
                <w:szCs w:val="18"/>
              </w:rPr>
            </w:pPr>
            <w:r>
              <w:rPr>
                <w:b/>
                <w:bCs/>
                <w:sz w:val="18"/>
                <w:szCs w:val="18"/>
              </w:rPr>
              <w:t>16 672 465</w:t>
            </w:r>
          </w:p>
        </w:tc>
      </w:tr>
      <w:tr w:rsidR="00672EF3" w14:paraId="6F4EBE4E"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059B14E4"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297D2A66" w14:textId="77777777" w:rsidR="00672EF3" w:rsidRDefault="00672EF3">
            <w:pPr>
              <w:ind w:firstLineChars="100" w:firstLine="180"/>
              <w:rPr>
                <w:sz w:val="18"/>
                <w:szCs w:val="18"/>
              </w:rPr>
            </w:pPr>
            <w:proofErr w:type="spellStart"/>
            <w:r>
              <w:rPr>
                <w:sz w:val="18"/>
                <w:szCs w:val="18"/>
              </w:rPr>
              <w:t>Lajvér</w:t>
            </w:r>
            <w:proofErr w:type="spellEnd"/>
            <w:r>
              <w:rPr>
                <w:sz w:val="18"/>
                <w:szCs w:val="18"/>
              </w:rPr>
              <w:t xml:space="preserve"> fejlesztési keret</w:t>
            </w:r>
          </w:p>
        </w:tc>
        <w:tc>
          <w:tcPr>
            <w:tcW w:w="1560" w:type="dxa"/>
            <w:tcBorders>
              <w:top w:val="nil"/>
              <w:left w:val="nil"/>
              <w:bottom w:val="single" w:sz="4" w:space="0" w:color="auto"/>
              <w:right w:val="single" w:sz="8" w:space="0" w:color="auto"/>
            </w:tcBorders>
            <w:shd w:val="clear" w:color="000000" w:fill="FFFFFF"/>
            <w:vAlign w:val="bottom"/>
            <w:hideMark/>
          </w:tcPr>
          <w:p w14:paraId="41D04E0A" w14:textId="77777777" w:rsidR="00672EF3" w:rsidRDefault="00672EF3">
            <w:pPr>
              <w:jc w:val="right"/>
              <w:rPr>
                <w:b/>
                <w:bCs/>
                <w:sz w:val="18"/>
                <w:szCs w:val="18"/>
              </w:rPr>
            </w:pPr>
            <w:r>
              <w:rPr>
                <w:b/>
                <w:bCs/>
                <w:sz w:val="18"/>
                <w:szCs w:val="18"/>
              </w:rPr>
              <w:t>1 000 000</w:t>
            </w:r>
          </w:p>
        </w:tc>
      </w:tr>
      <w:tr w:rsidR="00672EF3" w14:paraId="4C31D28B"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3AE7AD06"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64E58E3A" w14:textId="77777777" w:rsidR="00672EF3" w:rsidRDefault="00672EF3">
            <w:pPr>
              <w:ind w:firstLineChars="100" w:firstLine="180"/>
              <w:rPr>
                <w:sz w:val="18"/>
                <w:szCs w:val="18"/>
              </w:rPr>
            </w:pPr>
            <w:r>
              <w:rPr>
                <w:sz w:val="18"/>
                <w:szCs w:val="18"/>
              </w:rPr>
              <w:t>Kövesd fejlesztési keret</w:t>
            </w:r>
          </w:p>
        </w:tc>
        <w:tc>
          <w:tcPr>
            <w:tcW w:w="1560" w:type="dxa"/>
            <w:tcBorders>
              <w:top w:val="nil"/>
              <w:left w:val="nil"/>
              <w:bottom w:val="single" w:sz="4" w:space="0" w:color="auto"/>
              <w:right w:val="single" w:sz="8" w:space="0" w:color="auto"/>
            </w:tcBorders>
            <w:shd w:val="clear" w:color="000000" w:fill="FFFFFF"/>
            <w:vAlign w:val="bottom"/>
            <w:hideMark/>
          </w:tcPr>
          <w:p w14:paraId="558E391C" w14:textId="77777777" w:rsidR="00672EF3" w:rsidRDefault="00672EF3">
            <w:pPr>
              <w:jc w:val="right"/>
              <w:rPr>
                <w:b/>
                <w:bCs/>
                <w:sz w:val="18"/>
                <w:szCs w:val="18"/>
              </w:rPr>
            </w:pPr>
            <w:r>
              <w:rPr>
                <w:b/>
                <w:bCs/>
                <w:sz w:val="18"/>
                <w:szCs w:val="18"/>
              </w:rPr>
              <w:t>1 000 000</w:t>
            </w:r>
          </w:p>
        </w:tc>
      </w:tr>
      <w:tr w:rsidR="00672EF3" w14:paraId="527FF37E"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2E670380"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40FE19A5" w14:textId="77777777" w:rsidR="00672EF3" w:rsidRDefault="00672EF3">
            <w:pPr>
              <w:ind w:firstLineChars="100" w:firstLine="180"/>
              <w:rPr>
                <w:sz w:val="18"/>
                <w:szCs w:val="18"/>
              </w:rPr>
            </w:pPr>
            <w:r>
              <w:rPr>
                <w:sz w:val="18"/>
                <w:szCs w:val="18"/>
              </w:rPr>
              <w:t xml:space="preserve">Külterületi utak </w:t>
            </w:r>
            <w:proofErr w:type="spellStart"/>
            <w:r>
              <w:rPr>
                <w:sz w:val="18"/>
                <w:szCs w:val="18"/>
              </w:rPr>
              <w:t>elk</w:t>
            </w:r>
            <w:proofErr w:type="spellEnd"/>
            <w:r>
              <w:rPr>
                <w:sz w:val="18"/>
                <w:szCs w:val="18"/>
              </w:rPr>
              <w:t>. számla</w:t>
            </w:r>
          </w:p>
        </w:tc>
        <w:tc>
          <w:tcPr>
            <w:tcW w:w="1560" w:type="dxa"/>
            <w:tcBorders>
              <w:top w:val="nil"/>
              <w:left w:val="nil"/>
              <w:bottom w:val="single" w:sz="4" w:space="0" w:color="auto"/>
              <w:right w:val="single" w:sz="8" w:space="0" w:color="auto"/>
            </w:tcBorders>
            <w:shd w:val="clear" w:color="000000" w:fill="FFFFFF"/>
            <w:vAlign w:val="center"/>
            <w:hideMark/>
          </w:tcPr>
          <w:p w14:paraId="6F2AA81B" w14:textId="77777777" w:rsidR="00672EF3" w:rsidRDefault="00672EF3">
            <w:pPr>
              <w:jc w:val="right"/>
              <w:rPr>
                <w:b/>
                <w:bCs/>
                <w:sz w:val="18"/>
                <w:szCs w:val="18"/>
              </w:rPr>
            </w:pPr>
            <w:r>
              <w:rPr>
                <w:b/>
                <w:bCs/>
                <w:sz w:val="18"/>
                <w:szCs w:val="18"/>
              </w:rPr>
              <w:t>564 916</w:t>
            </w:r>
          </w:p>
        </w:tc>
      </w:tr>
      <w:tr w:rsidR="00672EF3" w14:paraId="13710C35"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11AD00F8"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350AD58E" w14:textId="77777777" w:rsidR="00672EF3" w:rsidRDefault="00672EF3">
            <w:pPr>
              <w:ind w:firstLineChars="100" w:firstLine="180"/>
              <w:rPr>
                <w:sz w:val="18"/>
                <w:szCs w:val="18"/>
              </w:rPr>
            </w:pPr>
            <w:r>
              <w:rPr>
                <w:sz w:val="18"/>
                <w:szCs w:val="18"/>
              </w:rPr>
              <w:t>186/2025 horgásztóhoz vezető út önerő</w:t>
            </w:r>
          </w:p>
        </w:tc>
        <w:tc>
          <w:tcPr>
            <w:tcW w:w="1560" w:type="dxa"/>
            <w:tcBorders>
              <w:top w:val="nil"/>
              <w:left w:val="nil"/>
              <w:bottom w:val="single" w:sz="4" w:space="0" w:color="auto"/>
              <w:right w:val="single" w:sz="8" w:space="0" w:color="auto"/>
            </w:tcBorders>
            <w:shd w:val="clear" w:color="000000" w:fill="FFFFFF"/>
            <w:vAlign w:val="center"/>
            <w:hideMark/>
          </w:tcPr>
          <w:p w14:paraId="7BAF698C" w14:textId="77777777" w:rsidR="00672EF3" w:rsidRDefault="00672EF3">
            <w:pPr>
              <w:jc w:val="right"/>
              <w:rPr>
                <w:b/>
                <w:bCs/>
                <w:sz w:val="18"/>
                <w:szCs w:val="18"/>
              </w:rPr>
            </w:pPr>
            <w:r>
              <w:rPr>
                <w:b/>
                <w:bCs/>
                <w:sz w:val="18"/>
                <w:szCs w:val="18"/>
              </w:rPr>
              <w:t>7 950 000</w:t>
            </w:r>
          </w:p>
        </w:tc>
      </w:tr>
      <w:tr w:rsidR="00672EF3" w14:paraId="37B55B20"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72EE19E7" w14:textId="77777777" w:rsidR="00672EF3" w:rsidRDefault="00672EF3">
            <w:pPr>
              <w:rPr>
                <w:sz w:val="18"/>
                <w:szCs w:val="18"/>
              </w:rPr>
            </w:pPr>
            <w:r>
              <w:rPr>
                <w:sz w:val="18"/>
                <w:szCs w:val="18"/>
              </w:rPr>
              <w:t>Fejlesztési</w:t>
            </w:r>
          </w:p>
        </w:tc>
        <w:tc>
          <w:tcPr>
            <w:tcW w:w="5260" w:type="dxa"/>
            <w:tcBorders>
              <w:top w:val="nil"/>
              <w:left w:val="nil"/>
              <w:bottom w:val="single" w:sz="4" w:space="0" w:color="auto"/>
              <w:right w:val="single" w:sz="4" w:space="0" w:color="auto"/>
            </w:tcBorders>
            <w:shd w:val="clear" w:color="000000" w:fill="FFFFFF"/>
            <w:vAlign w:val="bottom"/>
            <w:hideMark/>
          </w:tcPr>
          <w:p w14:paraId="3364AC27" w14:textId="77777777" w:rsidR="00672EF3" w:rsidRDefault="00672EF3">
            <w:pPr>
              <w:ind w:firstLineChars="100" w:firstLine="180"/>
              <w:rPr>
                <w:sz w:val="18"/>
                <w:szCs w:val="18"/>
              </w:rPr>
            </w:pPr>
            <w:r>
              <w:rPr>
                <w:sz w:val="18"/>
                <w:szCs w:val="18"/>
              </w:rPr>
              <w:t xml:space="preserve">Budai </w:t>
            </w:r>
            <w:proofErr w:type="gramStart"/>
            <w:r>
              <w:rPr>
                <w:sz w:val="18"/>
                <w:szCs w:val="18"/>
              </w:rPr>
              <w:t xml:space="preserve">utca </w:t>
            </w:r>
            <w:proofErr w:type="spellStart"/>
            <w:r>
              <w:rPr>
                <w:sz w:val="18"/>
                <w:szCs w:val="18"/>
              </w:rPr>
              <w:t>növényesítés</w:t>
            </w:r>
            <w:proofErr w:type="spellEnd"/>
            <w:proofErr w:type="gramEnd"/>
            <w:r>
              <w:rPr>
                <w:sz w:val="18"/>
                <w:szCs w:val="18"/>
              </w:rPr>
              <w:t xml:space="preserve"> önerő</w:t>
            </w:r>
          </w:p>
        </w:tc>
        <w:tc>
          <w:tcPr>
            <w:tcW w:w="1560" w:type="dxa"/>
            <w:tcBorders>
              <w:top w:val="nil"/>
              <w:left w:val="nil"/>
              <w:bottom w:val="single" w:sz="4" w:space="0" w:color="auto"/>
              <w:right w:val="single" w:sz="8" w:space="0" w:color="auto"/>
            </w:tcBorders>
            <w:shd w:val="clear" w:color="000000" w:fill="FFFFFF"/>
            <w:vAlign w:val="center"/>
            <w:hideMark/>
          </w:tcPr>
          <w:p w14:paraId="382D2A1D" w14:textId="77777777" w:rsidR="00672EF3" w:rsidRDefault="00672EF3">
            <w:pPr>
              <w:jc w:val="right"/>
              <w:rPr>
                <w:b/>
                <w:bCs/>
                <w:sz w:val="18"/>
                <w:szCs w:val="18"/>
              </w:rPr>
            </w:pPr>
            <w:r>
              <w:rPr>
                <w:b/>
                <w:bCs/>
                <w:sz w:val="18"/>
                <w:szCs w:val="18"/>
              </w:rPr>
              <w:t>1 000 000</w:t>
            </w:r>
          </w:p>
        </w:tc>
      </w:tr>
      <w:tr w:rsidR="00672EF3" w14:paraId="1F8F6DB9"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CCFFCC"/>
            <w:noWrap/>
            <w:vAlign w:val="bottom"/>
            <w:hideMark/>
          </w:tcPr>
          <w:p w14:paraId="4375A421" w14:textId="77777777" w:rsidR="00672EF3" w:rsidRDefault="00672EF3">
            <w:pPr>
              <w:rPr>
                <w:b/>
                <w:bCs/>
                <w:sz w:val="18"/>
                <w:szCs w:val="18"/>
              </w:rPr>
            </w:pPr>
            <w:r>
              <w:rPr>
                <w:b/>
                <w:bCs/>
                <w:sz w:val="18"/>
                <w:szCs w:val="18"/>
              </w:rPr>
              <w:t>Fejlesztési</w:t>
            </w:r>
          </w:p>
        </w:tc>
        <w:tc>
          <w:tcPr>
            <w:tcW w:w="5260" w:type="dxa"/>
            <w:tcBorders>
              <w:top w:val="nil"/>
              <w:left w:val="nil"/>
              <w:bottom w:val="single" w:sz="4" w:space="0" w:color="auto"/>
              <w:right w:val="single" w:sz="4" w:space="0" w:color="auto"/>
            </w:tcBorders>
            <w:shd w:val="clear" w:color="000000" w:fill="CCFFCC"/>
            <w:vAlign w:val="bottom"/>
            <w:hideMark/>
          </w:tcPr>
          <w:p w14:paraId="13266719" w14:textId="77777777" w:rsidR="00672EF3" w:rsidRDefault="00672EF3">
            <w:pPr>
              <w:rPr>
                <w:b/>
                <w:bCs/>
                <w:sz w:val="18"/>
                <w:szCs w:val="18"/>
              </w:rPr>
            </w:pPr>
            <w:r>
              <w:rPr>
                <w:b/>
                <w:bCs/>
                <w:sz w:val="18"/>
                <w:szCs w:val="18"/>
              </w:rPr>
              <w:t>Fejlesztési céltartalék összesen:</w:t>
            </w:r>
          </w:p>
        </w:tc>
        <w:tc>
          <w:tcPr>
            <w:tcW w:w="1560" w:type="dxa"/>
            <w:tcBorders>
              <w:top w:val="nil"/>
              <w:left w:val="nil"/>
              <w:bottom w:val="single" w:sz="4" w:space="0" w:color="auto"/>
              <w:right w:val="single" w:sz="8" w:space="0" w:color="auto"/>
            </w:tcBorders>
            <w:shd w:val="clear" w:color="000000" w:fill="CCFFCC"/>
            <w:vAlign w:val="bottom"/>
            <w:hideMark/>
          </w:tcPr>
          <w:p w14:paraId="434DED25" w14:textId="77777777" w:rsidR="00672EF3" w:rsidRDefault="00672EF3">
            <w:pPr>
              <w:jc w:val="right"/>
              <w:rPr>
                <w:b/>
                <w:bCs/>
                <w:sz w:val="18"/>
                <w:szCs w:val="18"/>
              </w:rPr>
            </w:pPr>
            <w:r>
              <w:rPr>
                <w:b/>
                <w:bCs/>
                <w:sz w:val="18"/>
                <w:szCs w:val="18"/>
              </w:rPr>
              <w:t>28 187 381</w:t>
            </w:r>
          </w:p>
        </w:tc>
      </w:tr>
      <w:tr w:rsidR="00672EF3" w14:paraId="146F7302"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5C711E68"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noWrap/>
            <w:vAlign w:val="bottom"/>
            <w:hideMark/>
          </w:tcPr>
          <w:p w14:paraId="7AA87191" w14:textId="77777777" w:rsidR="00672EF3" w:rsidRDefault="00672EF3">
            <w:pPr>
              <w:ind w:firstLineChars="100" w:firstLine="160"/>
              <w:rPr>
                <w:sz w:val="16"/>
                <w:szCs w:val="16"/>
              </w:rPr>
            </w:pPr>
            <w:r>
              <w:rPr>
                <w:sz w:val="16"/>
                <w:szCs w:val="16"/>
              </w:rPr>
              <w:t>Egyensúlyi céltartalék</w:t>
            </w:r>
          </w:p>
        </w:tc>
        <w:tc>
          <w:tcPr>
            <w:tcW w:w="1560" w:type="dxa"/>
            <w:tcBorders>
              <w:top w:val="nil"/>
              <w:left w:val="nil"/>
              <w:bottom w:val="single" w:sz="4" w:space="0" w:color="auto"/>
              <w:right w:val="single" w:sz="8" w:space="0" w:color="auto"/>
            </w:tcBorders>
            <w:shd w:val="clear" w:color="000000" w:fill="FFFFFF"/>
            <w:noWrap/>
            <w:vAlign w:val="bottom"/>
            <w:hideMark/>
          </w:tcPr>
          <w:p w14:paraId="2B19B632" w14:textId="77777777" w:rsidR="00672EF3" w:rsidRDefault="00672EF3">
            <w:pPr>
              <w:jc w:val="right"/>
              <w:rPr>
                <w:b/>
                <w:bCs/>
                <w:sz w:val="16"/>
                <w:szCs w:val="16"/>
              </w:rPr>
            </w:pPr>
            <w:r>
              <w:rPr>
                <w:b/>
                <w:bCs/>
                <w:sz w:val="16"/>
                <w:szCs w:val="16"/>
              </w:rPr>
              <w:t>3 000 000</w:t>
            </w:r>
          </w:p>
        </w:tc>
      </w:tr>
      <w:tr w:rsidR="00672EF3" w14:paraId="774C65C1"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129BDB36"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00356509" w14:textId="77777777" w:rsidR="00672EF3" w:rsidRDefault="00672EF3">
            <w:pPr>
              <w:ind w:firstLineChars="100" w:firstLine="160"/>
              <w:rPr>
                <w:sz w:val="16"/>
                <w:szCs w:val="16"/>
              </w:rPr>
            </w:pPr>
            <w:r>
              <w:rPr>
                <w:sz w:val="16"/>
                <w:szCs w:val="16"/>
              </w:rPr>
              <w:t>Sportpálya üzemeltetés</w:t>
            </w:r>
          </w:p>
        </w:tc>
        <w:tc>
          <w:tcPr>
            <w:tcW w:w="1560" w:type="dxa"/>
            <w:tcBorders>
              <w:top w:val="nil"/>
              <w:left w:val="nil"/>
              <w:bottom w:val="single" w:sz="4" w:space="0" w:color="auto"/>
              <w:right w:val="single" w:sz="8" w:space="0" w:color="auto"/>
            </w:tcBorders>
            <w:shd w:val="clear" w:color="000000" w:fill="FFFFFF"/>
            <w:vAlign w:val="center"/>
            <w:hideMark/>
          </w:tcPr>
          <w:p w14:paraId="1B71C983" w14:textId="77777777" w:rsidR="00672EF3" w:rsidRDefault="00672EF3">
            <w:pPr>
              <w:jc w:val="right"/>
              <w:rPr>
                <w:b/>
                <w:bCs/>
                <w:sz w:val="16"/>
                <w:szCs w:val="16"/>
              </w:rPr>
            </w:pPr>
            <w:r>
              <w:rPr>
                <w:b/>
                <w:bCs/>
                <w:sz w:val="16"/>
                <w:szCs w:val="16"/>
              </w:rPr>
              <w:t>10 000 000</w:t>
            </w:r>
          </w:p>
        </w:tc>
      </w:tr>
      <w:tr w:rsidR="00672EF3" w14:paraId="0052E5DB"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48E88A0F"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1C053F7D" w14:textId="77777777" w:rsidR="00672EF3" w:rsidRDefault="00672EF3">
            <w:pPr>
              <w:ind w:firstLineChars="100" w:firstLine="160"/>
              <w:rPr>
                <w:sz w:val="16"/>
                <w:szCs w:val="16"/>
              </w:rPr>
            </w:pPr>
            <w:r>
              <w:rPr>
                <w:sz w:val="16"/>
                <w:szCs w:val="16"/>
              </w:rPr>
              <w:t xml:space="preserve">TOP Ipari park működése bevétel </w:t>
            </w:r>
          </w:p>
        </w:tc>
        <w:tc>
          <w:tcPr>
            <w:tcW w:w="1560" w:type="dxa"/>
            <w:tcBorders>
              <w:top w:val="nil"/>
              <w:left w:val="nil"/>
              <w:bottom w:val="single" w:sz="4" w:space="0" w:color="auto"/>
              <w:right w:val="single" w:sz="8" w:space="0" w:color="auto"/>
            </w:tcBorders>
            <w:shd w:val="clear" w:color="000000" w:fill="FFFFFF"/>
            <w:vAlign w:val="center"/>
            <w:hideMark/>
          </w:tcPr>
          <w:p w14:paraId="10615051" w14:textId="77777777" w:rsidR="00672EF3" w:rsidRDefault="00672EF3">
            <w:pPr>
              <w:jc w:val="right"/>
              <w:rPr>
                <w:b/>
                <w:bCs/>
                <w:sz w:val="16"/>
                <w:szCs w:val="16"/>
              </w:rPr>
            </w:pPr>
            <w:r>
              <w:rPr>
                <w:b/>
                <w:bCs/>
                <w:sz w:val="16"/>
                <w:szCs w:val="16"/>
              </w:rPr>
              <w:t>4 000 000</w:t>
            </w:r>
          </w:p>
        </w:tc>
      </w:tr>
      <w:tr w:rsidR="00672EF3" w14:paraId="5CA5864E"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0748BF67"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0CE398C8" w14:textId="77777777" w:rsidR="00672EF3" w:rsidRDefault="00672EF3">
            <w:pPr>
              <w:ind w:firstLineChars="100" w:firstLine="160"/>
              <w:rPr>
                <w:sz w:val="16"/>
                <w:szCs w:val="16"/>
              </w:rPr>
            </w:pPr>
            <w:r>
              <w:rPr>
                <w:sz w:val="16"/>
                <w:szCs w:val="16"/>
              </w:rPr>
              <w:t>TOP Agrárlogisztikai központ működése bevétel</w:t>
            </w:r>
          </w:p>
        </w:tc>
        <w:tc>
          <w:tcPr>
            <w:tcW w:w="1560" w:type="dxa"/>
            <w:tcBorders>
              <w:top w:val="nil"/>
              <w:left w:val="nil"/>
              <w:bottom w:val="single" w:sz="4" w:space="0" w:color="auto"/>
              <w:right w:val="single" w:sz="8" w:space="0" w:color="auto"/>
            </w:tcBorders>
            <w:shd w:val="clear" w:color="000000" w:fill="FFFFFF"/>
            <w:vAlign w:val="center"/>
            <w:hideMark/>
          </w:tcPr>
          <w:p w14:paraId="1268E1A7" w14:textId="77777777" w:rsidR="00672EF3" w:rsidRDefault="00672EF3">
            <w:pPr>
              <w:jc w:val="right"/>
              <w:rPr>
                <w:b/>
                <w:bCs/>
                <w:sz w:val="16"/>
                <w:szCs w:val="16"/>
              </w:rPr>
            </w:pPr>
            <w:r>
              <w:rPr>
                <w:b/>
                <w:bCs/>
                <w:sz w:val="16"/>
                <w:szCs w:val="16"/>
              </w:rPr>
              <w:t>5 300 000</w:t>
            </w:r>
          </w:p>
        </w:tc>
      </w:tr>
      <w:tr w:rsidR="00672EF3" w14:paraId="734A423A"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551E51F3"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073ABB89" w14:textId="77777777" w:rsidR="00672EF3" w:rsidRDefault="00672EF3">
            <w:pPr>
              <w:ind w:firstLineChars="100" w:firstLine="160"/>
              <w:rPr>
                <w:sz w:val="16"/>
                <w:szCs w:val="16"/>
              </w:rPr>
            </w:pPr>
            <w:r>
              <w:rPr>
                <w:sz w:val="16"/>
                <w:szCs w:val="16"/>
              </w:rPr>
              <w:t>TOP Ipari park elővásárlás E&amp;F</w:t>
            </w:r>
          </w:p>
        </w:tc>
        <w:tc>
          <w:tcPr>
            <w:tcW w:w="1560" w:type="dxa"/>
            <w:tcBorders>
              <w:top w:val="nil"/>
              <w:left w:val="nil"/>
              <w:bottom w:val="single" w:sz="4" w:space="0" w:color="auto"/>
              <w:right w:val="single" w:sz="8" w:space="0" w:color="auto"/>
            </w:tcBorders>
            <w:shd w:val="clear" w:color="000000" w:fill="FFFFFF"/>
            <w:vAlign w:val="center"/>
            <w:hideMark/>
          </w:tcPr>
          <w:p w14:paraId="73392B97" w14:textId="77777777" w:rsidR="00672EF3" w:rsidRDefault="00672EF3">
            <w:pPr>
              <w:jc w:val="right"/>
              <w:rPr>
                <w:b/>
                <w:bCs/>
                <w:sz w:val="16"/>
                <w:szCs w:val="16"/>
              </w:rPr>
            </w:pPr>
            <w:r>
              <w:rPr>
                <w:b/>
                <w:bCs/>
                <w:sz w:val="16"/>
                <w:szCs w:val="16"/>
              </w:rPr>
              <w:t>15 462 000</w:t>
            </w:r>
          </w:p>
        </w:tc>
      </w:tr>
      <w:tr w:rsidR="00672EF3" w14:paraId="3F978A8A"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02DBAD60"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4096EA8E" w14:textId="77777777" w:rsidR="00672EF3" w:rsidRDefault="00672EF3">
            <w:pPr>
              <w:ind w:firstLineChars="100" w:firstLine="160"/>
              <w:rPr>
                <w:sz w:val="16"/>
                <w:szCs w:val="16"/>
              </w:rPr>
            </w:pPr>
            <w:r>
              <w:rPr>
                <w:sz w:val="16"/>
                <w:szCs w:val="16"/>
              </w:rPr>
              <w:t>(212/2025) Bornapok önerő 222/2025</w:t>
            </w:r>
          </w:p>
        </w:tc>
        <w:tc>
          <w:tcPr>
            <w:tcW w:w="1560" w:type="dxa"/>
            <w:tcBorders>
              <w:top w:val="nil"/>
              <w:left w:val="nil"/>
              <w:bottom w:val="single" w:sz="4" w:space="0" w:color="auto"/>
              <w:right w:val="single" w:sz="8" w:space="0" w:color="auto"/>
            </w:tcBorders>
            <w:shd w:val="clear" w:color="000000" w:fill="FFFFFF"/>
            <w:vAlign w:val="center"/>
            <w:hideMark/>
          </w:tcPr>
          <w:p w14:paraId="78B129A5" w14:textId="77777777" w:rsidR="00672EF3" w:rsidRDefault="00672EF3">
            <w:pPr>
              <w:jc w:val="right"/>
              <w:rPr>
                <w:b/>
                <w:bCs/>
                <w:sz w:val="16"/>
                <w:szCs w:val="16"/>
              </w:rPr>
            </w:pPr>
            <w:r>
              <w:rPr>
                <w:b/>
                <w:bCs/>
                <w:sz w:val="16"/>
                <w:szCs w:val="16"/>
              </w:rPr>
              <w:t>160 000</w:t>
            </w:r>
          </w:p>
        </w:tc>
      </w:tr>
      <w:tr w:rsidR="00672EF3" w14:paraId="5C7DC46E"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33AAA3AE"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345611FE" w14:textId="77777777" w:rsidR="00672EF3" w:rsidRDefault="00672EF3">
            <w:pPr>
              <w:ind w:firstLineChars="100" w:firstLine="160"/>
              <w:rPr>
                <w:sz w:val="16"/>
                <w:szCs w:val="16"/>
              </w:rPr>
            </w:pPr>
            <w:r>
              <w:rPr>
                <w:sz w:val="16"/>
                <w:szCs w:val="16"/>
              </w:rPr>
              <w:t xml:space="preserve">májusi elvonás 2026. évi </w:t>
            </w:r>
            <w:proofErr w:type="spellStart"/>
            <w:r>
              <w:rPr>
                <w:sz w:val="16"/>
                <w:szCs w:val="16"/>
              </w:rPr>
              <w:t>hipa</w:t>
            </w:r>
            <w:proofErr w:type="spellEnd"/>
            <w:r>
              <w:rPr>
                <w:sz w:val="16"/>
                <w:szCs w:val="16"/>
              </w:rPr>
              <w:t xml:space="preserve"> többlet alapján</w:t>
            </w:r>
          </w:p>
        </w:tc>
        <w:tc>
          <w:tcPr>
            <w:tcW w:w="1560" w:type="dxa"/>
            <w:tcBorders>
              <w:top w:val="nil"/>
              <w:left w:val="nil"/>
              <w:bottom w:val="single" w:sz="4" w:space="0" w:color="auto"/>
              <w:right w:val="single" w:sz="8" w:space="0" w:color="auto"/>
            </w:tcBorders>
            <w:shd w:val="clear" w:color="000000" w:fill="FFFFFF"/>
            <w:vAlign w:val="center"/>
            <w:hideMark/>
          </w:tcPr>
          <w:p w14:paraId="64FD178F" w14:textId="77777777" w:rsidR="00672EF3" w:rsidRDefault="00672EF3">
            <w:pPr>
              <w:jc w:val="right"/>
              <w:rPr>
                <w:b/>
                <w:bCs/>
                <w:sz w:val="16"/>
                <w:szCs w:val="16"/>
              </w:rPr>
            </w:pPr>
            <w:r>
              <w:rPr>
                <w:b/>
                <w:bCs/>
                <w:sz w:val="16"/>
                <w:szCs w:val="16"/>
              </w:rPr>
              <w:t>10 000 000</w:t>
            </w:r>
          </w:p>
        </w:tc>
      </w:tr>
      <w:tr w:rsidR="00672EF3" w14:paraId="7DBF384A"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14:paraId="5FE596FC" w14:textId="77777777" w:rsidR="00672EF3" w:rsidRDefault="00672EF3">
            <w:pPr>
              <w:rPr>
                <w:sz w:val="16"/>
                <w:szCs w:val="16"/>
              </w:rPr>
            </w:pPr>
            <w:r>
              <w:rPr>
                <w:sz w:val="16"/>
                <w:szCs w:val="16"/>
              </w:rPr>
              <w:t>Működési</w:t>
            </w:r>
          </w:p>
        </w:tc>
        <w:tc>
          <w:tcPr>
            <w:tcW w:w="5260" w:type="dxa"/>
            <w:tcBorders>
              <w:top w:val="nil"/>
              <w:left w:val="nil"/>
              <w:bottom w:val="single" w:sz="4" w:space="0" w:color="auto"/>
              <w:right w:val="single" w:sz="4" w:space="0" w:color="auto"/>
            </w:tcBorders>
            <w:shd w:val="clear" w:color="000000" w:fill="FFFFFF"/>
            <w:vAlign w:val="bottom"/>
            <w:hideMark/>
          </w:tcPr>
          <w:p w14:paraId="05DE3863" w14:textId="77777777" w:rsidR="00672EF3" w:rsidRDefault="00672EF3">
            <w:pPr>
              <w:ind w:firstLineChars="100" w:firstLine="160"/>
              <w:rPr>
                <w:sz w:val="16"/>
                <w:szCs w:val="16"/>
              </w:rPr>
            </w:pPr>
            <w:r>
              <w:rPr>
                <w:sz w:val="16"/>
                <w:szCs w:val="16"/>
              </w:rPr>
              <w:t xml:space="preserve">Ipari park előszerződés Völgység </w:t>
            </w:r>
            <w:proofErr w:type="spellStart"/>
            <w:r>
              <w:rPr>
                <w:sz w:val="16"/>
                <w:szCs w:val="16"/>
              </w:rPr>
              <w:t>Trans</w:t>
            </w:r>
            <w:proofErr w:type="spellEnd"/>
            <w:r>
              <w:rPr>
                <w:sz w:val="16"/>
                <w:szCs w:val="16"/>
              </w:rPr>
              <w:t xml:space="preserve"> Kft</w:t>
            </w:r>
          </w:p>
        </w:tc>
        <w:tc>
          <w:tcPr>
            <w:tcW w:w="1560" w:type="dxa"/>
            <w:tcBorders>
              <w:top w:val="nil"/>
              <w:left w:val="nil"/>
              <w:bottom w:val="single" w:sz="4" w:space="0" w:color="auto"/>
              <w:right w:val="single" w:sz="8" w:space="0" w:color="auto"/>
            </w:tcBorders>
            <w:shd w:val="clear" w:color="000000" w:fill="FFFFFF"/>
            <w:vAlign w:val="center"/>
            <w:hideMark/>
          </w:tcPr>
          <w:p w14:paraId="3925E497" w14:textId="77777777" w:rsidR="00672EF3" w:rsidRDefault="00672EF3">
            <w:pPr>
              <w:jc w:val="right"/>
              <w:rPr>
                <w:b/>
                <w:bCs/>
                <w:sz w:val="16"/>
                <w:szCs w:val="16"/>
              </w:rPr>
            </w:pPr>
            <w:r>
              <w:rPr>
                <w:b/>
                <w:bCs/>
                <w:sz w:val="16"/>
                <w:szCs w:val="16"/>
              </w:rPr>
              <w:t>3 937 008</w:t>
            </w:r>
          </w:p>
        </w:tc>
      </w:tr>
      <w:tr w:rsidR="00672EF3" w14:paraId="51D80A94" w14:textId="77777777" w:rsidTr="00672EF3">
        <w:trPr>
          <w:trHeight w:val="264"/>
        </w:trPr>
        <w:tc>
          <w:tcPr>
            <w:tcW w:w="1120" w:type="dxa"/>
            <w:tcBorders>
              <w:top w:val="nil"/>
              <w:left w:val="single" w:sz="4" w:space="0" w:color="auto"/>
              <w:bottom w:val="single" w:sz="4" w:space="0" w:color="auto"/>
              <w:right w:val="single" w:sz="4" w:space="0" w:color="auto"/>
            </w:tcBorders>
            <w:shd w:val="clear" w:color="000000" w:fill="FFFF99"/>
            <w:noWrap/>
            <w:vAlign w:val="bottom"/>
            <w:hideMark/>
          </w:tcPr>
          <w:p w14:paraId="2BDF5B02" w14:textId="77777777" w:rsidR="00672EF3" w:rsidRDefault="00672EF3">
            <w:pPr>
              <w:rPr>
                <w:b/>
                <w:bCs/>
                <w:sz w:val="18"/>
                <w:szCs w:val="18"/>
              </w:rPr>
            </w:pPr>
            <w:r>
              <w:rPr>
                <w:b/>
                <w:bCs/>
                <w:sz w:val="18"/>
                <w:szCs w:val="18"/>
              </w:rPr>
              <w:t>Működési</w:t>
            </w:r>
          </w:p>
        </w:tc>
        <w:tc>
          <w:tcPr>
            <w:tcW w:w="5260" w:type="dxa"/>
            <w:tcBorders>
              <w:top w:val="nil"/>
              <w:left w:val="nil"/>
              <w:bottom w:val="single" w:sz="4" w:space="0" w:color="auto"/>
              <w:right w:val="single" w:sz="4" w:space="0" w:color="auto"/>
            </w:tcBorders>
            <w:shd w:val="clear" w:color="000000" w:fill="FFFF99"/>
            <w:noWrap/>
            <w:vAlign w:val="bottom"/>
            <w:hideMark/>
          </w:tcPr>
          <w:p w14:paraId="32B31366" w14:textId="77777777" w:rsidR="00672EF3" w:rsidRDefault="00672EF3">
            <w:pPr>
              <w:rPr>
                <w:b/>
                <w:bCs/>
                <w:sz w:val="18"/>
                <w:szCs w:val="18"/>
              </w:rPr>
            </w:pPr>
            <w:r>
              <w:rPr>
                <w:b/>
                <w:bCs/>
                <w:sz w:val="18"/>
                <w:szCs w:val="18"/>
              </w:rPr>
              <w:t>Működési céltartalékok összesen:</w:t>
            </w:r>
          </w:p>
        </w:tc>
        <w:tc>
          <w:tcPr>
            <w:tcW w:w="1560" w:type="dxa"/>
            <w:tcBorders>
              <w:top w:val="nil"/>
              <w:left w:val="nil"/>
              <w:bottom w:val="single" w:sz="4" w:space="0" w:color="auto"/>
              <w:right w:val="single" w:sz="8" w:space="0" w:color="auto"/>
            </w:tcBorders>
            <w:shd w:val="clear" w:color="000000" w:fill="FFFF99"/>
            <w:noWrap/>
            <w:vAlign w:val="bottom"/>
            <w:hideMark/>
          </w:tcPr>
          <w:p w14:paraId="1AFC0853" w14:textId="77777777" w:rsidR="00672EF3" w:rsidRDefault="00672EF3">
            <w:pPr>
              <w:jc w:val="right"/>
              <w:rPr>
                <w:b/>
                <w:bCs/>
                <w:sz w:val="18"/>
                <w:szCs w:val="18"/>
              </w:rPr>
            </w:pPr>
            <w:r>
              <w:rPr>
                <w:b/>
                <w:bCs/>
                <w:sz w:val="18"/>
                <w:szCs w:val="18"/>
              </w:rPr>
              <w:t>51 859 008</w:t>
            </w:r>
          </w:p>
        </w:tc>
      </w:tr>
      <w:tr w:rsidR="00672EF3" w14:paraId="5E37CCF9" w14:textId="77777777" w:rsidTr="00672EF3">
        <w:trPr>
          <w:trHeight w:val="276"/>
        </w:trPr>
        <w:tc>
          <w:tcPr>
            <w:tcW w:w="1120" w:type="dxa"/>
            <w:tcBorders>
              <w:top w:val="nil"/>
              <w:left w:val="single" w:sz="4" w:space="0" w:color="auto"/>
              <w:bottom w:val="single" w:sz="8" w:space="0" w:color="auto"/>
              <w:right w:val="single" w:sz="4" w:space="0" w:color="auto"/>
            </w:tcBorders>
            <w:shd w:val="clear" w:color="000000" w:fill="C4BD97"/>
            <w:noWrap/>
            <w:vAlign w:val="bottom"/>
            <w:hideMark/>
          </w:tcPr>
          <w:p w14:paraId="681AB2F8" w14:textId="77777777" w:rsidR="00672EF3" w:rsidRDefault="00672EF3">
            <w:pPr>
              <w:rPr>
                <w:b/>
                <w:bCs/>
                <w:sz w:val="18"/>
                <w:szCs w:val="18"/>
              </w:rPr>
            </w:pPr>
            <w:r>
              <w:rPr>
                <w:b/>
                <w:bCs/>
                <w:sz w:val="18"/>
                <w:szCs w:val="18"/>
              </w:rPr>
              <w:t> </w:t>
            </w:r>
          </w:p>
        </w:tc>
        <w:tc>
          <w:tcPr>
            <w:tcW w:w="5260" w:type="dxa"/>
            <w:tcBorders>
              <w:top w:val="nil"/>
              <w:left w:val="nil"/>
              <w:bottom w:val="single" w:sz="8" w:space="0" w:color="auto"/>
              <w:right w:val="single" w:sz="4" w:space="0" w:color="auto"/>
            </w:tcBorders>
            <w:shd w:val="clear" w:color="000000" w:fill="C4BD97"/>
            <w:noWrap/>
            <w:vAlign w:val="bottom"/>
            <w:hideMark/>
          </w:tcPr>
          <w:p w14:paraId="6350C0D0" w14:textId="77777777" w:rsidR="00672EF3" w:rsidRDefault="00672EF3">
            <w:pPr>
              <w:rPr>
                <w:b/>
                <w:bCs/>
                <w:sz w:val="18"/>
                <w:szCs w:val="18"/>
              </w:rPr>
            </w:pPr>
            <w:r>
              <w:rPr>
                <w:b/>
                <w:bCs/>
                <w:sz w:val="18"/>
                <w:szCs w:val="18"/>
              </w:rPr>
              <w:t>Mindösszesen</w:t>
            </w:r>
          </w:p>
        </w:tc>
        <w:tc>
          <w:tcPr>
            <w:tcW w:w="1560" w:type="dxa"/>
            <w:tcBorders>
              <w:top w:val="nil"/>
              <w:left w:val="nil"/>
              <w:bottom w:val="single" w:sz="8" w:space="0" w:color="auto"/>
              <w:right w:val="single" w:sz="8" w:space="0" w:color="auto"/>
            </w:tcBorders>
            <w:shd w:val="clear" w:color="000000" w:fill="C4BD97"/>
            <w:noWrap/>
            <w:vAlign w:val="bottom"/>
            <w:hideMark/>
          </w:tcPr>
          <w:p w14:paraId="2C01DAE8" w14:textId="77777777" w:rsidR="00672EF3" w:rsidRDefault="00672EF3">
            <w:pPr>
              <w:jc w:val="right"/>
              <w:rPr>
                <w:b/>
                <w:bCs/>
                <w:sz w:val="18"/>
                <w:szCs w:val="18"/>
              </w:rPr>
            </w:pPr>
            <w:r>
              <w:rPr>
                <w:b/>
                <w:bCs/>
                <w:sz w:val="18"/>
                <w:szCs w:val="18"/>
              </w:rPr>
              <w:t>80 046 389</w:t>
            </w:r>
          </w:p>
        </w:tc>
      </w:tr>
    </w:tbl>
    <w:p w14:paraId="4BC525BB" w14:textId="3833B49D" w:rsidR="00932982" w:rsidRPr="00A82F71" w:rsidRDefault="00932982" w:rsidP="006325C2">
      <w:pPr>
        <w:spacing w:before="120"/>
        <w:jc w:val="both"/>
        <w:rPr>
          <w:rFonts w:ascii="Arial" w:hAnsi="Arial" w:cs="Arial"/>
          <w:sz w:val="22"/>
          <w:szCs w:val="22"/>
          <w:highlight w:val="yellow"/>
        </w:rPr>
      </w:pPr>
    </w:p>
    <w:p w14:paraId="57D786F8" w14:textId="7288FACD" w:rsidR="006325C2" w:rsidRPr="00F70C81" w:rsidRDefault="00C025C4" w:rsidP="00BE43E5">
      <w:pPr>
        <w:spacing w:line="276" w:lineRule="auto"/>
        <w:jc w:val="both"/>
        <w:rPr>
          <w:rFonts w:ascii="Arial" w:hAnsi="Arial" w:cs="Arial"/>
          <w:sz w:val="22"/>
          <w:szCs w:val="22"/>
        </w:rPr>
      </w:pPr>
      <w:r w:rsidRPr="00F70C81">
        <w:rPr>
          <w:rFonts w:ascii="Arial" w:hAnsi="Arial" w:cs="Arial"/>
          <w:sz w:val="22"/>
          <w:szCs w:val="22"/>
        </w:rPr>
        <w:t>Az általános tartalék összege</w:t>
      </w:r>
      <w:r w:rsidR="006325C2" w:rsidRPr="00F70C81">
        <w:rPr>
          <w:rFonts w:ascii="Arial" w:hAnsi="Arial" w:cs="Arial"/>
          <w:sz w:val="22"/>
          <w:szCs w:val="22"/>
        </w:rPr>
        <w:t xml:space="preserve"> </w:t>
      </w:r>
      <w:r w:rsidR="00CD43C4" w:rsidRPr="00F70C81">
        <w:rPr>
          <w:rFonts w:ascii="Arial" w:hAnsi="Arial" w:cs="Arial"/>
          <w:sz w:val="22"/>
          <w:szCs w:val="22"/>
        </w:rPr>
        <w:t>10 000 000</w:t>
      </w:r>
      <w:r w:rsidR="006325C2" w:rsidRPr="00F70C81">
        <w:rPr>
          <w:rFonts w:ascii="Arial" w:hAnsi="Arial" w:cs="Arial"/>
          <w:sz w:val="22"/>
          <w:szCs w:val="22"/>
        </w:rPr>
        <w:t xml:space="preserve"> Ft</w:t>
      </w:r>
      <w:r w:rsidRPr="00F70C81">
        <w:rPr>
          <w:rFonts w:ascii="Arial" w:hAnsi="Arial" w:cs="Arial"/>
          <w:sz w:val="22"/>
          <w:szCs w:val="22"/>
        </w:rPr>
        <w:t xml:space="preserve">, mely az </w:t>
      </w:r>
      <w:r w:rsidR="00DB0177" w:rsidRPr="00F70C81">
        <w:rPr>
          <w:rFonts w:ascii="Arial" w:hAnsi="Arial" w:cs="Arial"/>
          <w:sz w:val="22"/>
          <w:szCs w:val="22"/>
        </w:rPr>
        <w:t xml:space="preserve">előre nem tervezett, év közben felmerülő </w:t>
      </w:r>
      <w:r w:rsidR="006325C2" w:rsidRPr="00F70C81">
        <w:rPr>
          <w:rFonts w:ascii="Arial" w:hAnsi="Arial" w:cs="Arial"/>
          <w:sz w:val="22"/>
          <w:szCs w:val="22"/>
        </w:rPr>
        <w:t>gazdasági esemény</w:t>
      </w:r>
      <w:r w:rsidR="00DB0177" w:rsidRPr="00F70C81">
        <w:rPr>
          <w:rFonts w:ascii="Arial" w:hAnsi="Arial" w:cs="Arial"/>
          <w:sz w:val="22"/>
          <w:szCs w:val="22"/>
        </w:rPr>
        <w:t>ek fedezetét jelentheti.</w:t>
      </w:r>
    </w:p>
    <w:p w14:paraId="301644AE" w14:textId="77777777" w:rsidR="00654560" w:rsidRDefault="00654560" w:rsidP="00BE43E5">
      <w:pPr>
        <w:spacing w:line="276" w:lineRule="auto"/>
        <w:jc w:val="both"/>
        <w:rPr>
          <w:rFonts w:ascii="Arial" w:hAnsi="Arial" w:cs="Arial"/>
          <w:b/>
          <w:sz w:val="22"/>
          <w:szCs w:val="22"/>
          <w:u w:val="single"/>
        </w:rPr>
      </w:pPr>
    </w:p>
    <w:p w14:paraId="7BC84EE7" w14:textId="742E5240" w:rsidR="006325C2" w:rsidRPr="003B5628" w:rsidRDefault="009F5D46" w:rsidP="00BE43E5">
      <w:pPr>
        <w:spacing w:line="276" w:lineRule="auto"/>
        <w:jc w:val="both"/>
        <w:rPr>
          <w:rFonts w:ascii="Arial" w:hAnsi="Arial" w:cs="Arial"/>
          <w:sz w:val="22"/>
          <w:szCs w:val="22"/>
        </w:rPr>
      </w:pPr>
      <w:r w:rsidRPr="003B5628">
        <w:rPr>
          <w:rFonts w:ascii="Arial" w:hAnsi="Arial" w:cs="Arial"/>
          <w:b/>
          <w:sz w:val="22"/>
          <w:szCs w:val="22"/>
          <w:u w:val="single"/>
        </w:rPr>
        <w:t>A f</w:t>
      </w:r>
      <w:r w:rsidR="006325C2" w:rsidRPr="003B5628">
        <w:rPr>
          <w:rFonts w:ascii="Arial" w:hAnsi="Arial" w:cs="Arial"/>
          <w:b/>
          <w:sz w:val="22"/>
          <w:szCs w:val="22"/>
          <w:u w:val="single"/>
        </w:rPr>
        <w:t>elhalmozási költségvetés</w:t>
      </w:r>
      <w:r w:rsidR="006325C2" w:rsidRPr="003B5628">
        <w:rPr>
          <w:rFonts w:ascii="Arial" w:hAnsi="Arial" w:cs="Arial"/>
          <w:sz w:val="22"/>
          <w:szCs w:val="22"/>
          <w:u w:val="single"/>
        </w:rPr>
        <w:t xml:space="preserve"> </w:t>
      </w:r>
      <w:r w:rsidR="006325C2" w:rsidRPr="003B5628">
        <w:rPr>
          <w:rFonts w:ascii="Arial" w:hAnsi="Arial" w:cs="Arial"/>
          <w:sz w:val="22"/>
          <w:szCs w:val="22"/>
        </w:rPr>
        <w:t xml:space="preserve">kiadásai </w:t>
      </w:r>
      <w:r w:rsidR="008D1622" w:rsidRPr="003B5628">
        <w:rPr>
          <w:rFonts w:ascii="Arial" w:hAnsi="Arial" w:cs="Arial"/>
          <w:sz w:val="22"/>
          <w:szCs w:val="22"/>
        </w:rPr>
        <w:t>előirányzata</w:t>
      </w:r>
      <w:r w:rsidR="005E0843" w:rsidRPr="003B5628">
        <w:rPr>
          <w:rFonts w:ascii="Arial" w:hAnsi="Arial" w:cs="Arial"/>
          <w:sz w:val="22"/>
          <w:szCs w:val="22"/>
        </w:rPr>
        <w:t xml:space="preserve"> </w:t>
      </w:r>
      <w:r w:rsidR="006325C2" w:rsidRPr="003B5628">
        <w:rPr>
          <w:rFonts w:ascii="Arial" w:hAnsi="Arial" w:cs="Arial"/>
          <w:sz w:val="22"/>
          <w:szCs w:val="22"/>
        </w:rPr>
        <w:t>összesen</w:t>
      </w:r>
      <w:r w:rsidRPr="003B5628">
        <w:rPr>
          <w:rFonts w:ascii="Arial" w:hAnsi="Arial" w:cs="Arial"/>
          <w:sz w:val="22"/>
          <w:szCs w:val="22"/>
        </w:rPr>
        <w:t xml:space="preserve"> </w:t>
      </w:r>
      <w:r w:rsidR="00CE61CE" w:rsidRPr="003B5628">
        <w:rPr>
          <w:rFonts w:ascii="Arial" w:hAnsi="Arial" w:cs="Arial"/>
          <w:sz w:val="22"/>
          <w:szCs w:val="22"/>
        </w:rPr>
        <w:t>923 815 889</w:t>
      </w:r>
      <w:r w:rsidR="006325C2" w:rsidRPr="003B5628">
        <w:rPr>
          <w:rFonts w:ascii="Arial" w:hAnsi="Arial" w:cs="Arial"/>
          <w:sz w:val="22"/>
          <w:szCs w:val="22"/>
        </w:rPr>
        <w:t xml:space="preserve"> Ft</w:t>
      </w:r>
      <w:r w:rsidR="00CE61CE" w:rsidRPr="003B5628">
        <w:rPr>
          <w:rFonts w:ascii="Arial" w:hAnsi="Arial" w:cs="Arial"/>
          <w:sz w:val="22"/>
          <w:szCs w:val="22"/>
        </w:rPr>
        <w:t>, amelyből a tervezett 873 127 850 Ft beruházások összege, 47 252 039 Ft a tervezett felújítások összege és 3 436 000 Ft egyéb felhalmozási célú kiadással számoltunk.</w:t>
      </w:r>
    </w:p>
    <w:p w14:paraId="600006F1" w14:textId="77777777" w:rsidR="00654560" w:rsidRDefault="00654560" w:rsidP="00BE43E5">
      <w:pPr>
        <w:spacing w:line="276" w:lineRule="auto"/>
        <w:jc w:val="both"/>
        <w:rPr>
          <w:rFonts w:ascii="Arial" w:hAnsi="Arial" w:cs="Arial"/>
          <w:sz w:val="22"/>
          <w:szCs w:val="22"/>
        </w:rPr>
      </w:pPr>
    </w:p>
    <w:p w14:paraId="0E0305F6" w14:textId="02F731D1" w:rsidR="003B5628" w:rsidRDefault="00F83732" w:rsidP="00BE43E5">
      <w:pPr>
        <w:spacing w:line="276" w:lineRule="auto"/>
        <w:jc w:val="both"/>
        <w:rPr>
          <w:rFonts w:ascii="Arial" w:hAnsi="Arial" w:cs="Arial"/>
          <w:sz w:val="22"/>
          <w:szCs w:val="22"/>
        </w:rPr>
      </w:pPr>
      <w:r w:rsidRPr="003B5628">
        <w:rPr>
          <w:rFonts w:ascii="Arial" w:hAnsi="Arial" w:cs="Arial"/>
          <w:sz w:val="22"/>
          <w:szCs w:val="22"/>
        </w:rPr>
        <w:t>A</w:t>
      </w:r>
      <w:r w:rsidR="003B5628" w:rsidRPr="003B5628">
        <w:rPr>
          <w:rFonts w:ascii="Arial" w:hAnsi="Arial" w:cs="Arial"/>
          <w:sz w:val="22"/>
          <w:szCs w:val="22"/>
        </w:rPr>
        <w:t xml:space="preserve"> </w:t>
      </w:r>
      <w:r w:rsidR="003B5628" w:rsidRPr="00B211E4">
        <w:rPr>
          <w:rFonts w:ascii="Arial" w:hAnsi="Arial" w:cs="Arial"/>
          <w:sz w:val="22"/>
          <w:szCs w:val="22"/>
          <w:u w:val="single"/>
        </w:rPr>
        <w:t>beruházások között</w:t>
      </w:r>
      <w:r w:rsidR="003B5628" w:rsidRPr="003B5628">
        <w:rPr>
          <w:rFonts w:ascii="Arial" w:hAnsi="Arial" w:cs="Arial"/>
          <w:sz w:val="22"/>
          <w:szCs w:val="22"/>
        </w:rPr>
        <w:t xml:space="preserve"> a</w:t>
      </w:r>
      <w:r w:rsidRPr="003B5628">
        <w:rPr>
          <w:rFonts w:ascii="Arial" w:hAnsi="Arial" w:cs="Arial"/>
          <w:sz w:val="22"/>
          <w:szCs w:val="22"/>
        </w:rPr>
        <w:t xml:space="preserve"> „TOP Plusz 3.3.2 Szociális alapszolgáltatás fejlesztés I.</w:t>
      </w:r>
      <w:r w:rsidR="005E0843" w:rsidRPr="003B5628">
        <w:rPr>
          <w:rFonts w:ascii="Arial" w:hAnsi="Arial" w:cs="Arial"/>
          <w:sz w:val="22"/>
          <w:szCs w:val="22"/>
        </w:rPr>
        <w:t xml:space="preserve"> </w:t>
      </w:r>
      <w:r w:rsidRPr="003B5628">
        <w:rPr>
          <w:rFonts w:ascii="Arial" w:hAnsi="Arial" w:cs="Arial"/>
          <w:sz w:val="22"/>
          <w:szCs w:val="22"/>
        </w:rPr>
        <w:t>ütem” európai uniós projektünkkel összefüggően 355 000 000 Ft, a „TOP Plusz 3.3.2 Szociális alapszolgáltatás fejlesztés II.</w:t>
      </w:r>
      <w:r w:rsidR="005E0843" w:rsidRPr="003B5628">
        <w:rPr>
          <w:rFonts w:ascii="Arial" w:hAnsi="Arial" w:cs="Arial"/>
          <w:sz w:val="22"/>
          <w:szCs w:val="22"/>
        </w:rPr>
        <w:t xml:space="preserve"> </w:t>
      </w:r>
      <w:r w:rsidRPr="003B5628">
        <w:rPr>
          <w:rFonts w:ascii="Arial" w:hAnsi="Arial" w:cs="Arial"/>
          <w:sz w:val="22"/>
          <w:szCs w:val="22"/>
        </w:rPr>
        <w:t>ütem” európai uniós projektünk</w:t>
      </w:r>
      <w:r w:rsidRPr="00293305">
        <w:rPr>
          <w:rFonts w:ascii="Arial" w:hAnsi="Arial" w:cs="Arial"/>
          <w:sz w:val="22"/>
          <w:szCs w:val="22"/>
        </w:rPr>
        <w:t xml:space="preserve"> megvalósítás</w:t>
      </w:r>
      <w:r w:rsidR="000F03AF" w:rsidRPr="00293305">
        <w:rPr>
          <w:rFonts w:ascii="Arial" w:hAnsi="Arial" w:cs="Arial"/>
          <w:sz w:val="22"/>
          <w:szCs w:val="22"/>
        </w:rPr>
        <w:t>a</w:t>
      </w:r>
      <w:r w:rsidRPr="00293305">
        <w:rPr>
          <w:rFonts w:ascii="Arial" w:hAnsi="Arial" w:cs="Arial"/>
          <w:sz w:val="22"/>
          <w:szCs w:val="22"/>
        </w:rPr>
        <w:t xml:space="preserve"> </w:t>
      </w:r>
      <w:proofErr w:type="gramStart"/>
      <w:r w:rsidRPr="00293305">
        <w:rPr>
          <w:rFonts w:ascii="Arial" w:hAnsi="Arial" w:cs="Arial"/>
          <w:sz w:val="22"/>
          <w:szCs w:val="22"/>
        </w:rPr>
        <w:t xml:space="preserve">során </w:t>
      </w:r>
      <w:r w:rsidR="008921C0">
        <w:rPr>
          <w:rFonts w:ascii="Arial" w:hAnsi="Arial" w:cs="Arial"/>
          <w:sz w:val="22"/>
          <w:szCs w:val="22"/>
        </w:rPr>
        <w:t xml:space="preserve">                  </w:t>
      </w:r>
      <w:r w:rsidRPr="00293305">
        <w:rPr>
          <w:rFonts w:ascii="Arial" w:hAnsi="Arial" w:cs="Arial"/>
          <w:sz w:val="22"/>
          <w:szCs w:val="22"/>
        </w:rPr>
        <w:t>216</w:t>
      </w:r>
      <w:proofErr w:type="gramEnd"/>
      <w:r w:rsidRPr="00293305">
        <w:rPr>
          <w:rFonts w:ascii="Arial" w:hAnsi="Arial" w:cs="Arial"/>
          <w:sz w:val="22"/>
          <w:szCs w:val="22"/>
        </w:rPr>
        <w:t xml:space="preserve"> 000 000 Ft beruházási kiadással számolunk Bátaszék Város Önkormányzatánál. </w:t>
      </w:r>
      <w:r w:rsidR="00C54D3B" w:rsidRPr="00293305">
        <w:rPr>
          <w:rFonts w:ascii="Arial" w:hAnsi="Arial" w:cs="Arial"/>
          <w:sz w:val="22"/>
          <w:szCs w:val="22"/>
        </w:rPr>
        <w:t xml:space="preserve">A „TOP Plusz 1.1.1. Kanizsai Dorottya Általános és Zeneiskola </w:t>
      </w:r>
      <w:proofErr w:type="gramStart"/>
      <w:r w:rsidR="00C54D3B" w:rsidRPr="00293305">
        <w:rPr>
          <w:rFonts w:ascii="Arial" w:hAnsi="Arial" w:cs="Arial"/>
          <w:sz w:val="22"/>
          <w:szCs w:val="22"/>
        </w:rPr>
        <w:t>Konyha korszerűsítés</w:t>
      </w:r>
      <w:proofErr w:type="gramEnd"/>
      <w:r w:rsidR="00C54D3B" w:rsidRPr="00293305">
        <w:rPr>
          <w:rFonts w:ascii="Arial" w:hAnsi="Arial" w:cs="Arial"/>
          <w:sz w:val="22"/>
          <w:szCs w:val="22"/>
        </w:rPr>
        <w:t xml:space="preserve">, bővítés” projekt végrehajtásával összefüggően </w:t>
      </w:r>
      <w:r w:rsidR="00CE61CE">
        <w:rPr>
          <w:rFonts w:ascii="Arial" w:hAnsi="Arial" w:cs="Arial"/>
          <w:sz w:val="22"/>
          <w:szCs w:val="22"/>
        </w:rPr>
        <w:t>240 289 592</w:t>
      </w:r>
      <w:r w:rsidR="003B5628">
        <w:rPr>
          <w:rFonts w:ascii="Arial" w:hAnsi="Arial" w:cs="Arial"/>
          <w:sz w:val="22"/>
          <w:szCs w:val="22"/>
        </w:rPr>
        <w:t xml:space="preserve"> Ft összegű kiadást ve</w:t>
      </w:r>
      <w:r w:rsidR="00C54D3B" w:rsidRPr="00293305">
        <w:rPr>
          <w:rFonts w:ascii="Arial" w:hAnsi="Arial" w:cs="Arial"/>
          <w:sz w:val="22"/>
          <w:szCs w:val="22"/>
        </w:rPr>
        <w:t xml:space="preserve">ttünk számításba. </w:t>
      </w:r>
    </w:p>
    <w:p w14:paraId="1D167799" w14:textId="449A1CA1" w:rsidR="003B5628" w:rsidRDefault="003B5628" w:rsidP="00BE43E5">
      <w:pPr>
        <w:spacing w:line="276" w:lineRule="auto"/>
        <w:jc w:val="both"/>
        <w:rPr>
          <w:rFonts w:ascii="Arial" w:hAnsi="Arial" w:cs="Arial"/>
          <w:sz w:val="22"/>
          <w:szCs w:val="22"/>
        </w:rPr>
      </w:pPr>
      <w:r>
        <w:rPr>
          <w:rFonts w:ascii="Arial" w:hAnsi="Arial" w:cs="Arial"/>
          <w:sz w:val="22"/>
          <w:szCs w:val="22"/>
        </w:rPr>
        <w:t>A tervezet szerint Versenyképes Járások Program I. keretében megvalósuló okos zebra, szúnyoggyérítés</w:t>
      </w:r>
      <w:r w:rsidR="0014153F">
        <w:rPr>
          <w:rFonts w:ascii="Arial" w:hAnsi="Arial" w:cs="Arial"/>
          <w:sz w:val="22"/>
          <w:szCs w:val="22"/>
        </w:rPr>
        <w:t>,</w:t>
      </w:r>
      <w:r>
        <w:rPr>
          <w:rFonts w:ascii="Arial" w:hAnsi="Arial" w:cs="Arial"/>
          <w:sz w:val="22"/>
          <w:szCs w:val="22"/>
        </w:rPr>
        <w:t xml:space="preserve"> tűzoltólaktanya korszerűsítés 2026. évi kiadásainak összege összesen 38 238 258 Ft.  Egyéb gép, berendezés beszerzésére 900 000 Ft, közvilágítási lámpák cseréje VI. ütemére 6 000 000 Ft, a közvilágítási lámpák cseréjének 2026. évre áthúzódó összege 2 000 000 Ft, árokmaró beszerzésére 3 200 000 Ft került tervezésre. Számoltunk a buszmegállóban kialakításra kerülő váró és WC beruházási költségeivel 9 000 000 Ft összegben. </w:t>
      </w:r>
    </w:p>
    <w:p w14:paraId="181AE3D7" w14:textId="43A6CE71" w:rsidR="001E256B" w:rsidRPr="001D1C74" w:rsidRDefault="00234C0A" w:rsidP="00BE43E5">
      <w:pPr>
        <w:spacing w:line="276" w:lineRule="auto"/>
        <w:jc w:val="both"/>
        <w:rPr>
          <w:rFonts w:ascii="Arial" w:hAnsi="Arial" w:cs="Arial"/>
          <w:iCs/>
          <w:sz w:val="22"/>
          <w:szCs w:val="22"/>
        </w:rPr>
      </w:pPr>
      <w:r w:rsidRPr="001D1C74">
        <w:rPr>
          <w:rFonts w:ascii="Arial" w:hAnsi="Arial" w:cs="Arial"/>
          <w:iCs/>
          <w:sz w:val="22"/>
          <w:szCs w:val="22"/>
        </w:rPr>
        <w:t xml:space="preserve">A Könyvtárnál könyvek beszerzésére </w:t>
      </w:r>
      <w:r w:rsidR="001D1C74" w:rsidRPr="001D1C74">
        <w:rPr>
          <w:rFonts w:ascii="Arial" w:hAnsi="Arial" w:cs="Arial"/>
          <w:iCs/>
          <w:sz w:val="22"/>
          <w:szCs w:val="22"/>
        </w:rPr>
        <w:t>1</w:t>
      </w:r>
      <w:r w:rsidRPr="001D1C74">
        <w:rPr>
          <w:rFonts w:ascii="Arial" w:hAnsi="Arial" w:cs="Arial"/>
          <w:iCs/>
          <w:sz w:val="22"/>
          <w:szCs w:val="22"/>
        </w:rPr>
        <w:t xml:space="preserve"> </w:t>
      </w:r>
      <w:r w:rsidR="00431A72">
        <w:rPr>
          <w:rFonts w:ascii="Arial" w:hAnsi="Arial" w:cs="Arial"/>
          <w:iCs/>
          <w:sz w:val="22"/>
          <w:szCs w:val="22"/>
        </w:rPr>
        <w:t>5</w:t>
      </w:r>
      <w:r w:rsidRPr="001D1C74">
        <w:rPr>
          <w:rFonts w:ascii="Arial" w:hAnsi="Arial" w:cs="Arial"/>
          <w:iCs/>
          <w:sz w:val="22"/>
          <w:szCs w:val="22"/>
        </w:rPr>
        <w:t>00 000 Ft-ot szerepeltettünk. A KÖH-</w:t>
      </w:r>
      <w:proofErr w:type="spellStart"/>
      <w:r w:rsidRPr="001D1C74">
        <w:rPr>
          <w:rFonts w:ascii="Arial" w:hAnsi="Arial" w:cs="Arial"/>
          <w:iCs/>
          <w:sz w:val="22"/>
          <w:szCs w:val="22"/>
        </w:rPr>
        <w:t>nél</w:t>
      </w:r>
      <w:proofErr w:type="spellEnd"/>
      <w:r w:rsidRPr="001D1C74">
        <w:rPr>
          <w:rFonts w:ascii="Arial" w:hAnsi="Arial" w:cs="Arial"/>
          <w:iCs/>
          <w:sz w:val="22"/>
          <w:szCs w:val="22"/>
        </w:rPr>
        <w:t xml:space="preserve"> egyéb gép, berendezés beszerzésére 1</w:t>
      </w:r>
      <w:r w:rsidR="001D1C74" w:rsidRPr="001D1C74">
        <w:rPr>
          <w:rFonts w:ascii="Arial" w:hAnsi="Arial" w:cs="Arial"/>
          <w:iCs/>
          <w:sz w:val="22"/>
          <w:szCs w:val="22"/>
        </w:rPr>
        <w:t> 000 0</w:t>
      </w:r>
      <w:r w:rsidRPr="001D1C74">
        <w:rPr>
          <w:rFonts w:ascii="Arial" w:hAnsi="Arial" w:cs="Arial"/>
          <w:iCs/>
          <w:sz w:val="22"/>
          <w:szCs w:val="22"/>
        </w:rPr>
        <w:t>00 Ft beruházási kiadás szolgálja a folyamatos működéshez szükséges számítástechnikai eszközbeszerzést.</w:t>
      </w:r>
    </w:p>
    <w:p w14:paraId="3045D631" w14:textId="092DEF18" w:rsidR="000D65CA" w:rsidRDefault="000D65CA" w:rsidP="00BE43E5">
      <w:pPr>
        <w:spacing w:line="276" w:lineRule="auto"/>
        <w:jc w:val="both"/>
        <w:rPr>
          <w:rFonts w:ascii="Arial" w:hAnsi="Arial" w:cs="Arial"/>
          <w:iCs/>
          <w:sz w:val="22"/>
          <w:szCs w:val="22"/>
        </w:rPr>
      </w:pPr>
      <w:r w:rsidRPr="000A1A53">
        <w:rPr>
          <w:rFonts w:ascii="Arial" w:hAnsi="Arial" w:cs="Arial"/>
          <w:iCs/>
          <w:sz w:val="22"/>
          <w:szCs w:val="22"/>
        </w:rPr>
        <w:t>Az előzőekben részletezett beruházási kiadásokat az alábbi táblázat foglalja össze:</w:t>
      </w:r>
    </w:p>
    <w:p w14:paraId="423A22A4" w14:textId="446FE715" w:rsidR="003B5628" w:rsidRDefault="003B5628" w:rsidP="006325C2">
      <w:pPr>
        <w:spacing w:before="120"/>
        <w:jc w:val="both"/>
        <w:rPr>
          <w:rFonts w:ascii="Arial" w:hAnsi="Arial" w:cs="Arial"/>
          <w:iCs/>
          <w:sz w:val="22"/>
          <w:szCs w:val="22"/>
        </w:rPr>
      </w:pPr>
    </w:p>
    <w:tbl>
      <w:tblPr>
        <w:tblW w:w="9412" w:type="dxa"/>
        <w:tblCellMar>
          <w:left w:w="70" w:type="dxa"/>
          <w:right w:w="70" w:type="dxa"/>
        </w:tblCellMar>
        <w:tblLook w:val="04A0" w:firstRow="1" w:lastRow="0" w:firstColumn="1" w:lastColumn="0" w:noHBand="0" w:noVBand="1"/>
      </w:tblPr>
      <w:tblGrid>
        <w:gridCol w:w="3392"/>
        <w:gridCol w:w="1420"/>
        <w:gridCol w:w="1480"/>
        <w:gridCol w:w="1620"/>
        <w:gridCol w:w="1500"/>
      </w:tblGrid>
      <w:tr w:rsidR="003B5628" w14:paraId="15CB1A71" w14:textId="77777777" w:rsidTr="003B5628">
        <w:trPr>
          <w:trHeight w:val="889"/>
        </w:trPr>
        <w:tc>
          <w:tcPr>
            <w:tcW w:w="3392" w:type="dxa"/>
            <w:tcBorders>
              <w:top w:val="single" w:sz="8" w:space="0" w:color="auto"/>
              <w:left w:val="single" w:sz="8" w:space="0" w:color="auto"/>
              <w:bottom w:val="single" w:sz="8" w:space="0" w:color="auto"/>
              <w:right w:val="single" w:sz="4" w:space="0" w:color="auto"/>
            </w:tcBorders>
            <w:vAlign w:val="center"/>
            <w:hideMark/>
          </w:tcPr>
          <w:p w14:paraId="76D0D579" w14:textId="77777777" w:rsidR="003B5628" w:rsidRDefault="003B5628">
            <w:pPr>
              <w:jc w:val="center"/>
              <w:rPr>
                <w:rFonts w:ascii="Times New Roman CE" w:hAnsi="Times New Roman CE" w:cs="Times New Roman CE"/>
                <w:b/>
                <w:bCs/>
                <w:sz w:val="18"/>
                <w:szCs w:val="18"/>
                <w:lang w:eastAsia="hu-HU"/>
              </w:rPr>
            </w:pPr>
            <w:proofErr w:type="gramStart"/>
            <w:r>
              <w:rPr>
                <w:rFonts w:ascii="Times New Roman CE" w:hAnsi="Times New Roman CE" w:cs="Times New Roman CE"/>
                <w:b/>
                <w:bCs/>
                <w:sz w:val="18"/>
                <w:szCs w:val="18"/>
              </w:rPr>
              <w:t>Beruházás  megnevezése</w:t>
            </w:r>
            <w:proofErr w:type="gramEnd"/>
          </w:p>
        </w:tc>
        <w:tc>
          <w:tcPr>
            <w:tcW w:w="1420" w:type="dxa"/>
            <w:tcBorders>
              <w:top w:val="single" w:sz="8" w:space="0" w:color="auto"/>
              <w:left w:val="nil"/>
              <w:bottom w:val="single" w:sz="8" w:space="0" w:color="auto"/>
              <w:right w:val="single" w:sz="4" w:space="0" w:color="auto"/>
            </w:tcBorders>
            <w:vAlign w:val="center"/>
            <w:hideMark/>
          </w:tcPr>
          <w:p w14:paraId="449A8BB4" w14:textId="77777777" w:rsidR="003B5628" w:rsidRDefault="003B5628">
            <w:pPr>
              <w:jc w:val="center"/>
              <w:rPr>
                <w:rFonts w:ascii="Times New Roman CE" w:hAnsi="Times New Roman CE" w:cs="Times New Roman CE"/>
                <w:b/>
                <w:bCs/>
                <w:sz w:val="18"/>
                <w:szCs w:val="18"/>
              </w:rPr>
            </w:pPr>
            <w:r>
              <w:rPr>
                <w:rFonts w:ascii="Times New Roman CE" w:hAnsi="Times New Roman CE" w:cs="Times New Roman CE"/>
                <w:b/>
                <w:bCs/>
                <w:sz w:val="18"/>
                <w:szCs w:val="18"/>
              </w:rPr>
              <w:t>Teljes költség</w:t>
            </w:r>
          </w:p>
        </w:tc>
        <w:tc>
          <w:tcPr>
            <w:tcW w:w="1480" w:type="dxa"/>
            <w:tcBorders>
              <w:top w:val="single" w:sz="8" w:space="0" w:color="auto"/>
              <w:left w:val="nil"/>
              <w:bottom w:val="single" w:sz="8" w:space="0" w:color="auto"/>
              <w:right w:val="single" w:sz="4" w:space="0" w:color="auto"/>
            </w:tcBorders>
            <w:vAlign w:val="center"/>
            <w:hideMark/>
          </w:tcPr>
          <w:p w14:paraId="77EE3EE5" w14:textId="77777777" w:rsidR="003B5628" w:rsidRDefault="003B5628">
            <w:pPr>
              <w:jc w:val="center"/>
              <w:rPr>
                <w:rFonts w:ascii="Times New Roman CE" w:hAnsi="Times New Roman CE" w:cs="Times New Roman CE"/>
                <w:b/>
                <w:bCs/>
                <w:sz w:val="18"/>
                <w:szCs w:val="18"/>
              </w:rPr>
            </w:pPr>
            <w:r>
              <w:rPr>
                <w:rFonts w:ascii="Times New Roman CE" w:hAnsi="Times New Roman CE" w:cs="Times New Roman CE"/>
                <w:b/>
                <w:bCs/>
                <w:sz w:val="18"/>
                <w:szCs w:val="18"/>
              </w:rPr>
              <w:t>Kivitelezés kezdési és befejezési éve</w:t>
            </w:r>
          </w:p>
        </w:tc>
        <w:tc>
          <w:tcPr>
            <w:tcW w:w="1620" w:type="dxa"/>
            <w:tcBorders>
              <w:top w:val="single" w:sz="8" w:space="0" w:color="auto"/>
              <w:left w:val="nil"/>
              <w:bottom w:val="single" w:sz="8" w:space="0" w:color="auto"/>
              <w:right w:val="single" w:sz="4" w:space="0" w:color="auto"/>
            </w:tcBorders>
            <w:vAlign w:val="center"/>
            <w:hideMark/>
          </w:tcPr>
          <w:p w14:paraId="09EFD47A" w14:textId="77777777" w:rsidR="003B5628" w:rsidRDefault="003B5628">
            <w:pPr>
              <w:jc w:val="center"/>
              <w:rPr>
                <w:rFonts w:ascii="Times New Roman CE" w:hAnsi="Times New Roman CE" w:cs="Times New Roman CE"/>
                <w:b/>
                <w:bCs/>
                <w:sz w:val="18"/>
                <w:szCs w:val="18"/>
              </w:rPr>
            </w:pPr>
            <w:proofErr w:type="gramStart"/>
            <w:r>
              <w:rPr>
                <w:rFonts w:ascii="Times New Roman CE" w:hAnsi="Times New Roman CE" w:cs="Times New Roman CE"/>
                <w:b/>
                <w:bCs/>
                <w:sz w:val="18"/>
                <w:szCs w:val="18"/>
              </w:rPr>
              <w:t>Felhasználás   2025.</w:t>
            </w:r>
            <w:proofErr w:type="gramEnd"/>
            <w:r>
              <w:rPr>
                <w:rFonts w:ascii="Times New Roman CE" w:hAnsi="Times New Roman CE" w:cs="Times New Roman CE"/>
                <w:b/>
                <w:bCs/>
                <w:sz w:val="18"/>
                <w:szCs w:val="18"/>
              </w:rPr>
              <w:t xml:space="preserve"> XII. 31-ig</w:t>
            </w:r>
          </w:p>
        </w:tc>
        <w:tc>
          <w:tcPr>
            <w:tcW w:w="1500" w:type="dxa"/>
            <w:tcBorders>
              <w:top w:val="single" w:sz="8" w:space="0" w:color="auto"/>
              <w:left w:val="nil"/>
              <w:bottom w:val="single" w:sz="8" w:space="0" w:color="auto"/>
              <w:right w:val="single" w:sz="4" w:space="0" w:color="auto"/>
            </w:tcBorders>
            <w:vAlign w:val="center"/>
            <w:hideMark/>
          </w:tcPr>
          <w:p w14:paraId="50B6F468" w14:textId="77777777" w:rsidR="003B5628" w:rsidRDefault="003B5628">
            <w:pPr>
              <w:jc w:val="center"/>
              <w:rPr>
                <w:rFonts w:ascii="Times New Roman CE" w:hAnsi="Times New Roman CE" w:cs="Times New Roman CE"/>
                <w:b/>
                <w:bCs/>
                <w:sz w:val="18"/>
                <w:szCs w:val="18"/>
              </w:rPr>
            </w:pPr>
            <w:r>
              <w:rPr>
                <w:rFonts w:ascii="Times New Roman CE" w:hAnsi="Times New Roman CE" w:cs="Times New Roman CE"/>
                <w:b/>
                <w:bCs/>
                <w:sz w:val="18"/>
                <w:szCs w:val="18"/>
              </w:rPr>
              <w:t>2026. évi előirányzat</w:t>
            </w:r>
          </w:p>
        </w:tc>
      </w:tr>
      <w:tr w:rsidR="003B5628" w14:paraId="729470D3" w14:textId="77777777" w:rsidTr="003B5628">
        <w:trPr>
          <w:trHeight w:val="240"/>
        </w:trPr>
        <w:tc>
          <w:tcPr>
            <w:tcW w:w="3392" w:type="dxa"/>
            <w:tcBorders>
              <w:top w:val="nil"/>
              <w:left w:val="single" w:sz="8" w:space="0" w:color="auto"/>
              <w:bottom w:val="single" w:sz="8" w:space="0" w:color="auto"/>
              <w:right w:val="single" w:sz="4" w:space="0" w:color="auto"/>
            </w:tcBorders>
            <w:vAlign w:val="center"/>
            <w:hideMark/>
          </w:tcPr>
          <w:p w14:paraId="2BC220AB" w14:textId="77777777" w:rsidR="003B5628" w:rsidRDefault="003B5628">
            <w:pPr>
              <w:jc w:val="center"/>
              <w:rPr>
                <w:rFonts w:ascii="Times New Roman CE" w:hAnsi="Times New Roman CE" w:cs="Times New Roman CE"/>
                <w:b/>
                <w:bCs/>
                <w:sz w:val="16"/>
                <w:szCs w:val="16"/>
              </w:rPr>
            </w:pPr>
            <w:r>
              <w:rPr>
                <w:rFonts w:ascii="Times New Roman CE" w:hAnsi="Times New Roman CE" w:cs="Times New Roman CE"/>
                <w:b/>
                <w:bCs/>
                <w:sz w:val="16"/>
                <w:szCs w:val="16"/>
              </w:rPr>
              <w:t>A</w:t>
            </w:r>
          </w:p>
        </w:tc>
        <w:tc>
          <w:tcPr>
            <w:tcW w:w="1420" w:type="dxa"/>
            <w:tcBorders>
              <w:top w:val="nil"/>
              <w:left w:val="nil"/>
              <w:bottom w:val="single" w:sz="8" w:space="0" w:color="auto"/>
              <w:right w:val="single" w:sz="4" w:space="0" w:color="auto"/>
            </w:tcBorders>
            <w:vAlign w:val="center"/>
            <w:hideMark/>
          </w:tcPr>
          <w:p w14:paraId="516BFBC3" w14:textId="77777777" w:rsidR="003B5628" w:rsidRDefault="003B5628">
            <w:pPr>
              <w:jc w:val="center"/>
              <w:rPr>
                <w:rFonts w:ascii="Times New Roman CE" w:hAnsi="Times New Roman CE" w:cs="Times New Roman CE"/>
                <w:b/>
                <w:bCs/>
                <w:sz w:val="16"/>
                <w:szCs w:val="16"/>
              </w:rPr>
            </w:pPr>
            <w:r>
              <w:rPr>
                <w:rFonts w:ascii="Times New Roman CE" w:hAnsi="Times New Roman CE" w:cs="Times New Roman CE"/>
                <w:b/>
                <w:bCs/>
                <w:sz w:val="16"/>
                <w:szCs w:val="16"/>
              </w:rPr>
              <w:t>B</w:t>
            </w:r>
          </w:p>
        </w:tc>
        <w:tc>
          <w:tcPr>
            <w:tcW w:w="1480" w:type="dxa"/>
            <w:tcBorders>
              <w:top w:val="nil"/>
              <w:left w:val="nil"/>
              <w:bottom w:val="single" w:sz="8" w:space="0" w:color="auto"/>
              <w:right w:val="single" w:sz="4" w:space="0" w:color="auto"/>
            </w:tcBorders>
            <w:vAlign w:val="center"/>
            <w:hideMark/>
          </w:tcPr>
          <w:p w14:paraId="36A65829" w14:textId="77777777" w:rsidR="003B5628" w:rsidRDefault="003B5628">
            <w:pPr>
              <w:jc w:val="center"/>
              <w:rPr>
                <w:rFonts w:ascii="Times New Roman CE" w:hAnsi="Times New Roman CE" w:cs="Times New Roman CE"/>
                <w:b/>
                <w:bCs/>
                <w:sz w:val="16"/>
                <w:szCs w:val="16"/>
              </w:rPr>
            </w:pPr>
            <w:r>
              <w:rPr>
                <w:rFonts w:ascii="Times New Roman CE" w:hAnsi="Times New Roman CE" w:cs="Times New Roman CE"/>
                <w:b/>
                <w:bCs/>
                <w:sz w:val="16"/>
                <w:szCs w:val="16"/>
              </w:rPr>
              <w:t>C</w:t>
            </w:r>
          </w:p>
        </w:tc>
        <w:tc>
          <w:tcPr>
            <w:tcW w:w="1620" w:type="dxa"/>
            <w:tcBorders>
              <w:top w:val="nil"/>
              <w:left w:val="nil"/>
              <w:bottom w:val="single" w:sz="8" w:space="0" w:color="auto"/>
              <w:right w:val="single" w:sz="4" w:space="0" w:color="auto"/>
            </w:tcBorders>
            <w:vAlign w:val="center"/>
            <w:hideMark/>
          </w:tcPr>
          <w:p w14:paraId="2690DB16" w14:textId="77777777" w:rsidR="003B5628" w:rsidRDefault="003B5628">
            <w:pPr>
              <w:jc w:val="center"/>
              <w:rPr>
                <w:rFonts w:ascii="Times New Roman CE" w:hAnsi="Times New Roman CE" w:cs="Times New Roman CE"/>
                <w:b/>
                <w:bCs/>
                <w:sz w:val="16"/>
                <w:szCs w:val="16"/>
              </w:rPr>
            </w:pPr>
            <w:r>
              <w:rPr>
                <w:rFonts w:ascii="Times New Roman CE" w:hAnsi="Times New Roman CE" w:cs="Times New Roman CE"/>
                <w:b/>
                <w:bCs/>
                <w:sz w:val="16"/>
                <w:szCs w:val="16"/>
              </w:rPr>
              <w:t>D</w:t>
            </w:r>
          </w:p>
        </w:tc>
        <w:tc>
          <w:tcPr>
            <w:tcW w:w="1500" w:type="dxa"/>
            <w:tcBorders>
              <w:top w:val="nil"/>
              <w:left w:val="nil"/>
              <w:bottom w:val="single" w:sz="8" w:space="0" w:color="auto"/>
              <w:right w:val="single" w:sz="4" w:space="0" w:color="auto"/>
            </w:tcBorders>
            <w:vAlign w:val="center"/>
            <w:hideMark/>
          </w:tcPr>
          <w:p w14:paraId="1E31ABB1" w14:textId="77777777" w:rsidR="003B5628" w:rsidRDefault="003B5628">
            <w:pPr>
              <w:jc w:val="center"/>
              <w:rPr>
                <w:rFonts w:ascii="Times New Roman CE" w:hAnsi="Times New Roman CE" w:cs="Times New Roman CE"/>
                <w:b/>
                <w:bCs/>
                <w:sz w:val="16"/>
                <w:szCs w:val="16"/>
              </w:rPr>
            </w:pPr>
            <w:r>
              <w:rPr>
                <w:rFonts w:ascii="Times New Roman CE" w:hAnsi="Times New Roman CE" w:cs="Times New Roman CE"/>
                <w:b/>
                <w:bCs/>
                <w:sz w:val="16"/>
                <w:szCs w:val="16"/>
              </w:rPr>
              <w:t>E</w:t>
            </w:r>
          </w:p>
        </w:tc>
      </w:tr>
      <w:tr w:rsidR="003B5628" w14:paraId="737A2CA0" w14:textId="77777777" w:rsidTr="003B5628">
        <w:trPr>
          <w:trHeight w:val="319"/>
        </w:trPr>
        <w:tc>
          <w:tcPr>
            <w:tcW w:w="3392" w:type="dxa"/>
            <w:tcBorders>
              <w:top w:val="single" w:sz="4" w:space="0" w:color="auto"/>
              <w:left w:val="single" w:sz="8" w:space="0" w:color="auto"/>
              <w:bottom w:val="single" w:sz="4" w:space="0" w:color="auto"/>
              <w:right w:val="single" w:sz="4" w:space="0" w:color="auto"/>
            </w:tcBorders>
            <w:vAlign w:val="center"/>
            <w:hideMark/>
          </w:tcPr>
          <w:p w14:paraId="43B95274"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TOP Plusz 3.3.2 </w:t>
            </w:r>
            <w:proofErr w:type="spellStart"/>
            <w:r>
              <w:rPr>
                <w:rFonts w:ascii="Times New Roman CE" w:hAnsi="Times New Roman CE" w:cs="Times New Roman CE"/>
                <w:sz w:val="16"/>
                <w:szCs w:val="16"/>
              </w:rPr>
              <w:t>Szoc</w:t>
            </w:r>
            <w:proofErr w:type="spellEnd"/>
            <w:r>
              <w:rPr>
                <w:rFonts w:ascii="Times New Roman CE" w:hAnsi="Times New Roman CE" w:cs="Times New Roman CE"/>
                <w:sz w:val="16"/>
                <w:szCs w:val="16"/>
              </w:rPr>
              <w:t xml:space="preserve">. </w:t>
            </w:r>
            <w:proofErr w:type="spellStart"/>
            <w:r>
              <w:rPr>
                <w:rFonts w:ascii="Times New Roman CE" w:hAnsi="Times New Roman CE" w:cs="Times New Roman CE"/>
                <w:sz w:val="16"/>
                <w:szCs w:val="16"/>
              </w:rPr>
              <w:t>alapszolg.fejl</w:t>
            </w:r>
            <w:proofErr w:type="spellEnd"/>
            <w:r>
              <w:rPr>
                <w:rFonts w:ascii="Times New Roman CE" w:hAnsi="Times New Roman CE" w:cs="Times New Roman CE"/>
                <w:sz w:val="16"/>
                <w:szCs w:val="16"/>
              </w:rPr>
              <w:t xml:space="preserve"> I.ütem</w:t>
            </w:r>
          </w:p>
        </w:tc>
        <w:tc>
          <w:tcPr>
            <w:tcW w:w="1420" w:type="dxa"/>
            <w:tcBorders>
              <w:top w:val="single" w:sz="4" w:space="0" w:color="auto"/>
              <w:left w:val="nil"/>
              <w:bottom w:val="single" w:sz="4" w:space="0" w:color="auto"/>
              <w:right w:val="single" w:sz="4" w:space="0" w:color="auto"/>
            </w:tcBorders>
            <w:vAlign w:val="center"/>
            <w:hideMark/>
          </w:tcPr>
          <w:p w14:paraId="379CF319"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356 425 000</w:t>
            </w:r>
          </w:p>
        </w:tc>
        <w:tc>
          <w:tcPr>
            <w:tcW w:w="1480" w:type="dxa"/>
            <w:tcBorders>
              <w:top w:val="single" w:sz="4" w:space="0" w:color="auto"/>
              <w:left w:val="nil"/>
              <w:bottom w:val="single" w:sz="4" w:space="0" w:color="auto"/>
              <w:right w:val="single" w:sz="4" w:space="0" w:color="auto"/>
            </w:tcBorders>
            <w:vAlign w:val="center"/>
            <w:hideMark/>
          </w:tcPr>
          <w:p w14:paraId="1B26E073"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2024-2026</w:t>
            </w:r>
          </w:p>
        </w:tc>
        <w:tc>
          <w:tcPr>
            <w:tcW w:w="1620" w:type="dxa"/>
            <w:tcBorders>
              <w:top w:val="single" w:sz="4" w:space="0" w:color="auto"/>
              <w:left w:val="nil"/>
              <w:bottom w:val="single" w:sz="4" w:space="0" w:color="auto"/>
              <w:right w:val="single" w:sz="4" w:space="0" w:color="auto"/>
            </w:tcBorders>
            <w:vAlign w:val="center"/>
            <w:hideMark/>
          </w:tcPr>
          <w:p w14:paraId="3D7D5180"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1 425 000</w:t>
            </w:r>
          </w:p>
        </w:tc>
        <w:tc>
          <w:tcPr>
            <w:tcW w:w="1500" w:type="dxa"/>
            <w:tcBorders>
              <w:top w:val="single" w:sz="4" w:space="0" w:color="auto"/>
              <w:left w:val="nil"/>
              <w:bottom w:val="single" w:sz="4" w:space="0" w:color="auto"/>
              <w:right w:val="single" w:sz="4" w:space="0" w:color="auto"/>
            </w:tcBorders>
            <w:vAlign w:val="center"/>
            <w:hideMark/>
          </w:tcPr>
          <w:p w14:paraId="0BAC7E69"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355 000 000</w:t>
            </w:r>
          </w:p>
        </w:tc>
      </w:tr>
      <w:tr w:rsidR="003B5628" w14:paraId="297610FA"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310EF5F4"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TOP Plusz 3.3.2 </w:t>
            </w:r>
            <w:proofErr w:type="spellStart"/>
            <w:r>
              <w:rPr>
                <w:rFonts w:ascii="Times New Roman CE" w:hAnsi="Times New Roman CE" w:cs="Times New Roman CE"/>
                <w:sz w:val="16"/>
                <w:szCs w:val="16"/>
              </w:rPr>
              <w:t>Szoc</w:t>
            </w:r>
            <w:proofErr w:type="spellEnd"/>
            <w:r>
              <w:rPr>
                <w:rFonts w:ascii="Times New Roman CE" w:hAnsi="Times New Roman CE" w:cs="Times New Roman CE"/>
                <w:sz w:val="16"/>
                <w:szCs w:val="16"/>
              </w:rPr>
              <w:t xml:space="preserve">. </w:t>
            </w:r>
            <w:proofErr w:type="spellStart"/>
            <w:r>
              <w:rPr>
                <w:rFonts w:ascii="Times New Roman CE" w:hAnsi="Times New Roman CE" w:cs="Times New Roman CE"/>
                <w:sz w:val="16"/>
                <w:szCs w:val="16"/>
              </w:rPr>
              <w:t>alapszolg.fejl</w:t>
            </w:r>
            <w:proofErr w:type="spellEnd"/>
            <w:r>
              <w:rPr>
                <w:rFonts w:ascii="Times New Roman CE" w:hAnsi="Times New Roman CE" w:cs="Times New Roman CE"/>
                <w:sz w:val="16"/>
                <w:szCs w:val="16"/>
              </w:rPr>
              <w:t xml:space="preserve"> </w:t>
            </w:r>
            <w:proofErr w:type="spellStart"/>
            <w:r>
              <w:rPr>
                <w:rFonts w:ascii="Times New Roman CE" w:hAnsi="Times New Roman CE" w:cs="Times New Roman CE"/>
                <w:sz w:val="16"/>
                <w:szCs w:val="16"/>
              </w:rPr>
              <w:t>II.ütem</w:t>
            </w:r>
            <w:proofErr w:type="spellEnd"/>
          </w:p>
        </w:tc>
        <w:tc>
          <w:tcPr>
            <w:tcW w:w="1420" w:type="dxa"/>
            <w:tcBorders>
              <w:top w:val="nil"/>
              <w:left w:val="nil"/>
              <w:bottom w:val="single" w:sz="4" w:space="0" w:color="auto"/>
              <w:right w:val="single" w:sz="4" w:space="0" w:color="auto"/>
            </w:tcBorders>
            <w:vAlign w:val="center"/>
            <w:hideMark/>
          </w:tcPr>
          <w:p w14:paraId="25FE66FC"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217 350 000</w:t>
            </w:r>
          </w:p>
        </w:tc>
        <w:tc>
          <w:tcPr>
            <w:tcW w:w="1480" w:type="dxa"/>
            <w:tcBorders>
              <w:top w:val="nil"/>
              <w:left w:val="nil"/>
              <w:bottom w:val="single" w:sz="4" w:space="0" w:color="auto"/>
              <w:right w:val="single" w:sz="4" w:space="0" w:color="auto"/>
            </w:tcBorders>
            <w:vAlign w:val="center"/>
            <w:hideMark/>
          </w:tcPr>
          <w:p w14:paraId="2BC1A71E"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2024-2026</w:t>
            </w:r>
          </w:p>
        </w:tc>
        <w:tc>
          <w:tcPr>
            <w:tcW w:w="1620" w:type="dxa"/>
            <w:tcBorders>
              <w:top w:val="nil"/>
              <w:left w:val="nil"/>
              <w:bottom w:val="single" w:sz="4" w:space="0" w:color="auto"/>
              <w:right w:val="single" w:sz="4" w:space="0" w:color="auto"/>
            </w:tcBorders>
            <w:vAlign w:val="center"/>
            <w:hideMark/>
          </w:tcPr>
          <w:p w14:paraId="3F34EE02"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1 350 000</w:t>
            </w:r>
          </w:p>
        </w:tc>
        <w:tc>
          <w:tcPr>
            <w:tcW w:w="1500" w:type="dxa"/>
            <w:tcBorders>
              <w:top w:val="nil"/>
              <w:left w:val="nil"/>
              <w:bottom w:val="single" w:sz="4" w:space="0" w:color="auto"/>
              <w:right w:val="single" w:sz="4" w:space="0" w:color="auto"/>
            </w:tcBorders>
            <w:vAlign w:val="center"/>
            <w:hideMark/>
          </w:tcPr>
          <w:p w14:paraId="6C9BA0D6"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216 000 000</w:t>
            </w:r>
          </w:p>
        </w:tc>
      </w:tr>
      <w:tr w:rsidR="003B5628" w14:paraId="486887D3" w14:textId="77777777" w:rsidTr="003B5628">
        <w:trPr>
          <w:trHeight w:val="450"/>
        </w:trPr>
        <w:tc>
          <w:tcPr>
            <w:tcW w:w="3392" w:type="dxa"/>
            <w:tcBorders>
              <w:top w:val="nil"/>
              <w:left w:val="single" w:sz="8" w:space="0" w:color="auto"/>
              <w:bottom w:val="single" w:sz="4" w:space="0" w:color="auto"/>
              <w:right w:val="single" w:sz="4" w:space="0" w:color="auto"/>
            </w:tcBorders>
            <w:vAlign w:val="center"/>
            <w:hideMark/>
          </w:tcPr>
          <w:p w14:paraId="31761B91"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TOP Plusz 1.1.1. Kanizsai Dorottya Általános és Zeneiskola </w:t>
            </w:r>
            <w:proofErr w:type="gramStart"/>
            <w:r>
              <w:rPr>
                <w:rFonts w:ascii="Times New Roman CE" w:hAnsi="Times New Roman CE" w:cs="Times New Roman CE"/>
                <w:sz w:val="16"/>
                <w:szCs w:val="16"/>
              </w:rPr>
              <w:t>Konyha korszerűsítés</w:t>
            </w:r>
            <w:proofErr w:type="gramEnd"/>
            <w:r>
              <w:rPr>
                <w:rFonts w:ascii="Times New Roman CE" w:hAnsi="Times New Roman CE" w:cs="Times New Roman CE"/>
                <w:sz w:val="16"/>
                <w:szCs w:val="16"/>
              </w:rPr>
              <w:t>, bővítés</w:t>
            </w:r>
          </w:p>
        </w:tc>
        <w:tc>
          <w:tcPr>
            <w:tcW w:w="1420" w:type="dxa"/>
            <w:tcBorders>
              <w:top w:val="nil"/>
              <w:left w:val="nil"/>
              <w:bottom w:val="single" w:sz="4" w:space="0" w:color="auto"/>
              <w:right w:val="single" w:sz="4" w:space="0" w:color="auto"/>
            </w:tcBorders>
            <w:vAlign w:val="center"/>
            <w:hideMark/>
          </w:tcPr>
          <w:p w14:paraId="1B0C4DDD"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247 400 000</w:t>
            </w:r>
          </w:p>
        </w:tc>
        <w:tc>
          <w:tcPr>
            <w:tcW w:w="1480" w:type="dxa"/>
            <w:tcBorders>
              <w:top w:val="nil"/>
              <w:left w:val="nil"/>
              <w:bottom w:val="single" w:sz="4" w:space="0" w:color="auto"/>
              <w:right w:val="single" w:sz="4" w:space="0" w:color="auto"/>
            </w:tcBorders>
            <w:vAlign w:val="center"/>
            <w:hideMark/>
          </w:tcPr>
          <w:p w14:paraId="4213D600"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2024-2026</w:t>
            </w:r>
          </w:p>
        </w:tc>
        <w:tc>
          <w:tcPr>
            <w:tcW w:w="1620" w:type="dxa"/>
            <w:tcBorders>
              <w:top w:val="nil"/>
              <w:left w:val="nil"/>
              <w:bottom w:val="single" w:sz="4" w:space="0" w:color="auto"/>
              <w:right w:val="single" w:sz="4" w:space="0" w:color="auto"/>
            </w:tcBorders>
            <w:vAlign w:val="center"/>
            <w:hideMark/>
          </w:tcPr>
          <w:p w14:paraId="0E05991E"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7 110 408</w:t>
            </w:r>
          </w:p>
        </w:tc>
        <w:tc>
          <w:tcPr>
            <w:tcW w:w="1500" w:type="dxa"/>
            <w:tcBorders>
              <w:top w:val="nil"/>
              <w:left w:val="nil"/>
              <w:bottom w:val="single" w:sz="4" w:space="0" w:color="auto"/>
              <w:right w:val="single" w:sz="4" w:space="0" w:color="auto"/>
            </w:tcBorders>
            <w:vAlign w:val="center"/>
            <w:hideMark/>
          </w:tcPr>
          <w:p w14:paraId="07CFC295"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240 289 592</w:t>
            </w:r>
          </w:p>
        </w:tc>
      </w:tr>
      <w:tr w:rsidR="003B5628" w14:paraId="6896ED46" w14:textId="77777777" w:rsidTr="003B5628">
        <w:trPr>
          <w:trHeight w:val="319"/>
        </w:trPr>
        <w:tc>
          <w:tcPr>
            <w:tcW w:w="3392" w:type="dxa"/>
            <w:tcBorders>
              <w:top w:val="nil"/>
              <w:left w:val="single" w:sz="8" w:space="0" w:color="auto"/>
              <w:bottom w:val="nil"/>
              <w:right w:val="single" w:sz="4" w:space="0" w:color="auto"/>
            </w:tcBorders>
            <w:vAlign w:val="center"/>
            <w:hideMark/>
          </w:tcPr>
          <w:p w14:paraId="6D2F7E3E"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Egyéb gép, berendezés </w:t>
            </w:r>
          </w:p>
        </w:tc>
        <w:tc>
          <w:tcPr>
            <w:tcW w:w="1420" w:type="dxa"/>
            <w:tcBorders>
              <w:top w:val="nil"/>
              <w:left w:val="nil"/>
              <w:bottom w:val="single" w:sz="4" w:space="0" w:color="auto"/>
              <w:right w:val="single" w:sz="4" w:space="0" w:color="auto"/>
            </w:tcBorders>
            <w:vAlign w:val="center"/>
            <w:hideMark/>
          </w:tcPr>
          <w:p w14:paraId="520B137F"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900 000</w:t>
            </w:r>
          </w:p>
        </w:tc>
        <w:tc>
          <w:tcPr>
            <w:tcW w:w="1480" w:type="dxa"/>
            <w:tcBorders>
              <w:top w:val="nil"/>
              <w:left w:val="nil"/>
              <w:bottom w:val="single" w:sz="4" w:space="0" w:color="auto"/>
              <w:right w:val="single" w:sz="4" w:space="0" w:color="auto"/>
            </w:tcBorders>
            <w:vAlign w:val="center"/>
            <w:hideMark/>
          </w:tcPr>
          <w:p w14:paraId="0DF7DC76"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78D14EDD"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10CB76BD"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900 000</w:t>
            </w:r>
          </w:p>
        </w:tc>
      </w:tr>
      <w:tr w:rsidR="003B5628" w14:paraId="7613B2C7" w14:textId="77777777" w:rsidTr="003B5628">
        <w:trPr>
          <w:trHeight w:val="319"/>
        </w:trPr>
        <w:tc>
          <w:tcPr>
            <w:tcW w:w="3392" w:type="dxa"/>
            <w:tcBorders>
              <w:top w:val="single" w:sz="4" w:space="0" w:color="auto"/>
              <w:left w:val="single" w:sz="8" w:space="0" w:color="auto"/>
              <w:bottom w:val="single" w:sz="4" w:space="0" w:color="auto"/>
              <w:right w:val="single" w:sz="4" w:space="0" w:color="auto"/>
            </w:tcBorders>
            <w:vAlign w:val="center"/>
            <w:hideMark/>
          </w:tcPr>
          <w:p w14:paraId="0119949D"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Közvilágítási lámpák cseréje VI. ütem </w:t>
            </w:r>
          </w:p>
        </w:tc>
        <w:tc>
          <w:tcPr>
            <w:tcW w:w="1420" w:type="dxa"/>
            <w:tcBorders>
              <w:top w:val="nil"/>
              <w:left w:val="nil"/>
              <w:bottom w:val="single" w:sz="4" w:space="0" w:color="auto"/>
              <w:right w:val="single" w:sz="4" w:space="0" w:color="auto"/>
            </w:tcBorders>
            <w:vAlign w:val="center"/>
            <w:hideMark/>
          </w:tcPr>
          <w:p w14:paraId="4D66FA04"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6 000 000</w:t>
            </w:r>
          </w:p>
        </w:tc>
        <w:tc>
          <w:tcPr>
            <w:tcW w:w="1480" w:type="dxa"/>
            <w:tcBorders>
              <w:top w:val="nil"/>
              <w:left w:val="nil"/>
              <w:bottom w:val="single" w:sz="4" w:space="0" w:color="auto"/>
              <w:right w:val="single" w:sz="4" w:space="0" w:color="auto"/>
            </w:tcBorders>
            <w:vAlign w:val="center"/>
            <w:hideMark/>
          </w:tcPr>
          <w:p w14:paraId="02924107"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3FD552C1"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75D48C35"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6 000 000</w:t>
            </w:r>
          </w:p>
        </w:tc>
      </w:tr>
      <w:tr w:rsidR="003B5628" w14:paraId="6DF25C29"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6CBE814A"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Közvilágítási lámpák cseréje áthúzódó</w:t>
            </w:r>
          </w:p>
        </w:tc>
        <w:tc>
          <w:tcPr>
            <w:tcW w:w="1420" w:type="dxa"/>
            <w:tcBorders>
              <w:top w:val="nil"/>
              <w:left w:val="nil"/>
              <w:bottom w:val="single" w:sz="4" w:space="0" w:color="auto"/>
              <w:right w:val="single" w:sz="4" w:space="0" w:color="auto"/>
            </w:tcBorders>
            <w:vAlign w:val="center"/>
            <w:hideMark/>
          </w:tcPr>
          <w:p w14:paraId="6372DD9B"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2 000 000</w:t>
            </w:r>
          </w:p>
        </w:tc>
        <w:tc>
          <w:tcPr>
            <w:tcW w:w="1480" w:type="dxa"/>
            <w:tcBorders>
              <w:top w:val="nil"/>
              <w:left w:val="nil"/>
              <w:bottom w:val="single" w:sz="4" w:space="0" w:color="auto"/>
              <w:right w:val="single" w:sz="4" w:space="0" w:color="auto"/>
            </w:tcBorders>
            <w:vAlign w:val="center"/>
            <w:hideMark/>
          </w:tcPr>
          <w:p w14:paraId="48AC6889"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2025-2026</w:t>
            </w:r>
          </w:p>
        </w:tc>
        <w:tc>
          <w:tcPr>
            <w:tcW w:w="1620" w:type="dxa"/>
            <w:tcBorders>
              <w:top w:val="nil"/>
              <w:left w:val="nil"/>
              <w:bottom w:val="single" w:sz="4" w:space="0" w:color="auto"/>
              <w:right w:val="single" w:sz="4" w:space="0" w:color="auto"/>
            </w:tcBorders>
            <w:vAlign w:val="center"/>
            <w:hideMark/>
          </w:tcPr>
          <w:p w14:paraId="193338D2"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5D179D17"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2 000 000</w:t>
            </w:r>
          </w:p>
        </w:tc>
      </w:tr>
      <w:tr w:rsidR="003B5628" w14:paraId="25DA9FDD"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05C684D0"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VJP Zebra</w:t>
            </w:r>
          </w:p>
        </w:tc>
        <w:tc>
          <w:tcPr>
            <w:tcW w:w="1420" w:type="dxa"/>
            <w:tcBorders>
              <w:top w:val="nil"/>
              <w:left w:val="nil"/>
              <w:bottom w:val="single" w:sz="4" w:space="0" w:color="auto"/>
              <w:right w:val="single" w:sz="4" w:space="0" w:color="auto"/>
            </w:tcBorders>
            <w:vAlign w:val="center"/>
            <w:hideMark/>
          </w:tcPr>
          <w:p w14:paraId="2BE1D30A"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27 787 660</w:t>
            </w:r>
          </w:p>
        </w:tc>
        <w:tc>
          <w:tcPr>
            <w:tcW w:w="1480" w:type="dxa"/>
            <w:tcBorders>
              <w:top w:val="nil"/>
              <w:left w:val="nil"/>
              <w:bottom w:val="single" w:sz="4" w:space="0" w:color="auto"/>
              <w:right w:val="single" w:sz="4" w:space="0" w:color="auto"/>
            </w:tcBorders>
            <w:vAlign w:val="center"/>
            <w:hideMark/>
          </w:tcPr>
          <w:p w14:paraId="1169F84F"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2025-2026</w:t>
            </w:r>
          </w:p>
        </w:tc>
        <w:tc>
          <w:tcPr>
            <w:tcW w:w="1620" w:type="dxa"/>
            <w:tcBorders>
              <w:top w:val="nil"/>
              <w:left w:val="nil"/>
              <w:bottom w:val="single" w:sz="4" w:space="0" w:color="auto"/>
              <w:right w:val="single" w:sz="4" w:space="0" w:color="auto"/>
            </w:tcBorders>
            <w:vAlign w:val="center"/>
            <w:hideMark/>
          </w:tcPr>
          <w:p w14:paraId="2967A1BA"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07B42ACD"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27 787 660</w:t>
            </w:r>
          </w:p>
        </w:tc>
      </w:tr>
      <w:tr w:rsidR="003B5628" w14:paraId="2B8557F1"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4F33AD43" w14:textId="3AA0A598"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V</w:t>
            </w:r>
            <w:r w:rsidR="007F23FC">
              <w:rPr>
                <w:rFonts w:ascii="Times New Roman CE" w:hAnsi="Times New Roman CE" w:cs="Times New Roman CE"/>
                <w:sz w:val="16"/>
                <w:szCs w:val="16"/>
              </w:rPr>
              <w:t>J</w:t>
            </w:r>
            <w:r>
              <w:rPr>
                <w:rFonts w:ascii="Times New Roman CE" w:hAnsi="Times New Roman CE" w:cs="Times New Roman CE"/>
                <w:sz w:val="16"/>
                <w:szCs w:val="16"/>
              </w:rPr>
              <w:t>P szúnyog</w:t>
            </w:r>
          </w:p>
        </w:tc>
        <w:tc>
          <w:tcPr>
            <w:tcW w:w="1420" w:type="dxa"/>
            <w:tcBorders>
              <w:top w:val="nil"/>
              <w:left w:val="nil"/>
              <w:bottom w:val="single" w:sz="4" w:space="0" w:color="auto"/>
              <w:right w:val="single" w:sz="4" w:space="0" w:color="auto"/>
            </w:tcBorders>
            <w:vAlign w:val="center"/>
            <w:hideMark/>
          </w:tcPr>
          <w:p w14:paraId="0C8AC43A"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5 061 773</w:t>
            </w:r>
          </w:p>
        </w:tc>
        <w:tc>
          <w:tcPr>
            <w:tcW w:w="1480" w:type="dxa"/>
            <w:tcBorders>
              <w:top w:val="nil"/>
              <w:left w:val="nil"/>
              <w:bottom w:val="single" w:sz="4" w:space="0" w:color="auto"/>
              <w:right w:val="single" w:sz="4" w:space="0" w:color="auto"/>
            </w:tcBorders>
            <w:vAlign w:val="center"/>
            <w:hideMark/>
          </w:tcPr>
          <w:p w14:paraId="4296933A"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2025-2026</w:t>
            </w:r>
          </w:p>
        </w:tc>
        <w:tc>
          <w:tcPr>
            <w:tcW w:w="1620" w:type="dxa"/>
            <w:tcBorders>
              <w:top w:val="nil"/>
              <w:left w:val="nil"/>
              <w:bottom w:val="single" w:sz="4" w:space="0" w:color="auto"/>
              <w:right w:val="single" w:sz="4" w:space="0" w:color="auto"/>
            </w:tcBorders>
            <w:vAlign w:val="center"/>
            <w:hideMark/>
          </w:tcPr>
          <w:p w14:paraId="259AEDB7"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439E508F"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5 061 773</w:t>
            </w:r>
          </w:p>
        </w:tc>
      </w:tr>
      <w:tr w:rsidR="003B5628" w14:paraId="4D483B48"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358B71CC"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VJP tűzoltólaktanya</w:t>
            </w:r>
          </w:p>
        </w:tc>
        <w:tc>
          <w:tcPr>
            <w:tcW w:w="1420" w:type="dxa"/>
            <w:tcBorders>
              <w:top w:val="nil"/>
              <w:left w:val="nil"/>
              <w:bottom w:val="single" w:sz="4" w:space="0" w:color="auto"/>
              <w:right w:val="single" w:sz="4" w:space="0" w:color="auto"/>
            </w:tcBorders>
            <w:vAlign w:val="center"/>
            <w:hideMark/>
          </w:tcPr>
          <w:p w14:paraId="41997042"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5 388 825</w:t>
            </w:r>
          </w:p>
        </w:tc>
        <w:tc>
          <w:tcPr>
            <w:tcW w:w="1480" w:type="dxa"/>
            <w:tcBorders>
              <w:top w:val="nil"/>
              <w:left w:val="nil"/>
              <w:bottom w:val="single" w:sz="4" w:space="0" w:color="auto"/>
              <w:right w:val="single" w:sz="4" w:space="0" w:color="auto"/>
            </w:tcBorders>
            <w:vAlign w:val="center"/>
            <w:hideMark/>
          </w:tcPr>
          <w:p w14:paraId="367462F4"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2025-2026</w:t>
            </w:r>
          </w:p>
        </w:tc>
        <w:tc>
          <w:tcPr>
            <w:tcW w:w="1620" w:type="dxa"/>
            <w:tcBorders>
              <w:top w:val="nil"/>
              <w:left w:val="nil"/>
              <w:bottom w:val="single" w:sz="4" w:space="0" w:color="auto"/>
              <w:right w:val="single" w:sz="4" w:space="0" w:color="auto"/>
            </w:tcBorders>
            <w:vAlign w:val="center"/>
            <w:hideMark/>
          </w:tcPr>
          <w:p w14:paraId="2A04EF5A"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1A5F18D4"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5 388 825</w:t>
            </w:r>
          </w:p>
        </w:tc>
      </w:tr>
      <w:tr w:rsidR="003B5628" w14:paraId="346B1AAA"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671710D2"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Árokmaró beszerzése</w:t>
            </w:r>
          </w:p>
        </w:tc>
        <w:tc>
          <w:tcPr>
            <w:tcW w:w="1420" w:type="dxa"/>
            <w:tcBorders>
              <w:top w:val="nil"/>
              <w:left w:val="nil"/>
              <w:bottom w:val="single" w:sz="4" w:space="0" w:color="auto"/>
              <w:right w:val="single" w:sz="4" w:space="0" w:color="auto"/>
            </w:tcBorders>
            <w:vAlign w:val="center"/>
            <w:hideMark/>
          </w:tcPr>
          <w:p w14:paraId="7AED360E"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3 200 000</w:t>
            </w:r>
          </w:p>
        </w:tc>
        <w:tc>
          <w:tcPr>
            <w:tcW w:w="1480" w:type="dxa"/>
            <w:tcBorders>
              <w:top w:val="nil"/>
              <w:left w:val="nil"/>
              <w:bottom w:val="single" w:sz="4" w:space="0" w:color="auto"/>
              <w:right w:val="single" w:sz="4" w:space="0" w:color="auto"/>
            </w:tcBorders>
            <w:vAlign w:val="center"/>
            <w:hideMark/>
          </w:tcPr>
          <w:p w14:paraId="793FBB42"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1CFFBCB4"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19F70442"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3 200 000</w:t>
            </w:r>
          </w:p>
        </w:tc>
      </w:tr>
      <w:tr w:rsidR="003B5628" w14:paraId="405385AC"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0BEAB890"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xml:space="preserve">Váró és </w:t>
            </w:r>
            <w:proofErr w:type="spellStart"/>
            <w:r>
              <w:rPr>
                <w:rFonts w:ascii="Times New Roman CE" w:hAnsi="Times New Roman CE" w:cs="Times New Roman CE"/>
                <w:sz w:val="16"/>
                <w:szCs w:val="16"/>
              </w:rPr>
              <w:t>wc</w:t>
            </w:r>
            <w:proofErr w:type="spellEnd"/>
            <w:r>
              <w:rPr>
                <w:rFonts w:ascii="Times New Roman CE" w:hAnsi="Times New Roman CE" w:cs="Times New Roman CE"/>
                <w:sz w:val="16"/>
                <w:szCs w:val="16"/>
              </w:rPr>
              <w:t xml:space="preserve"> kialakítása a buszmegállóban </w:t>
            </w:r>
          </w:p>
        </w:tc>
        <w:tc>
          <w:tcPr>
            <w:tcW w:w="1420" w:type="dxa"/>
            <w:tcBorders>
              <w:top w:val="nil"/>
              <w:left w:val="nil"/>
              <w:bottom w:val="single" w:sz="4" w:space="0" w:color="auto"/>
              <w:right w:val="single" w:sz="4" w:space="0" w:color="auto"/>
            </w:tcBorders>
            <w:vAlign w:val="center"/>
            <w:hideMark/>
          </w:tcPr>
          <w:p w14:paraId="46B726C2"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9 000 000</w:t>
            </w:r>
          </w:p>
        </w:tc>
        <w:tc>
          <w:tcPr>
            <w:tcW w:w="1480" w:type="dxa"/>
            <w:tcBorders>
              <w:top w:val="nil"/>
              <w:left w:val="nil"/>
              <w:bottom w:val="single" w:sz="4" w:space="0" w:color="auto"/>
              <w:right w:val="single" w:sz="4" w:space="0" w:color="auto"/>
            </w:tcBorders>
            <w:vAlign w:val="center"/>
            <w:hideMark/>
          </w:tcPr>
          <w:p w14:paraId="7B56AE06"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475F1C4F"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26CDCD8E"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9 000 000</w:t>
            </w:r>
          </w:p>
        </w:tc>
      </w:tr>
      <w:tr w:rsidR="003B5628" w14:paraId="4AA2C21B"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5F3BDD17" w14:textId="77777777" w:rsidR="003B5628" w:rsidRDefault="003B5628">
            <w:pPr>
              <w:rPr>
                <w:rFonts w:ascii="Times New Roman CE" w:hAnsi="Times New Roman CE" w:cs="Times New Roman CE"/>
                <w:sz w:val="16"/>
                <w:szCs w:val="16"/>
              </w:rPr>
            </w:pPr>
            <w:proofErr w:type="spellStart"/>
            <w:r>
              <w:rPr>
                <w:rFonts w:ascii="Times New Roman CE" w:hAnsi="Times New Roman CE" w:cs="Times New Roman CE"/>
                <w:sz w:val="16"/>
                <w:szCs w:val="16"/>
              </w:rPr>
              <w:t>Köh</w:t>
            </w:r>
            <w:proofErr w:type="spellEnd"/>
            <w:r>
              <w:rPr>
                <w:rFonts w:ascii="Times New Roman CE" w:hAnsi="Times New Roman CE" w:cs="Times New Roman CE"/>
                <w:sz w:val="16"/>
                <w:szCs w:val="16"/>
              </w:rPr>
              <w:t xml:space="preserve"> egyéb gép, berendezés</w:t>
            </w:r>
          </w:p>
        </w:tc>
        <w:tc>
          <w:tcPr>
            <w:tcW w:w="1420" w:type="dxa"/>
            <w:tcBorders>
              <w:top w:val="nil"/>
              <w:left w:val="nil"/>
              <w:bottom w:val="single" w:sz="4" w:space="0" w:color="auto"/>
              <w:right w:val="single" w:sz="4" w:space="0" w:color="auto"/>
            </w:tcBorders>
            <w:vAlign w:val="center"/>
            <w:hideMark/>
          </w:tcPr>
          <w:p w14:paraId="169DB1BF"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1 000 000</w:t>
            </w:r>
          </w:p>
        </w:tc>
        <w:tc>
          <w:tcPr>
            <w:tcW w:w="1480" w:type="dxa"/>
            <w:tcBorders>
              <w:top w:val="nil"/>
              <w:left w:val="nil"/>
              <w:bottom w:val="single" w:sz="4" w:space="0" w:color="auto"/>
              <w:right w:val="single" w:sz="4" w:space="0" w:color="auto"/>
            </w:tcBorders>
            <w:vAlign w:val="center"/>
            <w:hideMark/>
          </w:tcPr>
          <w:p w14:paraId="3AB89F90"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57CE3379"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1C9992D5"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1 000 000</w:t>
            </w:r>
          </w:p>
        </w:tc>
      </w:tr>
      <w:tr w:rsidR="003B5628" w14:paraId="5145D393" w14:textId="77777777" w:rsidTr="003B5628">
        <w:trPr>
          <w:trHeight w:val="319"/>
        </w:trPr>
        <w:tc>
          <w:tcPr>
            <w:tcW w:w="3392" w:type="dxa"/>
            <w:tcBorders>
              <w:top w:val="nil"/>
              <w:left w:val="single" w:sz="8" w:space="0" w:color="auto"/>
              <w:bottom w:val="single" w:sz="4" w:space="0" w:color="auto"/>
              <w:right w:val="single" w:sz="4" w:space="0" w:color="auto"/>
            </w:tcBorders>
            <w:vAlign w:val="center"/>
            <w:hideMark/>
          </w:tcPr>
          <w:p w14:paraId="60FD5FA5"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Könyvtár könyv beszerzés</w:t>
            </w:r>
          </w:p>
        </w:tc>
        <w:tc>
          <w:tcPr>
            <w:tcW w:w="1420" w:type="dxa"/>
            <w:tcBorders>
              <w:top w:val="nil"/>
              <w:left w:val="nil"/>
              <w:bottom w:val="single" w:sz="4" w:space="0" w:color="auto"/>
              <w:right w:val="single" w:sz="4" w:space="0" w:color="auto"/>
            </w:tcBorders>
            <w:vAlign w:val="center"/>
            <w:hideMark/>
          </w:tcPr>
          <w:p w14:paraId="734B34F9"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1 500 000</w:t>
            </w:r>
          </w:p>
        </w:tc>
        <w:tc>
          <w:tcPr>
            <w:tcW w:w="1480" w:type="dxa"/>
            <w:tcBorders>
              <w:top w:val="nil"/>
              <w:left w:val="nil"/>
              <w:bottom w:val="single" w:sz="4" w:space="0" w:color="auto"/>
              <w:right w:val="single" w:sz="4" w:space="0" w:color="auto"/>
            </w:tcBorders>
            <w:vAlign w:val="center"/>
            <w:hideMark/>
          </w:tcPr>
          <w:p w14:paraId="273C3436" w14:textId="77777777" w:rsidR="003B5628" w:rsidRDefault="003B5628">
            <w:pPr>
              <w:jc w:val="center"/>
              <w:rPr>
                <w:rFonts w:ascii="Times New Roman CE" w:hAnsi="Times New Roman CE" w:cs="Times New Roman CE"/>
                <w:sz w:val="16"/>
                <w:szCs w:val="16"/>
              </w:rPr>
            </w:pPr>
            <w:r>
              <w:rPr>
                <w:rFonts w:ascii="Times New Roman CE" w:hAnsi="Times New Roman CE" w:cs="Times New Roman CE"/>
                <w:sz w:val="16"/>
                <w:szCs w:val="16"/>
              </w:rPr>
              <w:t>2026</w:t>
            </w:r>
          </w:p>
        </w:tc>
        <w:tc>
          <w:tcPr>
            <w:tcW w:w="1620" w:type="dxa"/>
            <w:tcBorders>
              <w:top w:val="nil"/>
              <w:left w:val="nil"/>
              <w:bottom w:val="single" w:sz="4" w:space="0" w:color="auto"/>
              <w:right w:val="single" w:sz="4" w:space="0" w:color="auto"/>
            </w:tcBorders>
            <w:vAlign w:val="center"/>
            <w:hideMark/>
          </w:tcPr>
          <w:p w14:paraId="4BABC9EB" w14:textId="77777777" w:rsidR="003B5628" w:rsidRDefault="003B5628">
            <w:pPr>
              <w:rPr>
                <w:rFonts w:ascii="Times New Roman CE" w:hAnsi="Times New Roman CE" w:cs="Times New Roman CE"/>
                <w:sz w:val="16"/>
                <w:szCs w:val="16"/>
              </w:rPr>
            </w:pPr>
            <w:r>
              <w:rPr>
                <w:rFonts w:ascii="Times New Roman CE" w:hAnsi="Times New Roman CE" w:cs="Times New Roman CE"/>
                <w:sz w:val="16"/>
                <w:szCs w:val="16"/>
              </w:rPr>
              <w:t> </w:t>
            </w:r>
          </w:p>
        </w:tc>
        <w:tc>
          <w:tcPr>
            <w:tcW w:w="1500" w:type="dxa"/>
            <w:tcBorders>
              <w:top w:val="nil"/>
              <w:left w:val="nil"/>
              <w:bottom w:val="single" w:sz="4" w:space="0" w:color="auto"/>
              <w:right w:val="single" w:sz="4" w:space="0" w:color="auto"/>
            </w:tcBorders>
            <w:vAlign w:val="center"/>
            <w:hideMark/>
          </w:tcPr>
          <w:p w14:paraId="186E0F18" w14:textId="77777777" w:rsidR="003B5628" w:rsidRDefault="003B5628">
            <w:pPr>
              <w:jc w:val="right"/>
              <w:rPr>
                <w:rFonts w:ascii="Times New Roman CE" w:hAnsi="Times New Roman CE" w:cs="Times New Roman CE"/>
                <w:sz w:val="16"/>
                <w:szCs w:val="16"/>
              </w:rPr>
            </w:pPr>
            <w:r>
              <w:rPr>
                <w:rFonts w:ascii="Times New Roman CE" w:hAnsi="Times New Roman CE" w:cs="Times New Roman CE"/>
                <w:sz w:val="16"/>
                <w:szCs w:val="16"/>
              </w:rPr>
              <w:t>1 500 000</w:t>
            </w:r>
          </w:p>
        </w:tc>
      </w:tr>
      <w:tr w:rsidR="003B5628" w14:paraId="63D17332" w14:textId="77777777" w:rsidTr="003B5628">
        <w:trPr>
          <w:trHeight w:val="360"/>
        </w:trPr>
        <w:tc>
          <w:tcPr>
            <w:tcW w:w="3392" w:type="dxa"/>
            <w:tcBorders>
              <w:top w:val="single" w:sz="8" w:space="0" w:color="auto"/>
              <w:left w:val="single" w:sz="8" w:space="0" w:color="auto"/>
              <w:bottom w:val="single" w:sz="8" w:space="0" w:color="auto"/>
              <w:right w:val="single" w:sz="4" w:space="0" w:color="auto"/>
            </w:tcBorders>
            <w:vAlign w:val="center"/>
            <w:hideMark/>
          </w:tcPr>
          <w:p w14:paraId="703E2D29" w14:textId="77777777" w:rsidR="003B5628" w:rsidRDefault="003B5628">
            <w:pPr>
              <w:rPr>
                <w:rFonts w:ascii="Times New Roman CE" w:hAnsi="Times New Roman CE" w:cs="Times New Roman CE"/>
                <w:b/>
                <w:bCs/>
                <w:sz w:val="18"/>
                <w:szCs w:val="18"/>
              </w:rPr>
            </w:pPr>
            <w:r>
              <w:rPr>
                <w:rFonts w:ascii="Times New Roman CE" w:hAnsi="Times New Roman CE" w:cs="Times New Roman CE"/>
                <w:b/>
                <w:bCs/>
                <w:sz w:val="18"/>
                <w:szCs w:val="18"/>
              </w:rPr>
              <w:t>ÖSSZESEN:</w:t>
            </w:r>
          </w:p>
        </w:tc>
        <w:tc>
          <w:tcPr>
            <w:tcW w:w="1420" w:type="dxa"/>
            <w:tcBorders>
              <w:top w:val="single" w:sz="8" w:space="0" w:color="auto"/>
              <w:left w:val="nil"/>
              <w:bottom w:val="single" w:sz="8" w:space="0" w:color="auto"/>
              <w:right w:val="single" w:sz="4" w:space="0" w:color="auto"/>
            </w:tcBorders>
            <w:vAlign w:val="center"/>
            <w:hideMark/>
          </w:tcPr>
          <w:p w14:paraId="1C577628" w14:textId="77777777" w:rsidR="003B5628" w:rsidRDefault="003B5628">
            <w:pPr>
              <w:jc w:val="right"/>
              <w:rPr>
                <w:rFonts w:ascii="Times New Roman CE" w:hAnsi="Times New Roman CE" w:cs="Times New Roman CE"/>
                <w:b/>
                <w:bCs/>
                <w:sz w:val="16"/>
                <w:szCs w:val="16"/>
              </w:rPr>
            </w:pPr>
            <w:r>
              <w:rPr>
                <w:rFonts w:ascii="Times New Roman CE" w:hAnsi="Times New Roman CE" w:cs="Times New Roman CE"/>
                <w:b/>
                <w:bCs/>
                <w:sz w:val="16"/>
                <w:szCs w:val="16"/>
              </w:rPr>
              <w:t>883 013 258</w:t>
            </w:r>
          </w:p>
        </w:tc>
        <w:tc>
          <w:tcPr>
            <w:tcW w:w="1480" w:type="dxa"/>
            <w:tcBorders>
              <w:top w:val="single" w:sz="8" w:space="0" w:color="auto"/>
              <w:left w:val="nil"/>
              <w:bottom w:val="single" w:sz="8" w:space="0" w:color="auto"/>
              <w:right w:val="single" w:sz="4" w:space="0" w:color="auto"/>
            </w:tcBorders>
            <w:shd w:val="thinHorzStripe" w:color="000000" w:fill="auto"/>
            <w:vAlign w:val="center"/>
            <w:hideMark/>
          </w:tcPr>
          <w:p w14:paraId="625CA489" w14:textId="77777777" w:rsidR="003B5628" w:rsidRDefault="003B5628">
            <w:pPr>
              <w:rPr>
                <w:rFonts w:ascii="Times New Roman CE" w:hAnsi="Times New Roman CE" w:cs="Times New Roman CE"/>
                <w:b/>
                <w:bCs/>
                <w:sz w:val="16"/>
                <w:szCs w:val="16"/>
              </w:rPr>
            </w:pPr>
            <w:r>
              <w:rPr>
                <w:rFonts w:ascii="Times New Roman CE" w:hAnsi="Times New Roman CE" w:cs="Times New Roman CE"/>
                <w:b/>
                <w:bCs/>
                <w:sz w:val="16"/>
                <w:szCs w:val="16"/>
              </w:rPr>
              <w:t> </w:t>
            </w:r>
          </w:p>
        </w:tc>
        <w:tc>
          <w:tcPr>
            <w:tcW w:w="1620" w:type="dxa"/>
            <w:tcBorders>
              <w:top w:val="single" w:sz="8" w:space="0" w:color="auto"/>
              <w:left w:val="nil"/>
              <w:bottom w:val="single" w:sz="8" w:space="0" w:color="auto"/>
              <w:right w:val="single" w:sz="4" w:space="0" w:color="auto"/>
            </w:tcBorders>
            <w:vAlign w:val="center"/>
            <w:hideMark/>
          </w:tcPr>
          <w:p w14:paraId="17210AF7" w14:textId="77777777" w:rsidR="003B5628" w:rsidRDefault="003B5628">
            <w:pPr>
              <w:jc w:val="right"/>
              <w:rPr>
                <w:rFonts w:ascii="Times New Roman CE" w:hAnsi="Times New Roman CE" w:cs="Times New Roman CE"/>
                <w:b/>
                <w:bCs/>
                <w:sz w:val="16"/>
                <w:szCs w:val="16"/>
              </w:rPr>
            </w:pPr>
            <w:r>
              <w:rPr>
                <w:rFonts w:ascii="Times New Roman CE" w:hAnsi="Times New Roman CE" w:cs="Times New Roman CE"/>
                <w:b/>
                <w:bCs/>
                <w:sz w:val="16"/>
                <w:szCs w:val="16"/>
              </w:rPr>
              <w:t>9 885 408</w:t>
            </w:r>
          </w:p>
        </w:tc>
        <w:tc>
          <w:tcPr>
            <w:tcW w:w="1500" w:type="dxa"/>
            <w:tcBorders>
              <w:top w:val="single" w:sz="8" w:space="0" w:color="auto"/>
              <w:left w:val="nil"/>
              <w:bottom w:val="single" w:sz="8" w:space="0" w:color="auto"/>
              <w:right w:val="single" w:sz="4" w:space="0" w:color="auto"/>
            </w:tcBorders>
            <w:vAlign w:val="center"/>
            <w:hideMark/>
          </w:tcPr>
          <w:p w14:paraId="69AE6E7C" w14:textId="77777777" w:rsidR="003B5628" w:rsidRDefault="003B5628">
            <w:pPr>
              <w:jc w:val="right"/>
              <w:rPr>
                <w:rFonts w:ascii="Times New Roman CE" w:hAnsi="Times New Roman CE" w:cs="Times New Roman CE"/>
                <w:b/>
                <w:bCs/>
                <w:sz w:val="16"/>
                <w:szCs w:val="16"/>
              </w:rPr>
            </w:pPr>
            <w:r>
              <w:rPr>
                <w:rFonts w:ascii="Times New Roman CE" w:hAnsi="Times New Roman CE" w:cs="Times New Roman CE"/>
                <w:b/>
                <w:bCs/>
                <w:sz w:val="16"/>
                <w:szCs w:val="16"/>
              </w:rPr>
              <w:t>873 127 850</w:t>
            </w:r>
          </w:p>
        </w:tc>
      </w:tr>
    </w:tbl>
    <w:p w14:paraId="26A0D8E1" w14:textId="77777777" w:rsidR="000A1A53" w:rsidRPr="00A82F71" w:rsidRDefault="000A1A53" w:rsidP="006325C2">
      <w:pPr>
        <w:spacing w:before="120"/>
        <w:jc w:val="both"/>
        <w:rPr>
          <w:rFonts w:ascii="Arial" w:hAnsi="Arial" w:cs="Arial"/>
          <w:sz w:val="20"/>
          <w:szCs w:val="20"/>
          <w:highlight w:val="yellow"/>
        </w:rPr>
      </w:pPr>
    </w:p>
    <w:p w14:paraId="4296A47C" w14:textId="5C66E104" w:rsidR="00155D67" w:rsidRPr="00A82F71" w:rsidRDefault="006325C2" w:rsidP="00BE43E5">
      <w:pPr>
        <w:spacing w:line="276" w:lineRule="auto"/>
        <w:jc w:val="both"/>
        <w:rPr>
          <w:rFonts w:ascii="Arial" w:hAnsi="Arial" w:cs="Arial"/>
          <w:sz w:val="22"/>
          <w:szCs w:val="22"/>
          <w:highlight w:val="yellow"/>
        </w:rPr>
      </w:pPr>
      <w:r w:rsidRPr="00632CBE">
        <w:rPr>
          <w:rFonts w:ascii="Arial" w:hAnsi="Arial" w:cs="Arial"/>
          <w:sz w:val="22"/>
          <w:szCs w:val="22"/>
        </w:rPr>
        <w:t xml:space="preserve">A </w:t>
      </w:r>
      <w:r w:rsidRPr="00B211E4">
        <w:rPr>
          <w:rFonts w:ascii="Arial" w:hAnsi="Arial" w:cs="Arial"/>
          <w:sz w:val="22"/>
          <w:szCs w:val="22"/>
          <w:u w:val="single"/>
        </w:rPr>
        <w:t>felújítási kiadások</w:t>
      </w:r>
      <w:r w:rsidRPr="00632CBE">
        <w:rPr>
          <w:rFonts w:ascii="Arial" w:hAnsi="Arial" w:cs="Arial"/>
          <w:sz w:val="22"/>
          <w:szCs w:val="22"/>
        </w:rPr>
        <w:t xml:space="preserve"> között</w:t>
      </w:r>
      <w:r w:rsidR="00161E33" w:rsidRPr="00632CBE">
        <w:rPr>
          <w:rFonts w:ascii="Arial" w:hAnsi="Arial" w:cs="Arial"/>
          <w:sz w:val="22"/>
          <w:szCs w:val="22"/>
        </w:rPr>
        <w:t xml:space="preserve"> </w:t>
      </w:r>
      <w:r w:rsidR="00632CBE" w:rsidRPr="00632CBE">
        <w:rPr>
          <w:rFonts w:ascii="Arial" w:hAnsi="Arial" w:cs="Arial"/>
          <w:sz w:val="22"/>
          <w:szCs w:val="22"/>
        </w:rPr>
        <w:t>B</w:t>
      </w:r>
      <w:r w:rsidR="00632CBE">
        <w:rPr>
          <w:rFonts w:ascii="Arial" w:hAnsi="Arial" w:cs="Arial"/>
          <w:sz w:val="22"/>
          <w:szCs w:val="22"/>
        </w:rPr>
        <w:t xml:space="preserve">átaszék Város Önkormányzata költségvetésében </w:t>
      </w:r>
      <w:r w:rsidR="00B211E4">
        <w:rPr>
          <w:rFonts w:ascii="Arial" w:hAnsi="Arial" w:cs="Arial"/>
          <w:sz w:val="22"/>
          <w:szCs w:val="22"/>
        </w:rPr>
        <w:t xml:space="preserve">az iskolai sportpálya felújítási program 43 329 911 Ft összege és Tűzoltó laktanya felújításának Versenyképes Járások Program terhére történő 3 922 128 Ft összege szerepel. </w:t>
      </w:r>
    </w:p>
    <w:p w14:paraId="6C5DB121" w14:textId="77777777" w:rsidR="00654560" w:rsidRDefault="00654560" w:rsidP="00BE43E5">
      <w:pPr>
        <w:spacing w:line="276" w:lineRule="auto"/>
        <w:jc w:val="both"/>
        <w:rPr>
          <w:rFonts w:ascii="Arial" w:hAnsi="Arial" w:cs="Arial"/>
          <w:sz w:val="22"/>
          <w:szCs w:val="22"/>
          <w:u w:val="single"/>
        </w:rPr>
      </w:pPr>
    </w:p>
    <w:p w14:paraId="24350992" w14:textId="59BF1B6A" w:rsidR="00B211E4" w:rsidRDefault="00174957" w:rsidP="00BE43E5">
      <w:pPr>
        <w:spacing w:line="276" w:lineRule="auto"/>
        <w:jc w:val="both"/>
        <w:rPr>
          <w:rFonts w:ascii="Arial" w:hAnsi="Arial" w:cs="Arial"/>
          <w:sz w:val="22"/>
          <w:szCs w:val="22"/>
        </w:rPr>
      </w:pPr>
      <w:r w:rsidRPr="00BE43E5">
        <w:rPr>
          <w:rFonts w:ascii="Arial" w:hAnsi="Arial" w:cs="Arial"/>
          <w:sz w:val="22"/>
          <w:szCs w:val="22"/>
          <w:u w:val="single"/>
        </w:rPr>
        <w:t>Egy</w:t>
      </w:r>
      <w:r w:rsidR="00DB69E5" w:rsidRPr="00BE43E5">
        <w:rPr>
          <w:rFonts w:ascii="Arial" w:hAnsi="Arial" w:cs="Arial"/>
          <w:sz w:val="22"/>
          <w:szCs w:val="22"/>
          <w:u w:val="single"/>
        </w:rPr>
        <w:t>éb felhalmozási célú kiadást</w:t>
      </w:r>
      <w:r w:rsidRPr="005A4630">
        <w:rPr>
          <w:rFonts w:ascii="Arial" w:hAnsi="Arial" w:cs="Arial"/>
          <w:b/>
          <w:sz w:val="22"/>
          <w:szCs w:val="22"/>
        </w:rPr>
        <w:t xml:space="preserve"> </w:t>
      </w:r>
      <w:r w:rsidR="00B211E4" w:rsidRPr="00BE43E5">
        <w:rPr>
          <w:rFonts w:ascii="Arial" w:hAnsi="Arial" w:cs="Arial"/>
          <w:sz w:val="22"/>
          <w:szCs w:val="22"/>
        </w:rPr>
        <w:t>3 436 000</w:t>
      </w:r>
      <w:r w:rsidR="00DD0448" w:rsidRPr="005A4630">
        <w:rPr>
          <w:rFonts w:ascii="Arial" w:hAnsi="Arial" w:cs="Arial"/>
          <w:sz w:val="22"/>
          <w:szCs w:val="22"/>
        </w:rPr>
        <w:t xml:space="preserve"> Ft összegben tervez</w:t>
      </w:r>
      <w:r w:rsidR="00226E39">
        <w:rPr>
          <w:rFonts w:ascii="Arial" w:hAnsi="Arial" w:cs="Arial"/>
          <w:sz w:val="22"/>
          <w:szCs w:val="22"/>
        </w:rPr>
        <w:t>ünk a Bátaszéki Önkormányzatnál, amely</w:t>
      </w:r>
      <w:r w:rsidR="00DD0448" w:rsidRPr="005A4630">
        <w:rPr>
          <w:rFonts w:ascii="Arial" w:hAnsi="Arial" w:cs="Arial"/>
          <w:sz w:val="22"/>
          <w:szCs w:val="22"/>
        </w:rPr>
        <w:t xml:space="preserve"> </w:t>
      </w:r>
      <w:r w:rsidR="00DB69E5" w:rsidRPr="005A4630">
        <w:rPr>
          <w:rFonts w:ascii="Arial" w:hAnsi="Arial" w:cs="Arial"/>
          <w:sz w:val="22"/>
          <w:szCs w:val="22"/>
        </w:rPr>
        <w:t xml:space="preserve">a </w:t>
      </w:r>
      <w:r w:rsidR="00A06B68" w:rsidRPr="005A4630">
        <w:rPr>
          <w:rFonts w:ascii="Arial" w:hAnsi="Arial" w:cs="Arial"/>
          <w:sz w:val="22"/>
          <w:szCs w:val="22"/>
        </w:rPr>
        <w:t xml:space="preserve">MOB </w:t>
      </w:r>
      <w:r w:rsidR="00B211E4">
        <w:rPr>
          <w:rFonts w:ascii="Arial" w:hAnsi="Arial" w:cs="Arial"/>
          <w:sz w:val="22"/>
          <w:szCs w:val="22"/>
        </w:rPr>
        <w:t xml:space="preserve">és az ESZGY </w:t>
      </w:r>
      <w:r w:rsidR="00A06B68" w:rsidRPr="005A4630">
        <w:rPr>
          <w:rFonts w:ascii="Arial" w:hAnsi="Arial" w:cs="Arial"/>
          <w:sz w:val="22"/>
          <w:szCs w:val="22"/>
        </w:rPr>
        <w:t>részére</w:t>
      </w:r>
      <w:r w:rsidR="00B211E4">
        <w:rPr>
          <w:rFonts w:ascii="Arial" w:hAnsi="Arial" w:cs="Arial"/>
          <w:sz w:val="22"/>
          <w:szCs w:val="22"/>
        </w:rPr>
        <w:t xml:space="preserve"> tárgyi eszköz beszerzésre átadásra kerülő pénzeszközöket tartalmazza. </w:t>
      </w:r>
    </w:p>
    <w:p w14:paraId="2FFB1A41" w14:textId="674ECED3" w:rsidR="00B211E4" w:rsidRDefault="00B211E4" w:rsidP="00BE43E5">
      <w:pPr>
        <w:spacing w:line="276" w:lineRule="auto"/>
        <w:jc w:val="both"/>
        <w:rPr>
          <w:rFonts w:ascii="Arial" w:hAnsi="Arial" w:cs="Arial"/>
          <w:sz w:val="22"/>
          <w:szCs w:val="22"/>
        </w:rPr>
      </w:pPr>
      <w:r>
        <w:rPr>
          <w:rFonts w:ascii="Arial" w:hAnsi="Arial" w:cs="Arial"/>
          <w:sz w:val="22"/>
          <w:szCs w:val="22"/>
        </w:rPr>
        <w:t xml:space="preserve">Az ESZGY esetén laptop, elektromos kerékpár és ipari mosogatógép beszerzésével terveztek 1 400 000 Ft összegben, a MOB esetén notebook, húsdaráló és óvodai udvari játék kerül beszerzésre 2 036 000 Ft összegben. </w:t>
      </w:r>
    </w:p>
    <w:p w14:paraId="02A04102" w14:textId="77777777" w:rsidR="00AA1D6A" w:rsidRDefault="00AA1D6A" w:rsidP="00BE43E5">
      <w:pPr>
        <w:spacing w:line="276" w:lineRule="auto"/>
        <w:jc w:val="both"/>
        <w:rPr>
          <w:rFonts w:ascii="Arial" w:hAnsi="Arial" w:cs="Arial"/>
          <w:b/>
          <w:sz w:val="22"/>
          <w:szCs w:val="22"/>
          <w:u w:val="single"/>
        </w:rPr>
      </w:pPr>
    </w:p>
    <w:p w14:paraId="14CA7BA4" w14:textId="6FFA68EE" w:rsidR="006325C2" w:rsidRDefault="00BE43E5" w:rsidP="00BE43E5">
      <w:pPr>
        <w:spacing w:line="276" w:lineRule="auto"/>
        <w:jc w:val="both"/>
        <w:rPr>
          <w:rFonts w:ascii="Arial" w:hAnsi="Arial" w:cs="Arial"/>
          <w:sz w:val="22"/>
          <w:szCs w:val="22"/>
        </w:rPr>
      </w:pPr>
      <w:proofErr w:type="gramStart"/>
      <w:r>
        <w:rPr>
          <w:rFonts w:ascii="Arial" w:hAnsi="Arial" w:cs="Arial"/>
          <w:b/>
          <w:sz w:val="22"/>
          <w:szCs w:val="22"/>
          <w:u w:val="single"/>
        </w:rPr>
        <w:t>Finanszírozási</w:t>
      </w:r>
      <w:proofErr w:type="gramEnd"/>
      <w:r>
        <w:rPr>
          <w:rFonts w:ascii="Arial" w:hAnsi="Arial" w:cs="Arial"/>
          <w:b/>
          <w:sz w:val="22"/>
          <w:szCs w:val="22"/>
          <w:u w:val="single"/>
        </w:rPr>
        <w:t xml:space="preserve"> kiadások</w:t>
      </w:r>
      <w:r w:rsidR="004631CD" w:rsidRPr="00FD4A53">
        <w:rPr>
          <w:rFonts w:ascii="Arial" w:hAnsi="Arial" w:cs="Arial"/>
          <w:sz w:val="22"/>
          <w:szCs w:val="22"/>
        </w:rPr>
        <w:t xml:space="preserve"> között </w:t>
      </w:r>
      <w:r w:rsidR="006325C2" w:rsidRPr="00FD4A53">
        <w:rPr>
          <w:rFonts w:ascii="Arial" w:hAnsi="Arial" w:cs="Arial"/>
          <w:sz w:val="22"/>
          <w:szCs w:val="22"/>
        </w:rPr>
        <w:t>a</w:t>
      </w:r>
      <w:r w:rsidR="00226E52">
        <w:rPr>
          <w:rFonts w:ascii="Arial" w:hAnsi="Arial" w:cs="Arial"/>
          <w:sz w:val="22"/>
          <w:szCs w:val="22"/>
        </w:rPr>
        <w:t xml:space="preserve"> konszolidált adatok a szerint </w:t>
      </w:r>
      <w:r w:rsidR="00B211E4">
        <w:rPr>
          <w:rFonts w:ascii="Arial" w:hAnsi="Arial" w:cs="Arial"/>
          <w:sz w:val="22"/>
          <w:szCs w:val="22"/>
        </w:rPr>
        <w:t>Kincstár</w:t>
      </w:r>
      <w:r w:rsidR="006325C2" w:rsidRPr="00FD4A53">
        <w:rPr>
          <w:rFonts w:ascii="Arial" w:hAnsi="Arial" w:cs="Arial"/>
          <w:sz w:val="22"/>
          <w:szCs w:val="22"/>
        </w:rPr>
        <w:t xml:space="preserve"> által megelőlegezett </w:t>
      </w:r>
      <w:r w:rsidR="00B211E4">
        <w:rPr>
          <w:rFonts w:ascii="Arial" w:hAnsi="Arial" w:cs="Arial"/>
          <w:sz w:val="22"/>
          <w:szCs w:val="22"/>
        </w:rPr>
        <w:t>40 594 156</w:t>
      </w:r>
      <w:r w:rsidR="004631CD" w:rsidRPr="00FD4A53">
        <w:rPr>
          <w:rFonts w:ascii="Arial" w:hAnsi="Arial" w:cs="Arial"/>
          <w:sz w:val="22"/>
          <w:szCs w:val="22"/>
        </w:rPr>
        <w:t xml:space="preserve"> Ft összegű forrás visszafizetése szerepel, melyet az előző évbe</w:t>
      </w:r>
      <w:r w:rsidR="0059334A" w:rsidRPr="00FD4A53">
        <w:rPr>
          <w:rFonts w:ascii="Arial" w:hAnsi="Arial" w:cs="Arial"/>
          <w:sz w:val="22"/>
          <w:szCs w:val="22"/>
        </w:rPr>
        <w:t>n a januári bérek kifizetésére</w:t>
      </w:r>
      <w:r w:rsidR="004631CD" w:rsidRPr="00FD4A53">
        <w:rPr>
          <w:rFonts w:ascii="Arial" w:hAnsi="Arial" w:cs="Arial"/>
          <w:sz w:val="22"/>
          <w:szCs w:val="22"/>
        </w:rPr>
        <w:t xml:space="preserve"> bocsátottak rendelkezésünkre</w:t>
      </w:r>
      <w:r w:rsidR="00FD4A53" w:rsidRPr="00FD4A53">
        <w:rPr>
          <w:rFonts w:ascii="Arial" w:hAnsi="Arial" w:cs="Arial"/>
          <w:sz w:val="22"/>
          <w:szCs w:val="22"/>
        </w:rPr>
        <w:t>.</w:t>
      </w:r>
      <w:r w:rsidR="00AA1D6A">
        <w:rPr>
          <w:rFonts w:ascii="Arial" w:hAnsi="Arial" w:cs="Arial"/>
          <w:sz w:val="22"/>
          <w:szCs w:val="22"/>
        </w:rPr>
        <w:t xml:space="preserve"> A márciusban megérkező kisbusz nyílt végű lízing kiadásai várhatóan 7 209 872 Ft összeggel jelentkeznek a 2026. évben.</w:t>
      </w:r>
    </w:p>
    <w:p w14:paraId="50EA919A" w14:textId="77777777" w:rsidR="00654560" w:rsidRDefault="00654560" w:rsidP="00BE43E5">
      <w:pPr>
        <w:spacing w:line="276" w:lineRule="auto"/>
        <w:jc w:val="both"/>
        <w:rPr>
          <w:rFonts w:ascii="Arial" w:hAnsi="Arial" w:cs="Arial"/>
          <w:sz w:val="22"/>
          <w:szCs w:val="22"/>
        </w:rPr>
      </w:pPr>
    </w:p>
    <w:p w14:paraId="18CCC6FA" w14:textId="2A22FBDC" w:rsidR="00B84896" w:rsidRDefault="00AA1D6A" w:rsidP="00BE43E5">
      <w:pPr>
        <w:spacing w:line="276" w:lineRule="auto"/>
        <w:jc w:val="both"/>
        <w:rPr>
          <w:rFonts w:ascii="Arial" w:hAnsi="Arial" w:cs="Arial"/>
          <w:sz w:val="22"/>
          <w:szCs w:val="22"/>
        </w:rPr>
      </w:pPr>
      <w:r>
        <w:rPr>
          <w:rFonts w:ascii="Arial" w:hAnsi="Arial" w:cs="Arial"/>
          <w:sz w:val="22"/>
          <w:szCs w:val="22"/>
        </w:rPr>
        <w:t>Az Önkormányz</w:t>
      </w:r>
      <w:r w:rsidR="00226E39">
        <w:rPr>
          <w:rFonts w:ascii="Arial" w:hAnsi="Arial" w:cs="Arial"/>
          <w:sz w:val="22"/>
          <w:szCs w:val="22"/>
        </w:rPr>
        <w:t>at irányító szervi támogatást nyújt</w:t>
      </w:r>
      <w:r>
        <w:rPr>
          <w:rFonts w:ascii="Arial" w:hAnsi="Arial" w:cs="Arial"/>
          <w:sz w:val="22"/>
          <w:szCs w:val="22"/>
        </w:rPr>
        <w:t xml:space="preserve"> a KÖH részére és a Keresztély Gyula Városi Könyvtár részére</w:t>
      </w:r>
      <w:r w:rsidR="00226E39">
        <w:rPr>
          <w:rFonts w:ascii="Arial" w:hAnsi="Arial" w:cs="Arial"/>
          <w:sz w:val="22"/>
          <w:szCs w:val="22"/>
        </w:rPr>
        <w:t>.</w:t>
      </w:r>
      <w:r>
        <w:rPr>
          <w:rFonts w:ascii="Arial" w:hAnsi="Arial" w:cs="Arial"/>
          <w:sz w:val="22"/>
          <w:szCs w:val="22"/>
        </w:rPr>
        <w:t xml:space="preserve"> </w:t>
      </w:r>
      <w:r w:rsidR="00226E39">
        <w:rPr>
          <w:rFonts w:ascii="Arial" w:hAnsi="Arial" w:cs="Arial"/>
          <w:sz w:val="22"/>
          <w:szCs w:val="22"/>
        </w:rPr>
        <w:t>A KÖH 2026</w:t>
      </w:r>
      <w:r w:rsidR="00B84896">
        <w:rPr>
          <w:rFonts w:ascii="Arial" w:hAnsi="Arial" w:cs="Arial"/>
          <w:sz w:val="22"/>
          <w:szCs w:val="22"/>
        </w:rPr>
        <w:t xml:space="preserve">. évi feladatainak </w:t>
      </w:r>
      <w:proofErr w:type="gramStart"/>
      <w:r w:rsidR="00B84896">
        <w:rPr>
          <w:rFonts w:ascii="Arial" w:hAnsi="Arial" w:cs="Arial"/>
          <w:sz w:val="22"/>
          <w:szCs w:val="22"/>
        </w:rPr>
        <w:t>finanszírozásához</w:t>
      </w:r>
      <w:proofErr w:type="gramEnd"/>
      <w:r w:rsidR="00B84896">
        <w:rPr>
          <w:rFonts w:ascii="Arial" w:hAnsi="Arial" w:cs="Arial"/>
          <w:sz w:val="22"/>
          <w:szCs w:val="22"/>
        </w:rPr>
        <w:t xml:space="preserve"> </w:t>
      </w:r>
      <w:r>
        <w:rPr>
          <w:rFonts w:ascii="Arial" w:hAnsi="Arial" w:cs="Arial"/>
          <w:sz w:val="22"/>
          <w:szCs w:val="22"/>
        </w:rPr>
        <w:t xml:space="preserve">az állami támogatás átadásán felül az Önkormányzat 47 486 872 Ft-tal járul hozzá, ez az összeg a tavalyi évben </w:t>
      </w:r>
      <w:r w:rsidR="00B84896">
        <w:rPr>
          <w:rFonts w:ascii="Arial" w:hAnsi="Arial" w:cs="Arial"/>
          <w:sz w:val="22"/>
          <w:szCs w:val="22"/>
        </w:rPr>
        <w:t xml:space="preserve"> </w:t>
      </w:r>
      <w:r>
        <w:rPr>
          <w:rFonts w:ascii="Arial" w:hAnsi="Arial" w:cs="Arial"/>
          <w:sz w:val="22"/>
          <w:szCs w:val="22"/>
        </w:rPr>
        <w:t xml:space="preserve">42 346 540 Ft volt. </w:t>
      </w:r>
      <w:r w:rsidR="00DD29B3">
        <w:rPr>
          <w:rFonts w:ascii="Arial" w:hAnsi="Arial" w:cs="Arial"/>
          <w:sz w:val="22"/>
          <w:szCs w:val="22"/>
        </w:rPr>
        <w:t xml:space="preserve">A Keresztély Gyula Városi Könyvtár feladatainak ellátására tervszinten </w:t>
      </w:r>
      <w:r>
        <w:rPr>
          <w:rFonts w:ascii="Arial" w:hAnsi="Arial" w:cs="Arial"/>
          <w:sz w:val="22"/>
          <w:szCs w:val="22"/>
        </w:rPr>
        <w:t>23 765 963</w:t>
      </w:r>
      <w:r w:rsidR="007504DA">
        <w:rPr>
          <w:rFonts w:ascii="Arial" w:hAnsi="Arial" w:cs="Arial"/>
          <w:sz w:val="22"/>
          <w:szCs w:val="22"/>
        </w:rPr>
        <w:t xml:space="preserve"> Ft fedezetet tartalmaz</w:t>
      </w:r>
      <w:r>
        <w:rPr>
          <w:rFonts w:ascii="Arial" w:hAnsi="Arial" w:cs="Arial"/>
          <w:sz w:val="22"/>
          <w:szCs w:val="22"/>
        </w:rPr>
        <w:t xml:space="preserve"> a költségvetési javaslat a 2025</w:t>
      </w:r>
      <w:r w:rsidR="007504DA">
        <w:rPr>
          <w:rFonts w:ascii="Arial" w:hAnsi="Arial" w:cs="Arial"/>
          <w:sz w:val="22"/>
          <w:szCs w:val="22"/>
        </w:rPr>
        <w:t xml:space="preserve">. évi </w:t>
      </w:r>
      <w:r>
        <w:rPr>
          <w:rFonts w:ascii="Arial" w:hAnsi="Arial" w:cs="Arial"/>
          <w:sz w:val="22"/>
          <w:szCs w:val="22"/>
        </w:rPr>
        <w:t>22 046 783</w:t>
      </w:r>
      <w:r w:rsidR="007504DA">
        <w:rPr>
          <w:rFonts w:ascii="Arial" w:hAnsi="Arial" w:cs="Arial"/>
          <w:sz w:val="22"/>
          <w:szCs w:val="22"/>
        </w:rPr>
        <w:t xml:space="preserve"> Ft-tal szemben.</w:t>
      </w:r>
    </w:p>
    <w:p w14:paraId="78DEB2AA" w14:textId="6736C094" w:rsidR="00983EFF" w:rsidRDefault="00983EFF" w:rsidP="00BE43E5">
      <w:pPr>
        <w:spacing w:line="276" w:lineRule="auto"/>
        <w:jc w:val="both"/>
        <w:rPr>
          <w:rFonts w:ascii="Arial" w:hAnsi="Arial" w:cs="Arial"/>
          <w:bCs/>
          <w:sz w:val="22"/>
          <w:szCs w:val="22"/>
        </w:rPr>
      </w:pPr>
    </w:p>
    <w:p w14:paraId="3A86D312" w14:textId="77777777" w:rsidR="00983EFF" w:rsidRPr="00FD4A53" w:rsidRDefault="00983EFF" w:rsidP="00BE43E5">
      <w:pPr>
        <w:spacing w:line="276" w:lineRule="auto"/>
        <w:jc w:val="both"/>
        <w:rPr>
          <w:rFonts w:ascii="Arial" w:hAnsi="Arial" w:cs="Arial"/>
          <w:bCs/>
          <w:sz w:val="22"/>
          <w:szCs w:val="22"/>
        </w:rPr>
      </w:pPr>
    </w:p>
    <w:p w14:paraId="37ACBFC4" w14:textId="342CC3D9" w:rsidR="000315B2" w:rsidRPr="002A2B45" w:rsidRDefault="000315B2" w:rsidP="00BE43E5">
      <w:pPr>
        <w:tabs>
          <w:tab w:val="center" w:pos="4536"/>
          <w:tab w:val="right" w:pos="5160"/>
          <w:tab w:val="right" w:pos="9072"/>
        </w:tabs>
        <w:overflowPunct w:val="0"/>
        <w:autoSpaceDE w:val="0"/>
        <w:autoSpaceDN w:val="0"/>
        <w:adjustRightInd w:val="0"/>
        <w:spacing w:line="276" w:lineRule="auto"/>
        <w:textAlignment w:val="baseline"/>
        <w:rPr>
          <w:rFonts w:ascii="Arial" w:hAnsi="Arial" w:cs="Arial"/>
          <w:b/>
          <w:sz w:val="22"/>
          <w:szCs w:val="22"/>
          <w:lang w:eastAsia="hu-HU"/>
        </w:rPr>
      </w:pPr>
      <w:r w:rsidRPr="002A2B45">
        <w:rPr>
          <w:rFonts w:ascii="Arial" w:hAnsi="Arial" w:cs="Arial"/>
          <w:b/>
          <w:sz w:val="22"/>
          <w:szCs w:val="22"/>
          <w:lang w:eastAsia="hu-HU"/>
        </w:rPr>
        <w:t>Tisztelt Képviselő</w:t>
      </w:r>
      <w:r w:rsidR="008D363E" w:rsidRPr="002A2B45">
        <w:rPr>
          <w:rFonts w:ascii="Arial" w:hAnsi="Arial" w:cs="Arial"/>
          <w:b/>
          <w:sz w:val="22"/>
          <w:szCs w:val="22"/>
          <w:lang w:eastAsia="hu-HU"/>
        </w:rPr>
        <w:t>-</w:t>
      </w:r>
      <w:r w:rsidRPr="002A2B45">
        <w:rPr>
          <w:rFonts w:ascii="Arial" w:hAnsi="Arial" w:cs="Arial"/>
          <w:b/>
          <w:sz w:val="22"/>
          <w:szCs w:val="22"/>
          <w:lang w:eastAsia="hu-HU"/>
        </w:rPr>
        <w:t>testület!</w:t>
      </w:r>
    </w:p>
    <w:p w14:paraId="794584E3"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textAlignment w:val="baseline"/>
        <w:rPr>
          <w:rFonts w:ascii="Arial" w:hAnsi="Arial" w:cs="Arial"/>
          <w:b/>
          <w:sz w:val="22"/>
          <w:szCs w:val="22"/>
          <w:lang w:eastAsia="hu-HU"/>
        </w:rPr>
      </w:pPr>
    </w:p>
    <w:p w14:paraId="7B07EBA0" w14:textId="34887150"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Az államháztartásról szóló 2011. évi CXCV. törvény (a továbbiakban: Áht.) 29/</w:t>
      </w: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 xml:space="preserve"> §-</w:t>
      </w:r>
      <w:proofErr w:type="spellStart"/>
      <w:r w:rsidRPr="002A2B45">
        <w:rPr>
          <w:rFonts w:ascii="Arial" w:hAnsi="Arial" w:cs="Arial"/>
          <w:sz w:val="22"/>
          <w:szCs w:val="22"/>
          <w:lang w:eastAsia="hu-HU"/>
        </w:rPr>
        <w:t>ában</w:t>
      </w:r>
      <w:proofErr w:type="spellEnd"/>
      <w:r w:rsidRPr="002A2B45">
        <w:rPr>
          <w:rFonts w:ascii="Arial" w:hAnsi="Arial" w:cs="Arial"/>
          <w:sz w:val="22"/>
          <w:szCs w:val="22"/>
          <w:lang w:eastAsia="hu-HU"/>
        </w:rPr>
        <w:t xml:space="preserve"> foglaltak alapján a helyi önkormányzatok tervezési feladatainak végrehajtása keretében a Magyarország gazdasági </w:t>
      </w:r>
      <w:proofErr w:type="gramStart"/>
      <w:r w:rsidRPr="002A2B45">
        <w:rPr>
          <w:rFonts w:ascii="Arial" w:hAnsi="Arial" w:cs="Arial"/>
          <w:sz w:val="22"/>
          <w:szCs w:val="22"/>
          <w:lang w:eastAsia="hu-HU"/>
        </w:rPr>
        <w:t>stabilitásáról</w:t>
      </w:r>
      <w:proofErr w:type="gramEnd"/>
      <w:r w:rsidRPr="002A2B45">
        <w:rPr>
          <w:rFonts w:ascii="Arial" w:hAnsi="Arial" w:cs="Arial"/>
          <w:sz w:val="22"/>
          <w:szCs w:val="22"/>
          <w:lang w:eastAsia="hu-HU"/>
        </w:rPr>
        <w:t xml:space="preserve"> szóló 2011. évi CXCIV. törvény (a továbbiakban: </w:t>
      </w:r>
      <w:proofErr w:type="spellStart"/>
      <w:r w:rsidRPr="002A2B45">
        <w:rPr>
          <w:rFonts w:ascii="Arial" w:hAnsi="Arial" w:cs="Arial"/>
          <w:sz w:val="22"/>
          <w:szCs w:val="22"/>
          <w:lang w:eastAsia="hu-HU"/>
        </w:rPr>
        <w:t>Gst</w:t>
      </w:r>
      <w:proofErr w:type="spellEnd"/>
      <w:r w:rsidRPr="002A2B45">
        <w:rPr>
          <w:rFonts w:ascii="Arial" w:hAnsi="Arial" w:cs="Arial"/>
          <w:sz w:val="22"/>
          <w:szCs w:val="22"/>
          <w:lang w:eastAsia="hu-HU"/>
        </w:rPr>
        <w:t xml:space="preserve">.) szerinti saját bevételek és adósságot keletkeztető ügyletek jóváhagyását </w:t>
      </w:r>
      <w:r w:rsidR="0078464E" w:rsidRPr="002A2B45">
        <w:rPr>
          <w:rFonts w:ascii="Arial" w:hAnsi="Arial" w:cs="Arial"/>
          <w:sz w:val="22"/>
          <w:szCs w:val="22"/>
          <w:lang w:eastAsia="hu-HU"/>
        </w:rPr>
        <w:t xml:space="preserve">is </w:t>
      </w:r>
      <w:r w:rsidRPr="002A2B45">
        <w:rPr>
          <w:rFonts w:ascii="Arial" w:hAnsi="Arial" w:cs="Arial"/>
          <w:sz w:val="22"/>
          <w:szCs w:val="22"/>
          <w:lang w:eastAsia="hu-HU"/>
        </w:rPr>
        <w:t>előterjesztem.</w:t>
      </w:r>
    </w:p>
    <w:p w14:paraId="79E7605E"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3C68F11B"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Az Áht. 29/</w:t>
      </w: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 xml:space="preserve"> §-</w:t>
      </w: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 xml:space="preserve"> </w:t>
      </w:r>
      <w:proofErr w:type="spellStart"/>
      <w:r w:rsidRPr="002A2B45">
        <w:rPr>
          <w:rFonts w:ascii="Arial" w:hAnsi="Arial" w:cs="Arial"/>
          <w:sz w:val="22"/>
          <w:szCs w:val="22"/>
          <w:lang w:eastAsia="hu-HU"/>
        </w:rPr>
        <w:t>a</w:t>
      </w:r>
      <w:proofErr w:type="spellEnd"/>
      <w:r w:rsidRPr="002A2B45">
        <w:rPr>
          <w:rFonts w:ascii="Arial" w:hAnsi="Arial" w:cs="Arial"/>
          <w:sz w:val="22"/>
          <w:szCs w:val="22"/>
          <w:lang w:eastAsia="hu-HU"/>
        </w:rPr>
        <w:t xml:space="preserve"> következőket tartalmazza: „A helyi önkormányzat, a nemzetiségi önkormányzat és a társulás évente, legkésőbb a költségvetési rendelet, határozat elfogadásáig határozatban állapítja meg:</w:t>
      </w:r>
    </w:p>
    <w:p w14:paraId="20F6757F" w14:textId="169E1BAA" w:rsidR="000315B2" w:rsidRPr="002A2B45" w:rsidRDefault="000315B2" w:rsidP="00BE43E5">
      <w:pPr>
        <w:tabs>
          <w:tab w:val="center" w:pos="4536"/>
          <w:tab w:val="right" w:pos="5160"/>
          <w:tab w:val="right" w:pos="9072"/>
        </w:tabs>
        <w:overflowPunct w:val="0"/>
        <w:autoSpaceDE w:val="0"/>
        <w:autoSpaceDN w:val="0"/>
        <w:adjustRightInd w:val="0"/>
        <w:spacing w:line="276" w:lineRule="auto"/>
        <w:ind w:left="284" w:hanging="284"/>
        <w:jc w:val="both"/>
        <w:textAlignment w:val="baseline"/>
        <w:rPr>
          <w:rFonts w:ascii="Arial" w:hAnsi="Arial" w:cs="Arial"/>
          <w:sz w:val="22"/>
          <w:szCs w:val="22"/>
          <w:lang w:eastAsia="hu-HU"/>
        </w:rPr>
      </w:pP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w:t>
      </w:r>
      <w:r w:rsidR="00AC12F0">
        <w:rPr>
          <w:rFonts w:ascii="Arial" w:hAnsi="Arial" w:cs="Arial"/>
          <w:sz w:val="22"/>
          <w:szCs w:val="22"/>
          <w:lang w:eastAsia="hu-HU"/>
        </w:rPr>
        <w:t xml:space="preserve"> </w:t>
      </w:r>
      <w:r w:rsidRPr="002A2B45">
        <w:rPr>
          <w:rFonts w:ascii="Arial" w:hAnsi="Arial" w:cs="Arial"/>
          <w:sz w:val="22"/>
          <w:szCs w:val="22"/>
          <w:lang w:eastAsia="hu-HU"/>
        </w:rPr>
        <w:tab/>
        <w:t xml:space="preserve">a </w:t>
      </w:r>
      <w:proofErr w:type="spellStart"/>
      <w:r w:rsidRPr="002A2B45">
        <w:rPr>
          <w:rFonts w:ascii="Arial" w:hAnsi="Arial" w:cs="Arial"/>
          <w:sz w:val="22"/>
          <w:szCs w:val="22"/>
          <w:lang w:eastAsia="hu-HU"/>
        </w:rPr>
        <w:t>Gst</w:t>
      </w:r>
      <w:proofErr w:type="spellEnd"/>
      <w:r w:rsidRPr="002A2B45">
        <w:rPr>
          <w:rFonts w:ascii="Arial" w:hAnsi="Arial" w:cs="Arial"/>
          <w:sz w:val="22"/>
          <w:szCs w:val="22"/>
          <w:lang w:eastAsia="hu-HU"/>
        </w:rPr>
        <w:t>. 45. § (1) bekezdés a) pontjában kapott felhatalmazás alapján kiadott jogszabályban meghatározottak szerinti saját bevételeinek és</w:t>
      </w:r>
    </w:p>
    <w:p w14:paraId="2A065710"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ind w:left="284" w:hanging="284"/>
        <w:jc w:val="both"/>
        <w:textAlignment w:val="baseline"/>
        <w:rPr>
          <w:rFonts w:ascii="Arial" w:hAnsi="Arial" w:cs="Arial"/>
          <w:sz w:val="22"/>
          <w:szCs w:val="22"/>
          <w:lang w:eastAsia="hu-HU"/>
        </w:rPr>
      </w:pPr>
      <w:r w:rsidRPr="002A2B45">
        <w:rPr>
          <w:rFonts w:ascii="Arial" w:hAnsi="Arial" w:cs="Arial"/>
          <w:sz w:val="22"/>
          <w:szCs w:val="22"/>
          <w:lang w:eastAsia="hu-HU"/>
        </w:rPr>
        <w:t>b)</w:t>
      </w:r>
      <w:r w:rsidRPr="002A2B45">
        <w:rPr>
          <w:rFonts w:ascii="Arial" w:hAnsi="Arial" w:cs="Arial"/>
          <w:sz w:val="22"/>
          <w:szCs w:val="22"/>
          <w:lang w:eastAsia="hu-HU"/>
        </w:rPr>
        <w:tab/>
        <w:t xml:space="preserve"> a </w:t>
      </w:r>
      <w:proofErr w:type="spellStart"/>
      <w:r w:rsidRPr="002A2B45">
        <w:rPr>
          <w:rFonts w:ascii="Arial" w:hAnsi="Arial" w:cs="Arial"/>
          <w:sz w:val="22"/>
          <w:szCs w:val="22"/>
          <w:lang w:eastAsia="hu-HU"/>
        </w:rPr>
        <w:t>Gst</w:t>
      </w:r>
      <w:proofErr w:type="spellEnd"/>
      <w:r w:rsidRPr="002A2B45">
        <w:rPr>
          <w:rFonts w:ascii="Arial" w:hAnsi="Arial" w:cs="Arial"/>
          <w:sz w:val="22"/>
          <w:szCs w:val="22"/>
          <w:lang w:eastAsia="hu-HU"/>
        </w:rPr>
        <w:t>. 8. § (2) bekezdése szerinti adósságot keletkeztető ügyleteiből eredő fizetési kötelezettségeinek</w:t>
      </w:r>
    </w:p>
    <w:p w14:paraId="5046D70E"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ind w:left="284" w:hanging="284"/>
        <w:jc w:val="both"/>
        <w:textAlignment w:val="baseline"/>
        <w:rPr>
          <w:rFonts w:ascii="Arial" w:hAnsi="Arial" w:cs="Arial"/>
          <w:sz w:val="22"/>
          <w:szCs w:val="22"/>
          <w:lang w:eastAsia="hu-HU"/>
        </w:rPr>
      </w:pP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 xml:space="preserve"> költségvetési évet követő három évre várható összegét.”</w:t>
      </w:r>
    </w:p>
    <w:p w14:paraId="48B5108C"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6548AA3E"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Az adósságot keletkeztető ügylet tekintetében a </w:t>
      </w:r>
      <w:proofErr w:type="spellStart"/>
      <w:r w:rsidRPr="002A2B45">
        <w:rPr>
          <w:rFonts w:ascii="Arial" w:hAnsi="Arial" w:cs="Arial"/>
          <w:sz w:val="22"/>
          <w:szCs w:val="22"/>
          <w:lang w:eastAsia="hu-HU"/>
        </w:rPr>
        <w:t>Gst</w:t>
      </w:r>
      <w:proofErr w:type="spellEnd"/>
      <w:r w:rsidRPr="002A2B45">
        <w:rPr>
          <w:rFonts w:ascii="Arial" w:hAnsi="Arial" w:cs="Arial"/>
          <w:sz w:val="22"/>
          <w:szCs w:val="22"/>
          <w:lang w:eastAsia="hu-HU"/>
        </w:rPr>
        <w:t>. 8. § (2) bekezdése, 10.-10/F. §-</w:t>
      </w:r>
      <w:proofErr w:type="gramStart"/>
      <w:r w:rsidRPr="002A2B45">
        <w:rPr>
          <w:rFonts w:ascii="Arial" w:hAnsi="Arial" w:cs="Arial"/>
          <w:sz w:val="22"/>
          <w:szCs w:val="22"/>
          <w:lang w:eastAsia="hu-HU"/>
        </w:rPr>
        <w:t>a</w:t>
      </w:r>
      <w:proofErr w:type="gramEnd"/>
      <w:r w:rsidRPr="002A2B45">
        <w:rPr>
          <w:rFonts w:ascii="Arial" w:hAnsi="Arial" w:cs="Arial"/>
          <w:sz w:val="22"/>
          <w:szCs w:val="22"/>
          <w:lang w:eastAsia="hu-HU"/>
        </w:rPr>
        <w:t>, valamint az adósságot keletkeztető ügyletekhez történő hozzájárulás részletes szabályairól szóló 353/2011. (XII. 30.) Korm. rendelet (a továbbiakban: Kormányrendelet) előírásait kell a határozat elfogadásánál figyelembe venni.</w:t>
      </w:r>
    </w:p>
    <w:p w14:paraId="2FB7EF21"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2955B102" w14:textId="77777777" w:rsidR="00AC12F0"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A </w:t>
      </w:r>
      <w:proofErr w:type="spellStart"/>
      <w:r w:rsidRPr="002A2B45">
        <w:rPr>
          <w:rFonts w:ascii="Arial" w:hAnsi="Arial" w:cs="Arial"/>
          <w:sz w:val="22"/>
          <w:szCs w:val="22"/>
          <w:lang w:eastAsia="hu-HU"/>
        </w:rPr>
        <w:t>Gst</w:t>
      </w:r>
      <w:proofErr w:type="spellEnd"/>
      <w:r w:rsidRPr="002A2B45">
        <w:rPr>
          <w:rFonts w:ascii="Arial" w:hAnsi="Arial" w:cs="Arial"/>
          <w:sz w:val="22"/>
          <w:szCs w:val="22"/>
          <w:lang w:eastAsia="hu-HU"/>
        </w:rPr>
        <w:t xml:space="preserve">. 10. § (1) bekezdése a következőket tartalmazza: „Az önkormányzat érvényesen kizárólag a Kormány előzetes hozzájárulásával vállalhat a Polgári Törvénykönyv szerinti kezességet és </w:t>
      </w:r>
      <w:proofErr w:type="gramStart"/>
      <w:r w:rsidRPr="002A2B45">
        <w:rPr>
          <w:rFonts w:ascii="Arial" w:hAnsi="Arial" w:cs="Arial"/>
          <w:sz w:val="22"/>
          <w:szCs w:val="22"/>
          <w:lang w:eastAsia="hu-HU"/>
        </w:rPr>
        <w:t>garanciát</w:t>
      </w:r>
      <w:proofErr w:type="gramEnd"/>
      <w:r w:rsidRPr="002A2B45">
        <w:rPr>
          <w:rFonts w:ascii="Arial" w:hAnsi="Arial" w:cs="Arial"/>
          <w:sz w:val="22"/>
          <w:szCs w:val="22"/>
          <w:lang w:eastAsia="hu-HU"/>
        </w:rPr>
        <w:t xml:space="preserve">, valamint köthet adósságot keletkeztető ügyletet.” </w:t>
      </w:r>
    </w:p>
    <w:p w14:paraId="3E5DA054" w14:textId="7AFBCF89"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A 10. § (3) bekezdés a)-d) pontja tartalmazza azokat a kivételi köröket is, amely esetben a Kormány hozzájárulása nem szükséges. Nincs szükség többek között a Kormány hozzájárulására az önkormányzat jogszabályon alapuló, kötelező kezesség-, illetve garanciavállalásához, a naptári éven belül lejáró adósságot keletkeztető ügyletéhez, a központi költségvetésből nyújtott európai uniós vagy más nemzetközi szervezettől az önkormányzat által elnyert, fejlesztési célú támogatás előfinanszírozásának biztosítására szolgáló esetben, vagy például, ha az önkormányzati többségi tulajdonban álló gazdasági társaság által a naptári éven belül keletkeztetett és lejáró futamidejű adósságot keletkeztető ügylethez kapcsolódik. </w:t>
      </w:r>
    </w:p>
    <w:p w14:paraId="28DC7A1A"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Feltétel az adósságot keletkeztető ügyletek jóváhagyásához, hogy az önkormányzat adósságot keletkeztető ügyletből származó tárgyévi fizetési kötelezettsége a futamidő végéig egyik évben sem haladhatja meg a saját bevételek 50 %-át. </w:t>
      </w:r>
    </w:p>
    <w:p w14:paraId="2D450B24"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3DD1FE0E" w14:textId="0A01E5C0"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A saját bevételek körét a Kormányrendelet rögzíti. Bátaszék Város Önkormányzatának adósságot keletkeztető ügyletből eredő kötelezettsége </w:t>
      </w:r>
      <w:r w:rsidR="00E25B37" w:rsidRPr="002A2B45">
        <w:rPr>
          <w:rFonts w:ascii="Arial" w:hAnsi="Arial" w:cs="Arial"/>
          <w:sz w:val="22"/>
          <w:szCs w:val="22"/>
          <w:lang w:eastAsia="hu-HU"/>
        </w:rPr>
        <w:t>a lízing</w:t>
      </w:r>
      <w:r w:rsidR="00AC12F0">
        <w:rPr>
          <w:rFonts w:ascii="Arial" w:hAnsi="Arial" w:cs="Arial"/>
          <w:sz w:val="22"/>
          <w:szCs w:val="22"/>
          <w:lang w:eastAsia="hu-HU"/>
        </w:rPr>
        <w:t xml:space="preserve"> fizetésére vállalt</w:t>
      </w:r>
      <w:r w:rsidR="00E25B37" w:rsidRPr="002A2B45">
        <w:rPr>
          <w:rFonts w:ascii="Arial" w:hAnsi="Arial" w:cs="Arial"/>
          <w:sz w:val="22"/>
          <w:szCs w:val="22"/>
          <w:lang w:eastAsia="hu-HU"/>
        </w:rPr>
        <w:t xml:space="preserve"> kötelezettségen kívül </w:t>
      </w:r>
      <w:r w:rsidRPr="002A2B45">
        <w:rPr>
          <w:rFonts w:ascii="Arial" w:hAnsi="Arial" w:cs="Arial"/>
          <w:sz w:val="22"/>
          <w:szCs w:val="22"/>
          <w:lang w:eastAsia="hu-HU"/>
        </w:rPr>
        <w:t xml:space="preserve">nem áll fenn. </w:t>
      </w:r>
    </w:p>
    <w:p w14:paraId="3C0C424B"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3D57FD9B"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Az adósság-keletkeztetési szándékról az önkormányzatoknak az elfogadott határozat alapján tájékoztatási kötelezettsége áll fenn a Kormány felé.</w:t>
      </w:r>
    </w:p>
    <w:p w14:paraId="73A8EC49" w14:textId="77777777" w:rsidR="000315B2" w:rsidRPr="00A82F71"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highlight w:val="yellow"/>
          <w:lang w:eastAsia="hu-HU"/>
        </w:rPr>
      </w:pPr>
    </w:p>
    <w:p w14:paraId="327DA993" w14:textId="6D6B679A"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D31DC5">
        <w:rPr>
          <w:rFonts w:ascii="Arial" w:hAnsi="Arial" w:cs="Arial"/>
          <w:sz w:val="22"/>
          <w:szCs w:val="22"/>
          <w:lang w:eastAsia="hu-HU"/>
        </w:rPr>
        <w:t>A Testület a 202</w:t>
      </w:r>
      <w:r w:rsidR="00AC12F0" w:rsidRPr="00D31DC5">
        <w:rPr>
          <w:rFonts w:ascii="Arial" w:hAnsi="Arial" w:cs="Arial"/>
          <w:sz w:val="22"/>
          <w:szCs w:val="22"/>
          <w:lang w:eastAsia="hu-HU"/>
        </w:rPr>
        <w:t>6</w:t>
      </w:r>
      <w:r w:rsidRPr="00D31DC5">
        <w:rPr>
          <w:rFonts w:ascii="Arial" w:hAnsi="Arial" w:cs="Arial"/>
          <w:sz w:val="22"/>
          <w:szCs w:val="22"/>
          <w:lang w:eastAsia="hu-HU"/>
        </w:rPr>
        <w:t xml:space="preserve">. évre és az azt követő három évre </w:t>
      </w:r>
      <w:r w:rsidR="00D31DC5" w:rsidRPr="00D31DC5">
        <w:rPr>
          <w:rFonts w:ascii="Arial" w:hAnsi="Arial" w:cs="Arial"/>
          <w:sz w:val="22"/>
          <w:szCs w:val="22"/>
          <w:lang w:eastAsia="hu-HU"/>
        </w:rPr>
        <w:t xml:space="preserve">a Ford kisbusz beszerzéséhez kapcsolódóan nyílt végű pénzügyi lízing </w:t>
      </w:r>
      <w:r w:rsidRPr="00D31DC5">
        <w:rPr>
          <w:rFonts w:ascii="Arial" w:hAnsi="Arial" w:cs="Arial"/>
          <w:sz w:val="22"/>
          <w:szCs w:val="22"/>
          <w:lang w:eastAsia="hu-HU"/>
        </w:rPr>
        <w:t xml:space="preserve">adósságot keletkeztető ügylet lebonyolítását </w:t>
      </w:r>
      <w:r w:rsidR="00D31DC5" w:rsidRPr="00D31DC5">
        <w:rPr>
          <w:rFonts w:ascii="Arial" w:hAnsi="Arial" w:cs="Arial"/>
          <w:sz w:val="22"/>
          <w:szCs w:val="22"/>
          <w:lang w:eastAsia="hu-HU"/>
        </w:rPr>
        <w:t>tervezi az 1. sz. melléklet szerint. Az Önkormányzat más adósságot keletkeztető ügylet lebonyolítását a</w:t>
      </w:r>
      <w:r w:rsidRPr="00D31DC5">
        <w:rPr>
          <w:rFonts w:ascii="Arial" w:hAnsi="Arial" w:cs="Arial"/>
          <w:sz w:val="22"/>
          <w:szCs w:val="22"/>
          <w:lang w:eastAsia="hu-HU"/>
        </w:rPr>
        <w:t xml:space="preserve"> 202</w:t>
      </w:r>
      <w:r w:rsidR="00AC12F0" w:rsidRPr="00D31DC5">
        <w:rPr>
          <w:rFonts w:ascii="Arial" w:hAnsi="Arial" w:cs="Arial"/>
          <w:sz w:val="22"/>
          <w:szCs w:val="22"/>
          <w:lang w:eastAsia="hu-HU"/>
        </w:rPr>
        <w:t>7</w:t>
      </w:r>
      <w:r w:rsidRPr="00D31DC5">
        <w:rPr>
          <w:rFonts w:ascii="Arial" w:hAnsi="Arial" w:cs="Arial"/>
          <w:sz w:val="22"/>
          <w:szCs w:val="22"/>
          <w:lang w:eastAsia="hu-HU"/>
        </w:rPr>
        <w:t>-202</w:t>
      </w:r>
      <w:r w:rsidR="00AC12F0" w:rsidRPr="00D31DC5">
        <w:rPr>
          <w:rFonts w:ascii="Arial" w:hAnsi="Arial" w:cs="Arial"/>
          <w:sz w:val="22"/>
          <w:szCs w:val="22"/>
          <w:lang w:eastAsia="hu-HU"/>
        </w:rPr>
        <w:t>9</w:t>
      </w:r>
      <w:r w:rsidR="00D31DC5" w:rsidRPr="00D31DC5">
        <w:rPr>
          <w:rFonts w:ascii="Arial" w:hAnsi="Arial" w:cs="Arial"/>
          <w:sz w:val="22"/>
          <w:szCs w:val="22"/>
          <w:lang w:eastAsia="hu-HU"/>
        </w:rPr>
        <w:t>. évekre vonatkozóan nem tervez.</w:t>
      </w:r>
      <w:r w:rsidRPr="00D31DC5">
        <w:rPr>
          <w:rFonts w:ascii="Arial" w:hAnsi="Arial" w:cs="Arial"/>
          <w:sz w:val="22"/>
          <w:szCs w:val="22"/>
          <w:lang w:eastAsia="hu-HU"/>
        </w:rPr>
        <w:t xml:space="preserve"> </w:t>
      </w:r>
    </w:p>
    <w:p w14:paraId="19DF4C63"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p>
    <w:p w14:paraId="26823F98" w14:textId="77777777" w:rsidR="000315B2" w:rsidRPr="002A2B45" w:rsidRDefault="000315B2" w:rsidP="00BE43E5">
      <w:pPr>
        <w:tabs>
          <w:tab w:val="center" w:pos="4536"/>
          <w:tab w:val="right" w:pos="5160"/>
          <w:tab w:val="right" w:pos="9072"/>
        </w:tabs>
        <w:overflowPunct w:val="0"/>
        <w:autoSpaceDE w:val="0"/>
        <w:autoSpaceDN w:val="0"/>
        <w:adjustRightInd w:val="0"/>
        <w:spacing w:line="276" w:lineRule="auto"/>
        <w:jc w:val="both"/>
        <w:textAlignment w:val="baseline"/>
        <w:rPr>
          <w:rFonts w:ascii="Arial" w:hAnsi="Arial" w:cs="Arial"/>
          <w:sz w:val="22"/>
          <w:szCs w:val="22"/>
          <w:lang w:eastAsia="hu-HU"/>
        </w:rPr>
      </w:pPr>
      <w:r w:rsidRPr="002A2B45">
        <w:rPr>
          <w:rFonts w:ascii="Arial" w:hAnsi="Arial" w:cs="Arial"/>
          <w:sz w:val="22"/>
          <w:szCs w:val="22"/>
          <w:lang w:eastAsia="hu-HU"/>
        </w:rPr>
        <w:t xml:space="preserve">Kérem a Testületet, hogy a jogszabályi előírásokra figyelemmel a </w:t>
      </w:r>
      <w:r w:rsidRPr="0036003D">
        <w:rPr>
          <w:rFonts w:ascii="Arial" w:hAnsi="Arial" w:cs="Arial"/>
          <w:b/>
          <w:sz w:val="22"/>
          <w:szCs w:val="22"/>
          <w:lang w:eastAsia="hu-HU"/>
        </w:rPr>
        <w:t xml:space="preserve">határozati javaslatot </w:t>
      </w:r>
      <w:r w:rsidRPr="002A2B45">
        <w:rPr>
          <w:rFonts w:ascii="Arial" w:hAnsi="Arial" w:cs="Arial"/>
          <w:sz w:val="22"/>
          <w:szCs w:val="22"/>
          <w:lang w:eastAsia="hu-HU"/>
        </w:rPr>
        <w:t>fogadja el.</w:t>
      </w:r>
    </w:p>
    <w:p w14:paraId="6DCE6496" w14:textId="22BC825B" w:rsidR="006325C2" w:rsidRDefault="006325C2" w:rsidP="00BE43E5">
      <w:pPr>
        <w:tabs>
          <w:tab w:val="center" w:pos="4536"/>
          <w:tab w:val="right" w:pos="5160"/>
          <w:tab w:val="right" w:pos="9072"/>
        </w:tabs>
        <w:overflowPunct w:val="0"/>
        <w:autoSpaceDE w:val="0"/>
        <w:autoSpaceDN w:val="0"/>
        <w:adjustRightInd w:val="0"/>
        <w:spacing w:line="276" w:lineRule="auto"/>
        <w:textAlignment w:val="baseline"/>
        <w:rPr>
          <w:rFonts w:ascii="Arial" w:hAnsi="Arial" w:cs="Arial"/>
          <w:b/>
          <w:sz w:val="22"/>
          <w:szCs w:val="22"/>
          <w:lang w:eastAsia="hu-HU"/>
        </w:rPr>
      </w:pPr>
    </w:p>
    <w:p w14:paraId="70BE70D4" w14:textId="77777777" w:rsidR="00AA1D6A" w:rsidRPr="002A2B45" w:rsidRDefault="00AA1D6A" w:rsidP="00BE43E5">
      <w:pPr>
        <w:spacing w:line="276" w:lineRule="auto"/>
        <w:ind w:left="2268"/>
        <w:jc w:val="both"/>
        <w:rPr>
          <w:rFonts w:ascii="Arial" w:hAnsi="Arial" w:cs="Arial"/>
          <w:b/>
          <w:sz w:val="22"/>
          <w:szCs w:val="22"/>
          <w:u w:val="single"/>
        </w:rPr>
      </w:pPr>
      <w:r w:rsidRPr="002A2B45">
        <w:rPr>
          <w:rFonts w:ascii="Arial" w:hAnsi="Arial" w:cs="Arial"/>
          <w:b/>
          <w:sz w:val="22"/>
          <w:szCs w:val="22"/>
          <w:u w:val="single"/>
        </w:rPr>
        <w:t xml:space="preserve">H a t á r o z a t i   j a v a s l a </w:t>
      </w:r>
      <w:proofErr w:type="gramStart"/>
      <w:r w:rsidRPr="002A2B45">
        <w:rPr>
          <w:rFonts w:ascii="Arial" w:hAnsi="Arial" w:cs="Arial"/>
          <w:b/>
          <w:sz w:val="22"/>
          <w:szCs w:val="22"/>
          <w:u w:val="single"/>
        </w:rPr>
        <w:t>t :</w:t>
      </w:r>
      <w:proofErr w:type="gramEnd"/>
    </w:p>
    <w:p w14:paraId="54FB5BF7" w14:textId="77777777" w:rsidR="00AA1D6A" w:rsidRPr="002A2B45" w:rsidRDefault="00AA1D6A" w:rsidP="00BE43E5">
      <w:pPr>
        <w:spacing w:line="276" w:lineRule="auto"/>
        <w:ind w:left="2268"/>
        <w:jc w:val="both"/>
        <w:rPr>
          <w:rFonts w:ascii="Arial" w:hAnsi="Arial" w:cs="Arial"/>
          <w:b/>
          <w:sz w:val="22"/>
          <w:szCs w:val="22"/>
          <w:u w:val="single"/>
        </w:rPr>
      </w:pPr>
    </w:p>
    <w:p w14:paraId="4A0402BF" w14:textId="77777777" w:rsidR="00AA1D6A" w:rsidRPr="002A2B45" w:rsidRDefault="00AA1D6A" w:rsidP="00BE43E5">
      <w:pPr>
        <w:tabs>
          <w:tab w:val="left" w:pos="540"/>
        </w:tabs>
        <w:spacing w:line="276" w:lineRule="auto"/>
        <w:ind w:left="2268"/>
        <w:jc w:val="both"/>
        <w:rPr>
          <w:rFonts w:ascii="Arial" w:hAnsi="Arial" w:cs="Arial"/>
          <w:b/>
          <w:sz w:val="22"/>
          <w:szCs w:val="22"/>
          <w:u w:val="single"/>
        </w:rPr>
      </w:pPr>
      <w:r w:rsidRPr="002A2B45">
        <w:rPr>
          <w:rFonts w:ascii="Arial" w:hAnsi="Arial" w:cs="Arial"/>
          <w:b/>
          <w:sz w:val="22"/>
          <w:szCs w:val="22"/>
          <w:u w:val="single"/>
        </w:rPr>
        <w:t>Bátaszék Város Önkormányzat saját bevételeiről és fizetési kötelezettségeiről szóló 202</w:t>
      </w:r>
      <w:r>
        <w:rPr>
          <w:rFonts w:ascii="Arial" w:hAnsi="Arial" w:cs="Arial"/>
          <w:b/>
          <w:sz w:val="22"/>
          <w:szCs w:val="22"/>
          <w:u w:val="single"/>
        </w:rPr>
        <w:t>7</w:t>
      </w:r>
      <w:r w:rsidRPr="002A2B45">
        <w:rPr>
          <w:rFonts w:ascii="Arial" w:hAnsi="Arial" w:cs="Arial"/>
          <w:b/>
          <w:sz w:val="22"/>
          <w:szCs w:val="22"/>
          <w:u w:val="single"/>
        </w:rPr>
        <w:t>-202</w:t>
      </w:r>
      <w:r>
        <w:rPr>
          <w:rFonts w:ascii="Arial" w:hAnsi="Arial" w:cs="Arial"/>
          <w:b/>
          <w:sz w:val="22"/>
          <w:szCs w:val="22"/>
          <w:u w:val="single"/>
        </w:rPr>
        <w:t>9</w:t>
      </w:r>
      <w:r w:rsidRPr="002A2B45">
        <w:rPr>
          <w:rFonts w:ascii="Arial" w:hAnsi="Arial" w:cs="Arial"/>
          <w:b/>
          <w:sz w:val="22"/>
          <w:szCs w:val="22"/>
          <w:u w:val="single"/>
        </w:rPr>
        <w:t>. évi középtávú terv elfogadására</w:t>
      </w:r>
    </w:p>
    <w:p w14:paraId="16EA486F" w14:textId="77777777" w:rsidR="00AA1D6A" w:rsidRPr="002A2B45" w:rsidRDefault="00AA1D6A" w:rsidP="00BE43E5">
      <w:pPr>
        <w:tabs>
          <w:tab w:val="left" w:pos="540"/>
        </w:tabs>
        <w:spacing w:line="276" w:lineRule="auto"/>
        <w:ind w:left="2268"/>
        <w:jc w:val="both"/>
        <w:rPr>
          <w:rFonts w:ascii="Arial" w:hAnsi="Arial" w:cs="Arial"/>
          <w:b/>
          <w:sz w:val="22"/>
          <w:szCs w:val="22"/>
        </w:rPr>
      </w:pPr>
    </w:p>
    <w:p w14:paraId="34E98525" w14:textId="77777777" w:rsidR="00AA1D6A" w:rsidRPr="002A2B45" w:rsidRDefault="00AA1D6A" w:rsidP="00BE43E5">
      <w:pPr>
        <w:tabs>
          <w:tab w:val="left" w:pos="540"/>
        </w:tabs>
        <w:spacing w:line="276" w:lineRule="auto"/>
        <w:ind w:left="2268"/>
        <w:jc w:val="both"/>
        <w:rPr>
          <w:rFonts w:ascii="Arial" w:hAnsi="Arial" w:cs="Arial"/>
          <w:sz w:val="22"/>
          <w:szCs w:val="22"/>
        </w:rPr>
      </w:pPr>
      <w:r w:rsidRPr="002A2B45">
        <w:rPr>
          <w:rFonts w:ascii="Arial" w:hAnsi="Arial" w:cs="Arial"/>
          <w:sz w:val="22"/>
          <w:szCs w:val="22"/>
        </w:rPr>
        <w:t xml:space="preserve">Bátaszék Város Önkormányzatának Képviselő-testülete </w:t>
      </w:r>
      <w:r w:rsidRPr="002A2B45">
        <w:rPr>
          <w:rFonts w:ascii="Arial" w:hAnsi="Arial" w:cs="Arial"/>
          <w:i/>
          <w:sz w:val="22"/>
          <w:szCs w:val="22"/>
        </w:rPr>
        <w:t>az államháztartásról szóló 2011. évi CXCV. törvény. 29/A. §-</w:t>
      </w:r>
      <w:proofErr w:type="spellStart"/>
      <w:r w:rsidRPr="002A2B45">
        <w:rPr>
          <w:rFonts w:ascii="Arial" w:hAnsi="Arial" w:cs="Arial"/>
          <w:i/>
          <w:sz w:val="22"/>
          <w:szCs w:val="22"/>
        </w:rPr>
        <w:t>ában</w:t>
      </w:r>
      <w:proofErr w:type="spellEnd"/>
      <w:r w:rsidRPr="002A2B45">
        <w:rPr>
          <w:rFonts w:ascii="Arial" w:hAnsi="Arial" w:cs="Arial"/>
          <w:sz w:val="22"/>
          <w:szCs w:val="22"/>
        </w:rPr>
        <w:t xml:space="preserve"> foglaltakra figyelemmel a város saját bevételeinek és adósságot keletkeztető ügyleteiből eredő fizetési kötelezettségeinek 202</w:t>
      </w:r>
      <w:r>
        <w:rPr>
          <w:rFonts w:ascii="Arial" w:hAnsi="Arial" w:cs="Arial"/>
          <w:sz w:val="22"/>
          <w:szCs w:val="22"/>
        </w:rPr>
        <w:t>7</w:t>
      </w:r>
      <w:r w:rsidRPr="002A2B45">
        <w:rPr>
          <w:rFonts w:ascii="Arial" w:hAnsi="Arial" w:cs="Arial"/>
          <w:sz w:val="22"/>
          <w:szCs w:val="22"/>
        </w:rPr>
        <w:t>-202</w:t>
      </w:r>
      <w:r>
        <w:rPr>
          <w:rFonts w:ascii="Arial" w:hAnsi="Arial" w:cs="Arial"/>
          <w:sz w:val="22"/>
          <w:szCs w:val="22"/>
        </w:rPr>
        <w:t>9</w:t>
      </w:r>
      <w:r w:rsidRPr="002A2B45">
        <w:rPr>
          <w:rFonts w:ascii="Arial" w:hAnsi="Arial" w:cs="Arial"/>
          <w:sz w:val="22"/>
          <w:szCs w:val="22"/>
        </w:rPr>
        <w:t>. évi középtávú tervét a határozat 1. melléklete szerinti tartalommal jóváhagyja.</w:t>
      </w:r>
    </w:p>
    <w:p w14:paraId="7DA5A678" w14:textId="77777777" w:rsidR="00AA1D6A" w:rsidRPr="002A2B45" w:rsidRDefault="00AA1D6A" w:rsidP="00BE43E5">
      <w:pPr>
        <w:tabs>
          <w:tab w:val="left" w:pos="540"/>
          <w:tab w:val="left" w:pos="2880"/>
        </w:tabs>
        <w:spacing w:line="276" w:lineRule="auto"/>
        <w:ind w:left="2268"/>
        <w:jc w:val="both"/>
        <w:rPr>
          <w:rFonts w:ascii="Arial" w:hAnsi="Arial" w:cs="Arial"/>
          <w:i/>
          <w:sz w:val="22"/>
          <w:szCs w:val="22"/>
        </w:rPr>
      </w:pPr>
    </w:p>
    <w:p w14:paraId="56F0351D" w14:textId="77777777" w:rsidR="00AA1D6A" w:rsidRPr="002A2B45" w:rsidRDefault="00AA1D6A" w:rsidP="00BE43E5">
      <w:pPr>
        <w:tabs>
          <w:tab w:val="left" w:pos="540"/>
          <w:tab w:val="left" w:pos="2880"/>
        </w:tabs>
        <w:spacing w:line="276" w:lineRule="auto"/>
        <w:ind w:left="2268"/>
        <w:jc w:val="both"/>
        <w:rPr>
          <w:rFonts w:ascii="Arial" w:hAnsi="Arial" w:cs="Arial"/>
          <w:i/>
          <w:sz w:val="22"/>
          <w:szCs w:val="22"/>
        </w:rPr>
      </w:pPr>
    </w:p>
    <w:p w14:paraId="58328C8D" w14:textId="77777777" w:rsidR="00AA1D6A" w:rsidRPr="002A2B45" w:rsidRDefault="00AA1D6A" w:rsidP="00BE43E5">
      <w:pPr>
        <w:tabs>
          <w:tab w:val="left" w:pos="540"/>
          <w:tab w:val="left" w:pos="2880"/>
        </w:tabs>
        <w:spacing w:line="276" w:lineRule="auto"/>
        <w:ind w:left="2268"/>
        <w:jc w:val="both"/>
        <w:rPr>
          <w:rFonts w:ascii="Arial" w:hAnsi="Arial" w:cs="Arial"/>
          <w:sz w:val="22"/>
          <w:szCs w:val="22"/>
        </w:rPr>
      </w:pPr>
      <w:r w:rsidRPr="002A2B45">
        <w:rPr>
          <w:rFonts w:ascii="Arial" w:hAnsi="Arial" w:cs="Arial"/>
          <w:i/>
          <w:sz w:val="22"/>
          <w:szCs w:val="22"/>
        </w:rPr>
        <w:t>Határidő:</w:t>
      </w:r>
      <w:r w:rsidRPr="002A2B45">
        <w:rPr>
          <w:rFonts w:ascii="Arial" w:hAnsi="Arial" w:cs="Arial"/>
          <w:sz w:val="22"/>
          <w:szCs w:val="22"/>
        </w:rPr>
        <w:t xml:space="preserve"> Azonnal</w:t>
      </w:r>
    </w:p>
    <w:p w14:paraId="2646D018" w14:textId="77777777" w:rsidR="00AA1D6A" w:rsidRPr="002A2B45" w:rsidRDefault="00AA1D6A" w:rsidP="00BE43E5">
      <w:pPr>
        <w:tabs>
          <w:tab w:val="left" w:pos="540"/>
          <w:tab w:val="left" w:pos="2880"/>
        </w:tabs>
        <w:spacing w:line="276" w:lineRule="auto"/>
        <w:ind w:left="2268"/>
        <w:jc w:val="both"/>
        <w:rPr>
          <w:rFonts w:ascii="Arial" w:hAnsi="Arial" w:cs="Arial"/>
          <w:sz w:val="22"/>
          <w:szCs w:val="22"/>
        </w:rPr>
      </w:pPr>
      <w:r w:rsidRPr="002A2B45">
        <w:rPr>
          <w:rFonts w:ascii="Arial" w:hAnsi="Arial" w:cs="Arial"/>
          <w:i/>
          <w:sz w:val="22"/>
          <w:szCs w:val="22"/>
        </w:rPr>
        <w:t>Felelős:</w:t>
      </w:r>
      <w:r w:rsidRPr="002A2B45">
        <w:rPr>
          <w:rFonts w:ascii="Arial" w:hAnsi="Arial" w:cs="Arial"/>
          <w:sz w:val="22"/>
          <w:szCs w:val="22"/>
        </w:rPr>
        <w:t xml:space="preserve"> Dr. Bozsolik Róbert polgármester</w:t>
      </w:r>
    </w:p>
    <w:p w14:paraId="05A9FE84" w14:textId="77777777" w:rsidR="00AA1D6A" w:rsidRPr="002A2B45" w:rsidRDefault="00AA1D6A" w:rsidP="00BE43E5">
      <w:pPr>
        <w:tabs>
          <w:tab w:val="left" w:pos="540"/>
          <w:tab w:val="left" w:pos="2880"/>
        </w:tabs>
        <w:spacing w:line="276" w:lineRule="auto"/>
        <w:ind w:left="2268"/>
        <w:jc w:val="both"/>
        <w:rPr>
          <w:rFonts w:ascii="Arial" w:hAnsi="Arial" w:cs="Arial"/>
          <w:sz w:val="22"/>
          <w:szCs w:val="22"/>
        </w:rPr>
      </w:pPr>
    </w:p>
    <w:p w14:paraId="6595C09A" w14:textId="77777777" w:rsidR="00AA1D6A" w:rsidRPr="002A2B45" w:rsidRDefault="00AA1D6A" w:rsidP="00BE43E5">
      <w:pPr>
        <w:tabs>
          <w:tab w:val="left" w:pos="540"/>
          <w:tab w:val="left" w:pos="2880"/>
        </w:tabs>
        <w:spacing w:line="276" w:lineRule="auto"/>
        <w:ind w:left="2268"/>
        <w:jc w:val="both"/>
      </w:pPr>
      <w:r w:rsidRPr="002A2B45">
        <w:rPr>
          <w:rFonts w:ascii="Arial" w:hAnsi="Arial" w:cs="Arial"/>
          <w:i/>
          <w:iCs/>
          <w:sz w:val="22"/>
          <w:szCs w:val="22"/>
        </w:rPr>
        <w:t>Határozatról értesül:</w:t>
      </w:r>
      <w:r w:rsidRPr="002A2B45">
        <w:rPr>
          <w:rFonts w:ascii="Arial" w:hAnsi="Arial" w:cs="Arial"/>
          <w:sz w:val="22"/>
          <w:szCs w:val="22"/>
        </w:rPr>
        <w:t xml:space="preserve"> Bátaszéki KÖH pénzügyi iroda</w:t>
      </w:r>
    </w:p>
    <w:p w14:paraId="3D0ACC0E" w14:textId="77777777" w:rsidR="00AA1D6A" w:rsidRPr="002A2B45" w:rsidRDefault="00AA1D6A" w:rsidP="00BE43E5">
      <w:pPr>
        <w:tabs>
          <w:tab w:val="left" w:pos="540"/>
          <w:tab w:val="left" w:pos="2880"/>
        </w:tabs>
        <w:spacing w:line="276" w:lineRule="auto"/>
        <w:ind w:left="2268"/>
        <w:jc w:val="both"/>
        <w:rPr>
          <w:rFonts w:ascii="Arial" w:hAnsi="Arial" w:cs="Arial"/>
          <w:sz w:val="22"/>
          <w:szCs w:val="22"/>
        </w:rPr>
      </w:pPr>
      <w:r w:rsidRPr="002A2B45">
        <w:t xml:space="preserve">                                  </w:t>
      </w:r>
      <w:proofErr w:type="gramStart"/>
      <w:r w:rsidRPr="002A2B45">
        <w:rPr>
          <w:rFonts w:ascii="Arial" w:hAnsi="Arial" w:cs="Arial"/>
          <w:sz w:val="22"/>
          <w:szCs w:val="22"/>
        </w:rPr>
        <w:t>irattár</w:t>
      </w:r>
      <w:proofErr w:type="gramEnd"/>
    </w:p>
    <w:p w14:paraId="34E19AA7" w14:textId="5471CCB9" w:rsidR="00AA1D6A" w:rsidRDefault="00AA1D6A" w:rsidP="00BE43E5">
      <w:pPr>
        <w:tabs>
          <w:tab w:val="center" w:pos="4536"/>
          <w:tab w:val="right" w:pos="5160"/>
          <w:tab w:val="right" w:pos="9072"/>
        </w:tabs>
        <w:overflowPunct w:val="0"/>
        <w:autoSpaceDE w:val="0"/>
        <w:autoSpaceDN w:val="0"/>
        <w:adjustRightInd w:val="0"/>
        <w:spacing w:line="276" w:lineRule="auto"/>
        <w:textAlignment w:val="baseline"/>
        <w:rPr>
          <w:rFonts w:ascii="Arial" w:hAnsi="Arial" w:cs="Arial"/>
          <w:b/>
          <w:sz w:val="22"/>
          <w:szCs w:val="22"/>
          <w:lang w:eastAsia="hu-HU"/>
        </w:rPr>
      </w:pPr>
    </w:p>
    <w:p w14:paraId="2CC7ABFA" w14:textId="2161D43C" w:rsidR="00AA1D6A" w:rsidRDefault="00AA1D6A"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4117C741" w14:textId="24B7F73A" w:rsidR="00AA1D6A" w:rsidRDefault="00AA1D6A">
      <w:pPr>
        <w:rPr>
          <w:rFonts w:ascii="Arial" w:hAnsi="Arial" w:cs="Arial"/>
          <w:b/>
          <w:sz w:val="22"/>
          <w:szCs w:val="22"/>
          <w:lang w:eastAsia="hu-HU"/>
        </w:rPr>
      </w:pPr>
      <w:r>
        <w:rPr>
          <w:rFonts w:ascii="Arial" w:hAnsi="Arial" w:cs="Arial"/>
          <w:b/>
          <w:sz w:val="22"/>
          <w:szCs w:val="22"/>
          <w:lang w:eastAsia="hu-HU"/>
        </w:rPr>
        <w:br w:type="page"/>
      </w:r>
    </w:p>
    <w:p w14:paraId="47B40180" w14:textId="77777777" w:rsidR="00BE43E5" w:rsidRPr="00543402" w:rsidRDefault="00BE43E5" w:rsidP="00BE43E5">
      <w:pPr>
        <w:pStyle w:val="Listaszerbekezds"/>
        <w:numPr>
          <w:ilvl w:val="0"/>
          <w:numId w:val="19"/>
        </w:numPr>
        <w:jc w:val="right"/>
        <w:rPr>
          <w:sz w:val="20"/>
          <w:szCs w:val="20"/>
        </w:rPr>
      </w:pPr>
      <w:r w:rsidRPr="00543402">
        <w:rPr>
          <w:sz w:val="20"/>
          <w:szCs w:val="20"/>
        </w:rPr>
        <w:t>melléklet</w:t>
      </w:r>
    </w:p>
    <w:p w14:paraId="5FAA6C75" w14:textId="77777777" w:rsidR="00BE43E5" w:rsidRPr="00ED6B41" w:rsidRDefault="00BE43E5" w:rsidP="00BE43E5">
      <w:pPr>
        <w:tabs>
          <w:tab w:val="num" w:pos="0"/>
        </w:tabs>
        <w:jc w:val="center"/>
        <w:rPr>
          <w:b/>
          <w:sz w:val="20"/>
          <w:szCs w:val="20"/>
        </w:rPr>
      </w:pPr>
      <w:r w:rsidRPr="00ED6B41">
        <w:rPr>
          <w:b/>
          <w:sz w:val="20"/>
          <w:szCs w:val="20"/>
        </w:rPr>
        <w:t>Bátaszék Város Önkormányzat adósságot keletkeztető ügyleteiből eredő fizetési kötelezettségeinek bemutatása</w:t>
      </w:r>
    </w:p>
    <w:p w14:paraId="40943C05" w14:textId="77777777" w:rsidR="00AA1D6A" w:rsidRPr="002A2B45" w:rsidRDefault="00AA1D6A"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tbl>
      <w:tblPr>
        <w:tblW w:w="9980" w:type="dxa"/>
        <w:tblCellMar>
          <w:left w:w="70" w:type="dxa"/>
          <w:right w:w="70" w:type="dxa"/>
        </w:tblCellMar>
        <w:tblLook w:val="04A0" w:firstRow="1" w:lastRow="0" w:firstColumn="1" w:lastColumn="0" w:noHBand="0" w:noVBand="1"/>
      </w:tblPr>
      <w:tblGrid>
        <w:gridCol w:w="3660"/>
        <w:gridCol w:w="880"/>
        <w:gridCol w:w="1420"/>
        <w:gridCol w:w="1360"/>
        <w:gridCol w:w="1300"/>
        <w:gridCol w:w="1360"/>
      </w:tblGrid>
      <w:tr w:rsidR="00374262" w14:paraId="2F5A7410" w14:textId="77777777" w:rsidTr="00374262">
        <w:trPr>
          <w:trHeight w:val="300"/>
        </w:trPr>
        <w:tc>
          <w:tcPr>
            <w:tcW w:w="3660" w:type="dxa"/>
            <w:vMerge w:val="restart"/>
            <w:tcBorders>
              <w:top w:val="single" w:sz="8" w:space="0" w:color="auto"/>
              <w:left w:val="single" w:sz="8" w:space="0" w:color="auto"/>
              <w:bottom w:val="single" w:sz="4" w:space="0" w:color="auto"/>
              <w:right w:val="single" w:sz="4" w:space="0" w:color="auto"/>
            </w:tcBorders>
            <w:vAlign w:val="center"/>
            <w:hideMark/>
          </w:tcPr>
          <w:p w14:paraId="4AEF360D" w14:textId="77777777" w:rsidR="00374262" w:rsidRDefault="00374262">
            <w:pPr>
              <w:jc w:val="center"/>
              <w:rPr>
                <w:b/>
                <w:bCs/>
                <w:color w:val="000000"/>
                <w:sz w:val="18"/>
                <w:szCs w:val="18"/>
                <w:lang w:eastAsia="hu-HU"/>
              </w:rPr>
            </w:pPr>
            <w:r>
              <w:rPr>
                <w:b/>
                <w:bCs/>
                <w:color w:val="000000"/>
                <w:sz w:val="18"/>
                <w:szCs w:val="18"/>
              </w:rPr>
              <w:t>MEGNEVEZÉS</w:t>
            </w:r>
          </w:p>
        </w:tc>
        <w:tc>
          <w:tcPr>
            <w:tcW w:w="880" w:type="dxa"/>
            <w:vMerge w:val="restart"/>
            <w:tcBorders>
              <w:top w:val="single" w:sz="8" w:space="0" w:color="auto"/>
              <w:left w:val="single" w:sz="4" w:space="0" w:color="auto"/>
              <w:bottom w:val="single" w:sz="4" w:space="0" w:color="auto"/>
              <w:right w:val="single" w:sz="4" w:space="0" w:color="auto"/>
            </w:tcBorders>
            <w:vAlign w:val="center"/>
            <w:hideMark/>
          </w:tcPr>
          <w:p w14:paraId="55F96BE9" w14:textId="77777777" w:rsidR="00374262" w:rsidRDefault="00374262">
            <w:pPr>
              <w:jc w:val="center"/>
              <w:rPr>
                <w:b/>
                <w:bCs/>
                <w:color w:val="000000"/>
                <w:sz w:val="18"/>
                <w:szCs w:val="18"/>
              </w:rPr>
            </w:pPr>
            <w:r>
              <w:rPr>
                <w:b/>
                <w:bCs/>
                <w:color w:val="000000"/>
                <w:sz w:val="18"/>
                <w:szCs w:val="18"/>
              </w:rPr>
              <w:t>Sorszám</w:t>
            </w:r>
          </w:p>
        </w:tc>
        <w:tc>
          <w:tcPr>
            <w:tcW w:w="4080"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5CADA5A8" w14:textId="77777777" w:rsidR="00374262" w:rsidRDefault="00374262">
            <w:pPr>
              <w:jc w:val="center"/>
              <w:rPr>
                <w:b/>
                <w:bCs/>
                <w:color w:val="000000"/>
                <w:sz w:val="18"/>
                <w:szCs w:val="18"/>
              </w:rPr>
            </w:pPr>
            <w:r>
              <w:rPr>
                <w:b/>
                <w:bCs/>
                <w:color w:val="000000"/>
                <w:sz w:val="18"/>
                <w:szCs w:val="18"/>
              </w:rPr>
              <w:t>Saját bevétel és adósságot keletkeztető ügyletből eredő fizetési kötelezettség összegei</w:t>
            </w:r>
          </w:p>
        </w:tc>
        <w:tc>
          <w:tcPr>
            <w:tcW w:w="1360" w:type="dxa"/>
            <w:tcBorders>
              <w:top w:val="single" w:sz="8" w:space="0" w:color="auto"/>
              <w:left w:val="nil"/>
              <w:bottom w:val="single" w:sz="4" w:space="0" w:color="auto"/>
              <w:right w:val="single" w:sz="8" w:space="0" w:color="auto"/>
            </w:tcBorders>
            <w:vAlign w:val="center"/>
            <w:hideMark/>
          </w:tcPr>
          <w:p w14:paraId="0CB8F9F9" w14:textId="77777777" w:rsidR="00374262" w:rsidRDefault="00374262">
            <w:pPr>
              <w:jc w:val="center"/>
              <w:rPr>
                <w:b/>
                <w:bCs/>
                <w:color w:val="000000"/>
                <w:sz w:val="18"/>
                <w:szCs w:val="18"/>
              </w:rPr>
            </w:pPr>
            <w:r>
              <w:rPr>
                <w:b/>
                <w:bCs/>
                <w:color w:val="000000"/>
                <w:sz w:val="18"/>
                <w:szCs w:val="18"/>
              </w:rPr>
              <w:t>ÖSSZESEN</w:t>
            </w:r>
          </w:p>
        </w:tc>
      </w:tr>
      <w:tr w:rsidR="00374262" w14:paraId="24687180" w14:textId="77777777" w:rsidTr="00374262">
        <w:trPr>
          <w:trHeight w:val="300"/>
        </w:trPr>
        <w:tc>
          <w:tcPr>
            <w:tcW w:w="3660" w:type="dxa"/>
            <w:vMerge/>
            <w:tcBorders>
              <w:top w:val="single" w:sz="8" w:space="0" w:color="auto"/>
              <w:left w:val="single" w:sz="8" w:space="0" w:color="auto"/>
              <w:bottom w:val="single" w:sz="4" w:space="0" w:color="auto"/>
              <w:right w:val="single" w:sz="4" w:space="0" w:color="auto"/>
            </w:tcBorders>
            <w:vAlign w:val="center"/>
            <w:hideMark/>
          </w:tcPr>
          <w:p w14:paraId="3C2362E7" w14:textId="77777777" w:rsidR="00374262" w:rsidRDefault="00374262">
            <w:pPr>
              <w:rPr>
                <w:b/>
                <w:bCs/>
                <w:color w:val="000000"/>
                <w:sz w:val="18"/>
                <w:szCs w:val="18"/>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349610A2" w14:textId="77777777" w:rsidR="00374262" w:rsidRDefault="00374262">
            <w:pPr>
              <w:rPr>
                <w:b/>
                <w:bCs/>
                <w:color w:val="000000"/>
                <w:sz w:val="18"/>
                <w:szCs w:val="18"/>
              </w:rPr>
            </w:pPr>
          </w:p>
        </w:tc>
        <w:tc>
          <w:tcPr>
            <w:tcW w:w="4080" w:type="dxa"/>
            <w:gridSpan w:val="3"/>
            <w:vMerge/>
            <w:tcBorders>
              <w:top w:val="single" w:sz="8" w:space="0" w:color="auto"/>
              <w:left w:val="single" w:sz="4" w:space="0" w:color="auto"/>
              <w:bottom w:val="single" w:sz="4" w:space="0" w:color="auto"/>
              <w:right w:val="single" w:sz="4" w:space="0" w:color="auto"/>
            </w:tcBorders>
            <w:vAlign w:val="center"/>
            <w:hideMark/>
          </w:tcPr>
          <w:p w14:paraId="7C08F316" w14:textId="77777777" w:rsidR="00374262" w:rsidRDefault="00374262">
            <w:pPr>
              <w:rPr>
                <w:b/>
                <w:bCs/>
                <w:color w:val="000000"/>
                <w:sz w:val="18"/>
                <w:szCs w:val="18"/>
              </w:rPr>
            </w:pPr>
          </w:p>
        </w:tc>
        <w:tc>
          <w:tcPr>
            <w:tcW w:w="1360" w:type="dxa"/>
            <w:tcBorders>
              <w:top w:val="nil"/>
              <w:left w:val="nil"/>
              <w:bottom w:val="single" w:sz="4" w:space="0" w:color="auto"/>
              <w:right w:val="single" w:sz="8" w:space="0" w:color="auto"/>
            </w:tcBorders>
            <w:vAlign w:val="center"/>
            <w:hideMark/>
          </w:tcPr>
          <w:p w14:paraId="7E6283D5" w14:textId="77777777" w:rsidR="00374262" w:rsidRDefault="00374262">
            <w:pPr>
              <w:jc w:val="center"/>
              <w:rPr>
                <w:b/>
                <w:bCs/>
                <w:color w:val="000000"/>
                <w:sz w:val="18"/>
                <w:szCs w:val="18"/>
              </w:rPr>
            </w:pPr>
            <w:r>
              <w:rPr>
                <w:b/>
                <w:bCs/>
                <w:color w:val="000000"/>
                <w:sz w:val="18"/>
                <w:szCs w:val="18"/>
              </w:rPr>
              <w:t>F=(C+D+E)</w:t>
            </w:r>
          </w:p>
        </w:tc>
      </w:tr>
      <w:tr w:rsidR="00374262" w14:paraId="5F6D9C77" w14:textId="77777777" w:rsidTr="00374262">
        <w:trPr>
          <w:trHeight w:val="300"/>
        </w:trPr>
        <w:tc>
          <w:tcPr>
            <w:tcW w:w="3660" w:type="dxa"/>
            <w:vMerge/>
            <w:tcBorders>
              <w:top w:val="single" w:sz="8" w:space="0" w:color="auto"/>
              <w:left w:val="single" w:sz="8" w:space="0" w:color="auto"/>
              <w:bottom w:val="single" w:sz="4" w:space="0" w:color="auto"/>
              <w:right w:val="single" w:sz="4" w:space="0" w:color="auto"/>
            </w:tcBorders>
            <w:vAlign w:val="center"/>
            <w:hideMark/>
          </w:tcPr>
          <w:p w14:paraId="55D6FD5C" w14:textId="77777777" w:rsidR="00374262" w:rsidRDefault="00374262">
            <w:pPr>
              <w:rPr>
                <w:b/>
                <w:bCs/>
                <w:color w:val="000000"/>
                <w:sz w:val="18"/>
                <w:szCs w:val="18"/>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33C2A5AA" w14:textId="77777777" w:rsidR="00374262" w:rsidRDefault="00374262">
            <w:pPr>
              <w:rPr>
                <w:b/>
                <w:bCs/>
                <w:color w:val="000000"/>
                <w:sz w:val="18"/>
                <w:szCs w:val="18"/>
              </w:rPr>
            </w:pPr>
          </w:p>
        </w:tc>
        <w:tc>
          <w:tcPr>
            <w:tcW w:w="1420" w:type="dxa"/>
            <w:tcBorders>
              <w:top w:val="nil"/>
              <w:left w:val="nil"/>
              <w:bottom w:val="single" w:sz="4" w:space="0" w:color="auto"/>
              <w:right w:val="single" w:sz="4" w:space="0" w:color="auto"/>
            </w:tcBorders>
            <w:vAlign w:val="center"/>
            <w:hideMark/>
          </w:tcPr>
          <w:p w14:paraId="4D5A2C2B" w14:textId="77777777" w:rsidR="00374262" w:rsidRDefault="00374262">
            <w:pPr>
              <w:jc w:val="center"/>
              <w:rPr>
                <w:b/>
                <w:bCs/>
                <w:color w:val="000000"/>
                <w:sz w:val="16"/>
                <w:szCs w:val="16"/>
              </w:rPr>
            </w:pPr>
            <w:r>
              <w:rPr>
                <w:b/>
                <w:bCs/>
                <w:color w:val="000000"/>
                <w:sz w:val="16"/>
                <w:szCs w:val="16"/>
              </w:rPr>
              <w:t>2027.</w:t>
            </w:r>
          </w:p>
        </w:tc>
        <w:tc>
          <w:tcPr>
            <w:tcW w:w="1360" w:type="dxa"/>
            <w:tcBorders>
              <w:top w:val="nil"/>
              <w:left w:val="nil"/>
              <w:bottom w:val="single" w:sz="4" w:space="0" w:color="auto"/>
              <w:right w:val="single" w:sz="4" w:space="0" w:color="auto"/>
            </w:tcBorders>
            <w:vAlign w:val="center"/>
            <w:hideMark/>
          </w:tcPr>
          <w:p w14:paraId="175D5D6B" w14:textId="77777777" w:rsidR="00374262" w:rsidRDefault="00374262">
            <w:pPr>
              <w:jc w:val="center"/>
              <w:rPr>
                <w:b/>
                <w:bCs/>
                <w:color w:val="000000"/>
                <w:sz w:val="16"/>
                <w:szCs w:val="16"/>
              </w:rPr>
            </w:pPr>
            <w:r>
              <w:rPr>
                <w:b/>
                <w:bCs/>
                <w:color w:val="000000"/>
                <w:sz w:val="16"/>
                <w:szCs w:val="16"/>
              </w:rPr>
              <w:t>2028.</w:t>
            </w:r>
          </w:p>
        </w:tc>
        <w:tc>
          <w:tcPr>
            <w:tcW w:w="1300" w:type="dxa"/>
            <w:tcBorders>
              <w:top w:val="nil"/>
              <w:left w:val="nil"/>
              <w:bottom w:val="single" w:sz="4" w:space="0" w:color="auto"/>
              <w:right w:val="single" w:sz="4" w:space="0" w:color="auto"/>
            </w:tcBorders>
            <w:vAlign w:val="center"/>
            <w:hideMark/>
          </w:tcPr>
          <w:p w14:paraId="73D585A5" w14:textId="77777777" w:rsidR="00374262" w:rsidRDefault="00374262">
            <w:pPr>
              <w:jc w:val="center"/>
              <w:rPr>
                <w:b/>
                <w:bCs/>
                <w:color w:val="000000"/>
                <w:sz w:val="16"/>
                <w:szCs w:val="16"/>
              </w:rPr>
            </w:pPr>
            <w:r>
              <w:rPr>
                <w:b/>
                <w:bCs/>
                <w:color w:val="000000"/>
                <w:sz w:val="16"/>
                <w:szCs w:val="16"/>
              </w:rPr>
              <w:t>2029.</w:t>
            </w:r>
          </w:p>
        </w:tc>
        <w:tc>
          <w:tcPr>
            <w:tcW w:w="1360" w:type="dxa"/>
            <w:tcBorders>
              <w:top w:val="nil"/>
              <w:left w:val="nil"/>
              <w:bottom w:val="single" w:sz="4" w:space="0" w:color="auto"/>
              <w:right w:val="single" w:sz="8" w:space="0" w:color="auto"/>
            </w:tcBorders>
            <w:vAlign w:val="center"/>
            <w:hideMark/>
          </w:tcPr>
          <w:p w14:paraId="6174F87C" w14:textId="77777777" w:rsidR="00374262" w:rsidRDefault="00374262">
            <w:pPr>
              <w:rPr>
                <w:rFonts w:ascii="Calibri" w:hAnsi="Calibri" w:cs="Calibri"/>
                <w:color w:val="000000"/>
                <w:sz w:val="22"/>
                <w:szCs w:val="22"/>
              </w:rPr>
            </w:pPr>
            <w:r>
              <w:rPr>
                <w:rFonts w:ascii="Calibri" w:hAnsi="Calibri" w:cs="Calibri"/>
                <w:color w:val="000000"/>
                <w:sz w:val="22"/>
                <w:szCs w:val="22"/>
              </w:rPr>
              <w:t> </w:t>
            </w:r>
          </w:p>
        </w:tc>
      </w:tr>
      <w:tr w:rsidR="00374262" w14:paraId="38AED4E2" w14:textId="77777777" w:rsidTr="00374262">
        <w:trPr>
          <w:trHeight w:val="315"/>
        </w:trPr>
        <w:tc>
          <w:tcPr>
            <w:tcW w:w="3660" w:type="dxa"/>
            <w:tcBorders>
              <w:top w:val="nil"/>
              <w:left w:val="single" w:sz="8" w:space="0" w:color="auto"/>
              <w:bottom w:val="single" w:sz="8" w:space="0" w:color="auto"/>
              <w:right w:val="single" w:sz="4" w:space="0" w:color="auto"/>
            </w:tcBorders>
            <w:vAlign w:val="center"/>
            <w:hideMark/>
          </w:tcPr>
          <w:p w14:paraId="0B185EE5" w14:textId="77777777" w:rsidR="00374262" w:rsidRDefault="00374262">
            <w:pPr>
              <w:jc w:val="center"/>
              <w:rPr>
                <w:b/>
                <w:bCs/>
                <w:color w:val="000000"/>
                <w:sz w:val="16"/>
                <w:szCs w:val="16"/>
              </w:rPr>
            </w:pPr>
            <w:r>
              <w:rPr>
                <w:b/>
                <w:bCs/>
                <w:color w:val="000000"/>
                <w:sz w:val="16"/>
                <w:szCs w:val="16"/>
              </w:rPr>
              <w:t>A</w:t>
            </w:r>
          </w:p>
        </w:tc>
        <w:tc>
          <w:tcPr>
            <w:tcW w:w="880" w:type="dxa"/>
            <w:tcBorders>
              <w:top w:val="nil"/>
              <w:left w:val="nil"/>
              <w:bottom w:val="single" w:sz="8" w:space="0" w:color="auto"/>
              <w:right w:val="single" w:sz="4" w:space="0" w:color="auto"/>
            </w:tcBorders>
            <w:vAlign w:val="center"/>
            <w:hideMark/>
          </w:tcPr>
          <w:p w14:paraId="40FD2C9E" w14:textId="77777777" w:rsidR="00374262" w:rsidRDefault="00374262">
            <w:pPr>
              <w:jc w:val="center"/>
              <w:rPr>
                <w:b/>
                <w:bCs/>
                <w:color w:val="000000"/>
                <w:sz w:val="16"/>
                <w:szCs w:val="16"/>
              </w:rPr>
            </w:pPr>
            <w:r>
              <w:rPr>
                <w:b/>
                <w:bCs/>
                <w:color w:val="000000"/>
                <w:sz w:val="16"/>
                <w:szCs w:val="16"/>
              </w:rPr>
              <w:t>B</w:t>
            </w:r>
          </w:p>
        </w:tc>
        <w:tc>
          <w:tcPr>
            <w:tcW w:w="1420" w:type="dxa"/>
            <w:tcBorders>
              <w:top w:val="nil"/>
              <w:left w:val="nil"/>
              <w:bottom w:val="single" w:sz="8" w:space="0" w:color="auto"/>
              <w:right w:val="single" w:sz="4" w:space="0" w:color="auto"/>
            </w:tcBorders>
            <w:vAlign w:val="center"/>
            <w:hideMark/>
          </w:tcPr>
          <w:p w14:paraId="4BA5706E" w14:textId="77777777" w:rsidR="00374262" w:rsidRDefault="00374262">
            <w:pPr>
              <w:jc w:val="center"/>
              <w:rPr>
                <w:b/>
                <w:bCs/>
                <w:color w:val="000000"/>
                <w:sz w:val="16"/>
                <w:szCs w:val="16"/>
              </w:rPr>
            </w:pPr>
            <w:r>
              <w:rPr>
                <w:b/>
                <w:bCs/>
                <w:color w:val="000000"/>
                <w:sz w:val="16"/>
                <w:szCs w:val="16"/>
              </w:rPr>
              <w:t>C</w:t>
            </w:r>
          </w:p>
        </w:tc>
        <w:tc>
          <w:tcPr>
            <w:tcW w:w="1360" w:type="dxa"/>
            <w:tcBorders>
              <w:top w:val="nil"/>
              <w:left w:val="nil"/>
              <w:bottom w:val="single" w:sz="8" w:space="0" w:color="auto"/>
              <w:right w:val="single" w:sz="4" w:space="0" w:color="auto"/>
            </w:tcBorders>
            <w:vAlign w:val="center"/>
            <w:hideMark/>
          </w:tcPr>
          <w:p w14:paraId="24D70D4B" w14:textId="77777777" w:rsidR="00374262" w:rsidRDefault="00374262">
            <w:pPr>
              <w:jc w:val="center"/>
              <w:rPr>
                <w:b/>
                <w:bCs/>
                <w:color w:val="000000"/>
                <w:sz w:val="16"/>
                <w:szCs w:val="16"/>
              </w:rPr>
            </w:pPr>
            <w:r>
              <w:rPr>
                <w:b/>
                <w:bCs/>
                <w:color w:val="000000"/>
                <w:sz w:val="16"/>
                <w:szCs w:val="16"/>
              </w:rPr>
              <w:t>D</w:t>
            </w:r>
          </w:p>
        </w:tc>
        <w:tc>
          <w:tcPr>
            <w:tcW w:w="1300" w:type="dxa"/>
            <w:tcBorders>
              <w:top w:val="nil"/>
              <w:left w:val="nil"/>
              <w:bottom w:val="single" w:sz="8" w:space="0" w:color="auto"/>
              <w:right w:val="single" w:sz="4" w:space="0" w:color="auto"/>
            </w:tcBorders>
            <w:vAlign w:val="center"/>
            <w:hideMark/>
          </w:tcPr>
          <w:p w14:paraId="6925CE36" w14:textId="77777777" w:rsidR="00374262" w:rsidRDefault="00374262">
            <w:pPr>
              <w:jc w:val="center"/>
              <w:rPr>
                <w:b/>
                <w:bCs/>
                <w:color w:val="000000"/>
                <w:sz w:val="16"/>
                <w:szCs w:val="16"/>
              </w:rPr>
            </w:pPr>
            <w:r>
              <w:rPr>
                <w:b/>
                <w:bCs/>
                <w:color w:val="000000"/>
                <w:sz w:val="16"/>
                <w:szCs w:val="16"/>
              </w:rPr>
              <w:t>E</w:t>
            </w:r>
          </w:p>
        </w:tc>
        <w:tc>
          <w:tcPr>
            <w:tcW w:w="1360" w:type="dxa"/>
            <w:tcBorders>
              <w:top w:val="nil"/>
              <w:left w:val="nil"/>
              <w:bottom w:val="single" w:sz="8" w:space="0" w:color="auto"/>
              <w:right w:val="single" w:sz="8" w:space="0" w:color="auto"/>
            </w:tcBorders>
            <w:vAlign w:val="center"/>
            <w:hideMark/>
          </w:tcPr>
          <w:p w14:paraId="6A64D0E5" w14:textId="77777777" w:rsidR="00374262" w:rsidRDefault="00374262">
            <w:pPr>
              <w:jc w:val="center"/>
              <w:rPr>
                <w:b/>
                <w:bCs/>
                <w:color w:val="000000"/>
                <w:sz w:val="16"/>
                <w:szCs w:val="16"/>
              </w:rPr>
            </w:pPr>
            <w:r>
              <w:rPr>
                <w:b/>
                <w:bCs/>
                <w:color w:val="000000"/>
                <w:sz w:val="16"/>
                <w:szCs w:val="16"/>
              </w:rPr>
              <w:t>F</w:t>
            </w:r>
          </w:p>
        </w:tc>
      </w:tr>
      <w:tr w:rsidR="00374262" w14:paraId="601D0788" w14:textId="77777777" w:rsidTr="00374262">
        <w:trPr>
          <w:trHeight w:val="300"/>
        </w:trPr>
        <w:tc>
          <w:tcPr>
            <w:tcW w:w="3660" w:type="dxa"/>
            <w:tcBorders>
              <w:top w:val="nil"/>
              <w:left w:val="single" w:sz="8" w:space="0" w:color="auto"/>
              <w:bottom w:val="single" w:sz="4" w:space="0" w:color="auto"/>
              <w:right w:val="single" w:sz="4" w:space="0" w:color="auto"/>
            </w:tcBorders>
            <w:vAlign w:val="center"/>
            <w:hideMark/>
          </w:tcPr>
          <w:p w14:paraId="2629A6F6" w14:textId="77777777" w:rsidR="00374262" w:rsidRDefault="00374262">
            <w:pPr>
              <w:rPr>
                <w:color w:val="000000"/>
                <w:sz w:val="14"/>
                <w:szCs w:val="14"/>
              </w:rPr>
            </w:pPr>
            <w:r>
              <w:rPr>
                <w:color w:val="000000"/>
                <w:sz w:val="14"/>
                <w:szCs w:val="14"/>
              </w:rPr>
              <w:t>Helyi adóból és a települési adóból származó bevétel</w:t>
            </w:r>
          </w:p>
        </w:tc>
        <w:tc>
          <w:tcPr>
            <w:tcW w:w="880" w:type="dxa"/>
            <w:tcBorders>
              <w:top w:val="nil"/>
              <w:left w:val="nil"/>
              <w:bottom w:val="single" w:sz="4" w:space="0" w:color="auto"/>
              <w:right w:val="single" w:sz="4" w:space="0" w:color="auto"/>
            </w:tcBorders>
            <w:vAlign w:val="center"/>
            <w:hideMark/>
          </w:tcPr>
          <w:p w14:paraId="26F70270" w14:textId="77777777" w:rsidR="00374262" w:rsidRDefault="00374262">
            <w:pPr>
              <w:jc w:val="center"/>
              <w:rPr>
                <w:color w:val="000000"/>
                <w:sz w:val="16"/>
                <w:szCs w:val="16"/>
              </w:rPr>
            </w:pPr>
            <w:r>
              <w:rPr>
                <w:color w:val="000000"/>
                <w:sz w:val="16"/>
                <w:szCs w:val="16"/>
              </w:rPr>
              <w:t>1</w:t>
            </w:r>
          </w:p>
        </w:tc>
        <w:tc>
          <w:tcPr>
            <w:tcW w:w="1420" w:type="dxa"/>
            <w:tcBorders>
              <w:top w:val="nil"/>
              <w:left w:val="nil"/>
              <w:bottom w:val="single" w:sz="4" w:space="0" w:color="auto"/>
              <w:right w:val="single" w:sz="4" w:space="0" w:color="auto"/>
            </w:tcBorders>
            <w:vAlign w:val="center"/>
            <w:hideMark/>
          </w:tcPr>
          <w:p w14:paraId="6D2538B5" w14:textId="77777777" w:rsidR="00374262" w:rsidRDefault="00374262">
            <w:pPr>
              <w:jc w:val="right"/>
              <w:rPr>
                <w:color w:val="000000"/>
                <w:sz w:val="16"/>
                <w:szCs w:val="16"/>
              </w:rPr>
            </w:pPr>
            <w:r>
              <w:rPr>
                <w:color w:val="000000"/>
                <w:sz w:val="16"/>
                <w:szCs w:val="16"/>
              </w:rPr>
              <w:t>530 000 000</w:t>
            </w:r>
          </w:p>
        </w:tc>
        <w:tc>
          <w:tcPr>
            <w:tcW w:w="1360" w:type="dxa"/>
            <w:tcBorders>
              <w:top w:val="nil"/>
              <w:left w:val="nil"/>
              <w:bottom w:val="single" w:sz="4" w:space="0" w:color="auto"/>
              <w:right w:val="single" w:sz="4" w:space="0" w:color="auto"/>
            </w:tcBorders>
            <w:vAlign w:val="center"/>
            <w:hideMark/>
          </w:tcPr>
          <w:p w14:paraId="47FD7688" w14:textId="77777777" w:rsidR="00374262" w:rsidRDefault="00374262">
            <w:pPr>
              <w:jc w:val="right"/>
              <w:rPr>
                <w:color w:val="000000"/>
                <w:sz w:val="16"/>
                <w:szCs w:val="16"/>
              </w:rPr>
            </w:pPr>
            <w:r>
              <w:rPr>
                <w:color w:val="000000"/>
                <w:sz w:val="16"/>
                <w:szCs w:val="16"/>
              </w:rPr>
              <w:t>535 000 000</w:t>
            </w:r>
          </w:p>
        </w:tc>
        <w:tc>
          <w:tcPr>
            <w:tcW w:w="1300" w:type="dxa"/>
            <w:tcBorders>
              <w:top w:val="nil"/>
              <w:left w:val="nil"/>
              <w:bottom w:val="single" w:sz="4" w:space="0" w:color="auto"/>
              <w:right w:val="single" w:sz="4" w:space="0" w:color="auto"/>
            </w:tcBorders>
            <w:vAlign w:val="center"/>
            <w:hideMark/>
          </w:tcPr>
          <w:p w14:paraId="61B92622" w14:textId="77777777" w:rsidR="00374262" w:rsidRDefault="00374262">
            <w:pPr>
              <w:jc w:val="right"/>
              <w:rPr>
                <w:color w:val="000000"/>
                <w:sz w:val="16"/>
                <w:szCs w:val="16"/>
              </w:rPr>
            </w:pPr>
            <w:r>
              <w:rPr>
                <w:color w:val="000000"/>
                <w:sz w:val="16"/>
                <w:szCs w:val="16"/>
              </w:rPr>
              <w:t>535 000 000</w:t>
            </w:r>
          </w:p>
        </w:tc>
        <w:tc>
          <w:tcPr>
            <w:tcW w:w="1360" w:type="dxa"/>
            <w:tcBorders>
              <w:top w:val="nil"/>
              <w:left w:val="nil"/>
              <w:bottom w:val="single" w:sz="4" w:space="0" w:color="auto"/>
              <w:right w:val="single" w:sz="8" w:space="0" w:color="auto"/>
            </w:tcBorders>
            <w:vAlign w:val="center"/>
            <w:hideMark/>
          </w:tcPr>
          <w:p w14:paraId="16F8C151" w14:textId="77777777" w:rsidR="00374262" w:rsidRDefault="00374262">
            <w:pPr>
              <w:ind w:firstLineChars="100" w:firstLine="160"/>
              <w:jc w:val="right"/>
              <w:rPr>
                <w:b/>
                <w:bCs/>
                <w:color w:val="000000"/>
                <w:sz w:val="16"/>
                <w:szCs w:val="16"/>
              </w:rPr>
            </w:pPr>
            <w:r>
              <w:rPr>
                <w:b/>
                <w:bCs/>
                <w:color w:val="000000"/>
                <w:sz w:val="16"/>
                <w:szCs w:val="16"/>
              </w:rPr>
              <w:t>1 600 000 000</w:t>
            </w:r>
          </w:p>
        </w:tc>
      </w:tr>
      <w:tr w:rsidR="00374262" w14:paraId="701F7235" w14:textId="77777777" w:rsidTr="00374262">
        <w:trPr>
          <w:trHeight w:val="630"/>
        </w:trPr>
        <w:tc>
          <w:tcPr>
            <w:tcW w:w="3660" w:type="dxa"/>
            <w:tcBorders>
              <w:top w:val="nil"/>
              <w:left w:val="single" w:sz="8" w:space="0" w:color="auto"/>
              <w:bottom w:val="single" w:sz="4" w:space="0" w:color="auto"/>
              <w:right w:val="single" w:sz="4" w:space="0" w:color="auto"/>
            </w:tcBorders>
            <w:vAlign w:val="center"/>
            <w:hideMark/>
          </w:tcPr>
          <w:p w14:paraId="54B6D4B5" w14:textId="77777777" w:rsidR="00374262" w:rsidRDefault="00374262">
            <w:pPr>
              <w:jc w:val="both"/>
              <w:rPr>
                <w:color w:val="000000"/>
                <w:sz w:val="14"/>
                <w:szCs w:val="14"/>
              </w:rPr>
            </w:pPr>
            <w:r>
              <w:rPr>
                <w:color w:val="000000"/>
                <w:sz w:val="14"/>
                <w:szCs w:val="14"/>
              </w:rPr>
              <w:t>Az önkormányzati vagyon és az önkormányzatot megillető vagyoni értékű jog értékesítéséből és hasznosításából származó bevétel</w:t>
            </w:r>
          </w:p>
        </w:tc>
        <w:tc>
          <w:tcPr>
            <w:tcW w:w="880" w:type="dxa"/>
            <w:tcBorders>
              <w:top w:val="nil"/>
              <w:left w:val="nil"/>
              <w:bottom w:val="single" w:sz="4" w:space="0" w:color="auto"/>
              <w:right w:val="single" w:sz="4" w:space="0" w:color="auto"/>
            </w:tcBorders>
            <w:vAlign w:val="center"/>
            <w:hideMark/>
          </w:tcPr>
          <w:p w14:paraId="050AF79A" w14:textId="77777777" w:rsidR="00374262" w:rsidRDefault="00374262">
            <w:pPr>
              <w:jc w:val="center"/>
              <w:rPr>
                <w:color w:val="000000"/>
                <w:sz w:val="16"/>
                <w:szCs w:val="16"/>
              </w:rPr>
            </w:pPr>
            <w:r>
              <w:rPr>
                <w:color w:val="000000"/>
                <w:sz w:val="16"/>
                <w:szCs w:val="16"/>
              </w:rPr>
              <w:t>2</w:t>
            </w:r>
          </w:p>
        </w:tc>
        <w:tc>
          <w:tcPr>
            <w:tcW w:w="1420" w:type="dxa"/>
            <w:tcBorders>
              <w:top w:val="nil"/>
              <w:left w:val="nil"/>
              <w:bottom w:val="single" w:sz="4" w:space="0" w:color="auto"/>
              <w:right w:val="single" w:sz="4" w:space="0" w:color="auto"/>
            </w:tcBorders>
            <w:vAlign w:val="center"/>
            <w:hideMark/>
          </w:tcPr>
          <w:p w14:paraId="10C98C3D" w14:textId="77777777" w:rsidR="00374262" w:rsidRDefault="00374262">
            <w:pPr>
              <w:ind w:firstLineChars="100" w:firstLine="160"/>
              <w:jc w:val="right"/>
              <w:rPr>
                <w:color w:val="000000"/>
                <w:sz w:val="16"/>
                <w:szCs w:val="16"/>
              </w:rPr>
            </w:pPr>
            <w:r>
              <w:rPr>
                <w:color w:val="000000"/>
                <w:sz w:val="16"/>
                <w:szCs w:val="16"/>
              </w:rPr>
              <w:t>20 000 000</w:t>
            </w:r>
          </w:p>
        </w:tc>
        <w:tc>
          <w:tcPr>
            <w:tcW w:w="1360" w:type="dxa"/>
            <w:tcBorders>
              <w:top w:val="nil"/>
              <w:left w:val="nil"/>
              <w:bottom w:val="single" w:sz="4" w:space="0" w:color="auto"/>
              <w:right w:val="single" w:sz="4" w:space="0" w:color="auto"/>
            </w:tcBorders>
            <w:vAlign w:val="center"/>
            <w:hideMark/>
          </w:tcPr>
          <w:p w14:paraId="1F15C9F8" w14:textId="77777777" w:rsidR="00374262" w:rsidRDefault="00374262">
            <w:pPr>
              <w:ind w:firstLineChars="100" w:firstLine="160"/>
              <w:jc w:val="right"/>
              <w:rPr>
                <w:color w:val="000000"/>
                <w:sz w:val="16"/>
                <w:szCs w:val="16"/>
              </w:rPr>
            </w:pPr>
            <w:r>
              <w:rPr>
                <w:color w:val="000000"/>
                <w:sz w:val="16"/>
                <w:szCs w:val="16"/>
              </w:rPr>
              <w:t>25 000 000</w:t>
            </w:r>
          </w:p>
        </w:tc>
        <w:tc>
          <w:tcPr>
            <w:tcW w:w="1300" w:type="dxa"/>
            <w:tcBorders>
              <w:top w:val="nil"/>
              <w:left w:val="nil"/>
              <w:bottom w:val="single" w:sz="4" w:space="0" w:color="auto"/>
              <w:right w:val="single" w:sz="4" w:space="0" w:color="auto"/>
            </w:tcBorders>
            <w:vAlign w:val="center"/>
            <w:hideMark/>
          </w:tcPr>
          <w:p w14:paraId="21F1DF5A" w14:textId="77777777" w:rsidR="00374262" w:rsidRDefault="00374262">
            <w:pPr>
              <w:ind w:firstLineChars="100" w:firstLine="160"/>
              <w:jc w:val="right"/>
              <w:rPr>
                <w:color w:val="000000"/>
                <w:sz w:val="16"/>
                <w:szCs w:val="16"/>
              </w:rPr>
            </w:pPr>
            <w:r>
              <w:rPr>
                <w:color w:val="000000"/>
                <w:sz w:val="16"/>
                <w:szCs w:val="16"/>
              </w:rPr>
              <w:t>30 000 000</w:t>
            </w:r>
          </w:p>
        </w:tc>
        <w:tc>
          <w:tcPr>
            <w:tcW w:w="1360" w:type="dxa"/>
            <w:tcBorders>
              <w:top w:val="nil"/>
              <w:left w:val="nil"/>
              <w:bottom w:val="single" w:sz="4" w:space="0" w:color="auto"/>
              <w:right w:val="single" w:sz="8" w:space="0" w:color="auto"/>
            </w:tcBorders>
            <w:vAlign w:val="center"/>
            <w:hideMark/>
          </w:tcPr>
          <w:p w14:paraId="57123245" w14:textId="77777777" w:rsidR="00374262" w:rsidRDefault="00374262">
            <w:pPr>
              <w:ind w:firstLineChars="100" w:firstLine="160"/>
              <w:jc w:val="right"/>
              <w:rPr>
                <w:b/>
                <w:bCs/>
                <w:color w:val="000000"/>
                <w:sz w:val="16"/>
                <w:szCs w:val="16"/>
              </w:rPr>
            </w:pPr>
            <w:r>
              <w:rPr>
                <w:b/>
                <w:bCs/>
                <w:color w:val="000000"/>
                <w:sz w:val="16"/>
                <w:szCs w:val="16"/>
              </w:rPr>
              <w:t>75 000 000</w:t>
            </w:r>
          </w:p>
        </w:tc>
      </w:tr>
      <w:tr w:rsidR="00374262" w14:paraId="469D7F74" w14:textId="77777777" w:rsidTr="00374262">
        <w:trPr>
          <w:trHeight w:val="300"/>
        </w:trPr>
        <w:tc>
          <w:tcPr>
            <w:tcW w:w="3660" w:type="dxa"/>
            <w:tcBorders>
              <w:top w:val="nil"/>
              <w:left w:val="single" w:sz="8" w:space="0" w:color="auto"/>
              <w:bottom w:val="single" w:sz="4" w:space="0" w:color="auto"/>
              <w:right w:val="single" w:sz="4" w:space="0" w:color="auto"/>
            </w:tcBorders>
            <w:vAlign w:val="center"/>
            <w:hideMark/>
          </w:tcPr>
          <w:p w14:paraId="016D3FBD" w14:textId="77777777" w:rsidR="00374262" w:rsidRDefault="00374262">
            <w:pPr>
              <w:rPr>
                <w:color w:val="000000"/>
                <w:sz w:val="14"/>
                <w:szCs w:val="14"/>
              </w:rPr>
            </w:pPr>
            <w:r>
              <w:rPr>
                <w:color w:val="000000"/>
                <w:sz w:val="14"/>
                <w:szCs w:val="14"/>
              </w:rPr>
              <w:t>Osztalék, koncessziós díj és hozambevétel</w:t>
            </w:r>
          </w:p>
        </w:tc>
        <w:tc>
          <w:tcPr>
            <w:tcW w:w="880" w:type="dxa"/>
            <w:tcBorders>
              <w:top w:val="nil"/>
              <w:left w:val="nil"/>
              <w:bottom w:val="single" w:sz="4" w:space="0" w:color="auto"/>
              <w:right w:val="single" w:sz="4" w:space="0" w:color="auto"/>
            </w:tcBorders>
            <w:vAlign w:val="center"/>
            <w:hideMark/>
          </w:tcPr>
          <w:p w14:paraId="5732D91A" w14:textId="77777777" w:rsidR="00374262" w:rsidRDefault="00374262">
            <w:pPr>
              <w:jc w:val="center"/>
              <w:rPr>
                <w:color w:val="000000"/>
                <w:sz w:val="16"/>
                <w:szCs w:val="16"/>
              </w:rPr>
            </w:pPr>
            <w:r>
              <w:rPr>
                <w:color w:val="000000"/>
                <w:sz w:val="16"/>
                <w:szCs w:val="16"/>
              </w:rPr>
              <w:t>3</w:t>
            </w:r>
          </w:p>
        </w:tc>
        <w:tc>
          <w:tcPr>
            <w:tcW w:w="1420" w:type="dxa"/>
            <w:tcBorders>
              <w:top w:val="nil"/>
              <w:left w:val="nil"/>
              <w:bottom w:val="single" w:sz="4" w:space="0" w:color="auto"/>
              <w:right w:val="single" w:sz="4" w:space="0" w:color="auto"/>
            </w:tcBorders>
            <w:vAlign w:val="center"/>
            <w:hideMark/>
          </w:tcPr>
          <w:p w14:paraId="54BF9110" w14:textId="77777777" w:rsidR="00374262" w:rsidRDefault="00374262">
            <w:pPr>
              <w:ind w:firstLineChars="100" w:firstLine="160"/>
              <w:jc w:val="right"/>
              <w:rPr>
                <w:color w:val="000000"/>
                <w:sz w:val="16"/>
                <w:szCs w:val="16"/>
              </w:rPr>
            </w:pPr>
            <w:r>
              <w:rPr>
                <w:color w:val="000000"/>
                <w:sz w:val="16"/>
                <w:szCs w:val="16"/>
              </w:rPr>
              <w:t> </w:t>
            </w:r>
          </w:p>
        </w:tc>
        <w:tc>
          <w:tcPr>
            <w:tcW w:w="1360" w:type="dxa"/>
            <w:tcBorders>
              <w:top w:val="nil"/>
              <w:left w:val="nil"/>
              <w:bottom w:val="single" w:sz="4" w:space="0" w:color="auto"/>
              <w:right w:val="single" w:sz="4" w:space="0" w:color="auto"/>
            </w:tcBorders>
            <w:vAlign w:val="center"/>
            <w:hideMark/>
          </w:tcPr>
          <w:p w14:paraId="542CF737" w14:textId="77777777" w:rsidR="00374262" w:rsidRDefault="00374262">
            <w:pPr>
              <w:ind w:firstLineChars="100" w:firstLine="160"/>
              <w:jc w:val="right"/>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vAlign w:val="center"/>
            <w:hideMark/>
          </w:tcPr>
          <w:p w14:paraId="5C14E21A" w14:textId="77777777" w:rsidR="00374262" w:rsidRDefault="00374262">
            <w:pPr>
              <w:ind w:firstLineChars="100" w:firstLine="160"/>
              <w:jc w:val="right"/>
              <w:rPr>
                <w:color w:val="000000"/>
                <w:sz w:val="16"/>
                <w:szCs w:val="16"/>
              </w:rPr>
            </w:pPr>
            <w:r>
              <w:rPr>
                <w:color w:val="000000"/>
                <w:sz w:val="16"/>
                <w:szCs w:val="16"/>
              </w:rPr>
              <w:t> </w:t>
            </w:r>
          </w:p>
        </w:tc>
        <w:tc>
          <w:tcPr>
            <w:tcW w:w="1360" w:type="dxa"/>
            <w:tcBorders>
              <w:top w:val="nil"/>
              <w:left w:val="nil"/>
              <w:bottom w:val="single" w:sz="4" w:space="0" w:color="auto"/>
              <w:right w:val="single" w:sz="8" w:space="0" w:color="auto"/>
            </w:tcBorders>
            <w:vAlign w:val="center"/>
            <w:hideMark/>
          </w:tcPr>
          <w:p w14:paraId="2832F995" w14:textId="77777777" w:rsidR="00374262" w:rsidRDefault="00374262">
            <w:pPr>
              <w:ind w:firstLineChars="100" w:firstLine="160"/>
              <w:jc w:val="right"/>
              <w:rPr>
                <w:b/>
                <w:bCs/>
                <w:color w:val="000000"/>
                <w:sz w:val="16"/>
                <w:szCs w:val="16"/>
              </w:rPr>
            </w:pPr>
            <w:r>
              <w:rPr>
                <w:b/>
                <w:bCs/>
                <w:color w:val="000000"/>
                <w:sz w:val="16"/>
                <w:szCs w:val="16"/>
              </w:rPr>
              <w:t>0</w:t>
            </w:r>
          </w:p>
        </w:tc>
      </w:tr>
      <w:tr w:rsidR="00374262" w14:paraId="0322E634" w14:textId="77777777" w:rsidTr="00374262">
        <w:trPr>
          <w:trHeight w:val="630"/>
        </w:trPr>
        <w:tc>
          <w:tcPr>
            <w:tcW w:w="3660" w:type="dxa"/>
            <w:tcBorders>
              <w:top w:val="nil"/>
              <w:left w:val="single" w:sz="8" w:space="0" w:color="auto"/>
              <w:bottom w:val="single" w:sz="4" w:space="0" w:color="auto"/>
              <w:right w:val="single" w:sz="4" w:space="0" w:color="auto"/>
            </w:tcBorders>
            <w:vAlign w:val="center"/>
            <w:hideMark/>
          </w:tcPr>
          <w:p w14:paraId="232F5311" w14:textId="77777777" w:rsidR="00374262" w:rsidRDefault="00374262">
            <w:pPr>
              <w:rPr>
                <w:color w:val="000000"/>
                <w:sz w:val="14"/>
                <w:szCs w:val="14"/>
              </w:rPr>
            </w:pPr>
            <w:r>
              <w:rPr>
                <w:color w:val="000000"/>
                <w:sz w:val="14"/>
                <w:szCs w:val="14"/>
              </w:rPr>
              <w:t>Tárgyi eszköz és az immateriális jószág, részvény, részesedés, vállalat értékesítéséből vagy privatizációból származó bevétel</w:t>
            </w:r>
          </w:p>
        </w:tc>
        <w:tc>
          <w:tcPr>
            <w:tcW w:w="880" w:type="dxa"/>
            <w:tcBorders>
              <w:top w:val="nil"/>
              <w:left w:val="nil"/>
              <w:bottom w:val="single" w:sz="4" w:space="0" w:color="auto"/>
              <w:right w:val="single" w:sz="4" w:space="0" w:color="auto"/>
            </w:tcBorders>
            <w:vAlign w:val="center"/>
            <w:hideMark/>
          </w:tcPr>
          <w:p w14:paraId="6992896B" w14:textId="77777777" w:rsidR="00374262" w:rsidRDefault="00374262">
            <w:pPr>
              <w:jc w:val="center"/>
              <w:rPr>
                <w:color w:val="000000"/>
                <w:sz w:val="16"/>
                <w:szCs w:val="16"/>
              </w:rPr>
            </w:pPr>
            <w:r>
              <w:rPr>
                <w:color w:val="000000"/>
                <w:sz w:val="16"/>
                <w:szCs w:val="16"/>
              </w:rPr>
              <w:t>4</w:t>
            </w:r>
          </w:p>
        </w:tc>
        <w:tc>
          <w:tcPr>
            <w:tcW w:w="1420" w:type="dxa"/>
            <w:tcBorders>
              <w:top w:val="nil"/>
              <w:left w:val="nil"/>
              <w:bottom w:val="single" w:sz="4" w:space="0" w:color="auto"/>
              <w:right w:val="single" w:sz="4" w:space="0" w:color="auto"/>
            </w:tcBorders>
            <w:vAlign w:val="center"/>
            <w:hideMark/>
          </w:tcPr>
          <w:p w14:paraId="35AEAA55" w14:textId="77777777" w:rsidR="00374262" w:rsidRDefault="00374262">
            <w:pPr>
              <w:ind w:firstLineChars="100" w:firstLine="160"/>
              <w:jc w:val="right"/>
              <w:rPr>
                <w:color w:val="000000"/>
                <w:sz w:val="16"/>
                <w:szCs w:val="16"/>
              </w:rPr>
            </w:pPr>
            <w:r>
              <w:rPr>
                <w:color w:val="000000"/>
                <w:sz w:val="16"/>
                <w:szCs w:val="16"/>
              </w:rPr>
              <w:t>2 000 000</w:t>
            </w:r>
          </w:p>
        </w:tc>
        <w:tc>
          <w:tcPr>
            <w:tcW w:w="1360" w:type="dxa"/>
            <w:tcBorders>
              <w:top w:val="nil"/>
              <w:left w:val="nil"/>
              <w:bottom w:val="single" w:sz="4" w:space="0" w:color="auto"/>
              <w:right w:val="single" w:sz="4" w:space="0" w:color="auto"/>
            </w:tcBorders>
            <w:vAlign w:val="center"/>
            <w:hideMark/>
          </w:tcPr>
          <w:p w14:paraId="08C95E44" w14:textId="77777777" w:rsidR="00374262" w:rsidRDefault="00374262">
            <w:pPr>
              <w:ind w:firstLineChars="100" w:firstLine="160"/>
              <w:jc w:val="right"/>
              <w:rPr>
                <w:color w:val="000000"/>
                <w:sz w:val="16"/>
                <w:szCs w:val="16"/>
              </w:rPr>
            </w:pPr>
            <w:r>
              <w:rPr>
                <w:color w:val="000000"/>
                <w:sz w:val="16"/>
                <w:szCs w:val="16"/>
              </w:rPr>
              <w:t>3 000 000</w:t>
            </w:r>
          </w:p>
        </w:tc>
        <w:tc>
          <w:tcPr>
            <w:tcW w:w="1300" w:type="dxa"/>
            <w:tcBorders>
              <w:top w:val="nil"/>
              <w:left w:val="nil"/>
              <w:bottom w:val="single" w:sz="4" w:space="0" w:color="auto"/>
              <w:right w:val="single" w:sz="4" w:space="0" w:color="auto"/>
            </w:tcBorders>
            <w:vAlign w:val="center"/>
            <w:hideMark/>
          </w:tcPr>
          <w:p w14:paraId="303212F2" w14:textId="77777777" w:rsidR="00374262" w:rsidRDefault="00374262">
            <w:pPr>
              <w:ind w:firstLineChars="100" w:firstLine="160"/>
              <w:jc w:val="right"/>
              <w:rPr>
                <w:color w:val="000000"/>
                <w:sz w:val="16"/>
                <w:szCs w:val="16"/>
              </w:rPr>
            </w:pPr>
            <w:r>
              <w:rPr>
                <w:color w:val="000000"/>
                <w:sz w:val="16"/>
                <w:szCs w:val="16"/>
              </w:rPr>
              <w:t>4 000 000</w:t>
            </w:r>
          </w:p>
        </w:tc>
        <w:tc>
          <w:tcPr>
            <w:tcW w:w="1360" w:type="dxa"/>
            <w:tcBorders>
              <w:top w:val="nil"/>
              <w:left w:val="nil"/>
              <w:bottom w:val="single" w:sz="4" w:space="0" w:color="auto"/>
              <w:right w:val="single" w:sz="8" w:space="0" w:color="auto"/>
            </w:tcBorders>
            <w:vAlign w:val="center"/>
            <w:hideMark/>
          </w:tcPr>
          <w:p w14:paraId="0C0DA941" w14:textId="77777777" w:rsidR="00374262" w:rsidRDefault="00374262">
            <w:pPr>
              <w:ind w:firstLineChars="100" w:firstLine="160"/>
              <w:jc w:val="right"/>
              <w:rPr>
                <w:b/>
                <w:bCs/>
                <w:color w:val="000000"/>
                <w:sz w:val="16"/>
                <w:szCs w:val="16"/>
              </w:rPr>
            </w:pPr>
            <w:r>
              <w:rPr>
                <w:b/>
                <w:bCs/>
                <w:color w:val="000000"/>
                <w:sz w:val="16"/>
                <w:szCs w:val="16"/>
              </w:rPr>
              <w:t>9 000 000</w:t>
            </w:r>
          </w:p>
        </w:tc>
      </w:tr>
      <w:tr w:rsidR="00374262" w14:paraId="76970230" w14:textId="77777777" w:rsidTr="00374262">
        <w:trPr>
          <w:trHeight w:val="300"/>
        </w:trPr>
        <w:tc>
          <w:tcPr>
            <w:tcW w:w="3660" w:type="dxa"/>
            <w:tcBorders>
              <w:top w:val="nil"/>
              <w:left w:val="single" w:sz="8" w:space="0" w:color="auto"/>
              <w:bottom w:val="single" w:sz="4" w:space="0" w:color="auto"/>
              <w:right w:val="single" w:sz="4" w:space="0" w:color="auto"/>
            </w:tcBorders>
            <w:vAlign w:val="center"/>
            <w:hideMark/>
          </w:tcPr>
          <w:p w14:paraId="6CE60638" w14:textId="77777777" w:rsidR="00374262" w:rsidRDefault="00374262">
            <w:pPr>
              <w:rPr>
                <w:color w:val="000000"/>
                <w:sz w:val="14"/>
                <w:szCs w:val="14"/>
              </w:rPr>
            </w:pPr>
            <w:r>
              <w:rPr>
                <w:color w:val="000000"/>
                <w:sz w:val="14"/>
                <w:szCs w:val="14"/>
              </w:rPr>
              <w:t>Bírság-, pótlék- és díjbevétel</w:t>
            </w:r>
          </w:p>
        </w:tc>
        <w:tc>
          <w:tcPr>
            <w:tcW w:w="880" w:type="dxa"/>
            <w:tcBorders>
              <w:top w:val="nil"/>
              <w:left w:val="nil"/>
              <w:bottom w:val="single" w:sz="4" w:space="0" w:color="auto"/>
              <w:right w:val="single" w:sz="4" w:space="0" w:color="auto"/>
            </w:tcBorders>
            <w:vAlign w:val="center"/>
            <w:hideMark/>
          </w:tcPr>
          <w:p w14:paraId="4F898E6D" w14:textId="77777777" w:rsidR="00374262" w:rsidRDefault="00374262">
            <w:pPr>
              <w:jc w:val="center"/>
              <w:rPr>
                <w:color w:val="000000"/>
                <w:sz w:val="16"/>
                <w:szCs w:val="16"/>
              </w:rPr>
            </w:pPr>
            <w:r>
              <w:rPr>
                <w:color w:val="000000"/>
                <w:sz w:val="16"/>
                <w:szCs w:val="16"/>
              </w:rPr>
              <w:t>5</w:t>
            </w:r>
          </w:p>
        </w:tc>
        <w:tc>
          <w:tcPr>
            <w:tcW w:w="1420" w:type="dxa"/>
            <w:tcBorders>
              <w:top w:val="nil"/>
              <w:left w:val="nil"/>
              <w:bottom w:val="single" w:sz="4" w:space="0" w:color="auto"/>
              <w:right w:val="single" w:sz="4" w:space="0" w:color="auto"/>
            </w:tcBorders>
            <w:vAlign w:val="center"/>
            <w:hideMark/>
          </w:tcPr>
          <w:p w14:paraId="6B29D4B8" w14:textId="77777777" w:rsidR="00374262" w:rsidRDefault="00374262">
            <w:pPr>
              <w:ind w:firstLineChars="100" w:firstLine="160"/>
              <w:jc w:val="right"/>
              <w:rPr>
                <w:color w:val="000000"/>
                <w:sz w:val="16"/>
                <w:szCs w:val="16"/>
              </w:rPr>
            </w:pPr>
            <w:r>
              <w:rPr>
                <w:color w:val="000000"/>
                <w:sz w:val="16"/>
                <w:szCs w:val="16"/>
              </w:rPr>
              <w:t>1 500 000</w:t>
            </w:r>
          </w:p>
        </w:tc>
        <w:tc>
          <w:tcPr>
            <w:tcW w:w="1360" w:type="dxa"/>
            <w:tcBorders>
              <w:top w:val="nil"/>
              <w:left w:val="nil"/>
              <w:bottom w:val="single" w:sz="4" w:space="0" w:color="auto"/>
              <w:right w:val="single" w:sz="4" w:space="0" w:color="auto"/>
            </w:tcBorders>
            <w:vAlign w:val="center"/>
            <w:hideMark/>
          </w:tcPr>
          <w:p w14:paraId="3ED290FA" w14:textId="77777777" w:rsidR="00374262" w:rsidRDefault="00374262">
            <w:pPr>
              <w:ind w:firstLineChars="100" w:firstLine="160"/>
              <w:jc w:val="right"/>
              <w:rPr>
                <w:color w:val="000000"/>
                <w:sz w:val="16"/>
                <w:szCs w:val="16"/>
              </w:rPr>
            </w:pPr>
            <w:r>
              <w:rPr>
                <w:color w:val="000000"/>
                <w:sz w:val="16"/>
                <w:szCs w:val="16"/>
              </w:rPr>
              <w:t>1 600 000</w:t>
            </w:r>
          </w:p>
        </w:tc>
        <w:tc>
          <w:tcPr>
            <w:tcW w:w="1300" w:type="dxa"/>
            <w:tcBorders>
              <w:top w:val="nil"/>
              <w:left w:val="nil"/>
              <w:bottom w:val="single" w:sz="4" w:space="0" w:color="auto"/>
              <w:right w:val="single" w:sz="4" w:space="0" w:color="auto"/>
            </w:tcBorders>
            <w:vAlign w:val="center"/>
            <w:hideMark/>
          </w:tcPr>
          <w:p w14:paraId="2F10A3A8" w14:textId="77777777" w:rsidR="00374262" w:rsidRDefault="00374262">
            <w:pPr>
              <w:ind w:firstLineChars="100" w:firstLine="160"/>
              <w:jc w:val="right"/>
              <w:rPr>
                <w:color w:val="000000"/>
                <w:sz w:val="16"/>
                <w:szCs w:val="16"/>
              </w:rPr>
            </w:pPr>
            <w:r>
              <w:rPr>
                <w:color w:val="000000"/>
                <w:sz w:val="16"/>
                <w:szCs w:val="16"/>
              </w:rPr>
              <w:t>1 700 000</w:t>
            </w:r>
          </w:p>
        </w:tc>
        <w:tc>
          <w:tcPr>
            <w:tcW w:w="1360" w:type="dxa"/>
            <w:tcBorders>
              <w:top w:val="nil"/>
              <w:left w:val="nil"/>
              <w:bottom w:val="single" w:sz="4" w:space="0" w:color="auto"/>
              <w:right w:val="single" w:sz="8" w:space="0" w:color="auto"/>
            </w:tcBorders>
            <w:vAlign w:val="center"/>
            <w:hideMark/>
          </w:tcPr>
          <w:p w14:paraId="2C633FE5" w14:textId="77777777" w:rsidR="00374262" w:rsidRDefault="00374262">
            <w:pPr>
              <w:ind w:firstLineChars="100" w:firstLine="160"/>
              <w:jc w:val="right"/>
              <w:rPr>
                <w:b/>
                <w:bCs/>
                <w:color w:val="000000"/>
                <w:sz w:val="16"/>
                <w:szCs w:val="16"/>
              </w:rPr>
            </w:pPr>
            <w:r>
              <w:rPr>
                <w:b/>
                <w:bCs/>
                <w:color w:val="000000"/>
                <w:sz w:val="16"/>
                <w:szCs w:val="16"/>
              </w:rPr>
              <w:t>4 800 000</w:t>
            </w:r>
          </w:p>
        </w:tc>
      </w:tr>
      <w:tr w:rsidR="00374262" w14:paraId="29FC124A" w14:textId="77777777" w:rsidTr="00374262">
        <w:trPr>
          <w:trHeight w:val="435"/>
        </w:trPr>
        <w:tc>
          <w:tcPr>
            <w:tcW w:w="3660" w:type="dxa"/>
            <w:tcBorders>
              <w:top w:val="nil"/>
              <w:left w:val="single" w:sz="8" w:space="0" w:color="auto"/>
              <w:bottom w:val="nil"/>
              <w:right w:val="single" w:sz="4" w:space="0" w:color="auto"/>
            </w:tcBorders>
            <w:vAlign w:val="center"/>
            <w:hideMark/>
          </w:tcPr>
          <w:p w14:paraId="1A3BEF04" w14:textId="77777777" w:rsidR="00374262" w:rsidRDefault="00374262">
            <w:pPr>
              <w:rPr>
                <w:color w:val="000000"/>
                <w:sz w:val="14"/>
                <w:szCs w:val="14"/>
              </w:rPr>
            </w:pPr>
            <w:r>
              <w:rPr>
                <w:color w:val="000000"/>
                <w:sz w:val="14"/>
                <w:szCs w:val="14"/>
              </w:rPr>
              <w:t>Kezesség-, illetve garanciavállalással kapcsolatos megtérülés</w:t>
            </w:r>
          </w:p>
        </w:tc>
        <w:tc>
          <w:tcPr>
            <w:tcW w:w="880" w:type="dxa"/>
            <w:tcBorders>
              <w:top w:val="nil"/>
              <w:left w:val="nil"/>
              <w:bottom w:val="nil"/>
              <w:right w:val="single" w:sz="4" w:space="0" w:color="auto"/>
            </w:tcBorders>
            <w:vAlign w:val="center"/>
            <w:hideMark/>
          </w:tcPr>
          <w:p w14:paraId="084D1E6F" w14:textId="77777777" w:rsidR="00374262" w:rsidRDefault="00374262">
            <w:pPr>
              <w:jc w:val="center"/>
              <w:rPr>
                <w:color w:val="000000"/>
                <w:sz w:val="16"/>
                <w:szCs w:val="16"/>
              </w:rPr>
            </w:pPr>
            <w:r>
              <w:rPr>
                <w:color w:val="000000"/>
                <w:sz w:val="16"/>
                <w:szCs w:val="16"/>
              </w:rPr>
              <w:t>6</w:t>
            </w:r>
          </w:p>
        </w:tc>
        <w:tc>
          <w:tcPr>
            <w:tcW w:w="1420" w:type="dxa"/>
            <w:tcBorders>
              <w:top w:val="nil"/>
              <w:left w:val="nil"/>
              <w:bottom w:val="nil"/>
              <w:right w:val="single" w:sz="4" w:space="0" w:color="auto"/>
            </w:tcBorders>
            <w:vAlign w:val="center"/>
            <w:hideMark/>
          </w:tcPr>
          <w:p w14:paraId="119541B9" w14:textId="77777777" w:rsidR="00374262" w:rsidRDefault="00374262">
            <w:pPr>
              <w:ind w:firstLineChars="100" w:firstLine="160"/>
              <w:jc w:val="right"/>
              <w:rPr>
                <w:color w:val="000000"/>
                <w:sz w:val="16"/>
                <w:szCs w:val="16"/>
              </w:rPr>
            </w:pPr>
            <w:r>
              <w:rPr>
                <w:color w:val="000000"/>
                <w:sz w:val="16"/>
                <w:szCs w:val="16"/>
              </w:rPr>
              <w:t> </w:t>
            </w:r>
          </w:p>
        </w:tc>
        <w:tc>
          <w:tcPr>
            <w:tcW w:w="1360" w:type="dxa"/>
            <w:tcBorders>
              <w:top w:val="nil"/>
              <w:left w:val="nil"/>
              <w:bottom w:val="nil"/>
              <w:right w:val="single" w:sz="4" w:space="0" w:color="auto"/>
            </w:tcBorders>
            <w:vAlign w:val="center"/>
            <w:hideMark/>
          </w:tcPr>
          <w:p w14:paraId="26070EEE" w14:textId="77777777" w:rsidR="00374262" w:rsidRDefault="00374262">
            <w:pPr>
              <w:ind w:firstLineChars="100" w:firstLine="160"/>
              <w:jc w:val="right"/>
              <w:rPr>
                <w:color w:val="000000"/>
                <w:sz w:val="16"/>
                <w:szCs w:val="16"/>
              </w:rPr>
            </w:pPr>
            <w:r>
              <w:rPr>
                <w:color w:val="000000"/>
                <w:sz w:val="16"/>
                <w:szCs w:val="16"/>
              </w:rPr>
              <w:t> </w:t>
            </w:r>
          </w:p>
        </w:tc>
        <w:tc>
          <w:tcPr>
            <w:tcW w:w="1300" w:type="dxa"/>
            <w:tcBorders>
              <w:top w:val="nil"/>
              <w:left w:val="nil"/>
              <w:bottom w:val="nil"/>
              <w:right w:val="single" w:sz="4" w:space="0" w:color="auto"/>
            </w:tcBorders>
            <w:vAlign w:val="center"/>
            <w:hideMark/>
          </w:tcPr>
          <w:p w14:paraId="77D48731" w14:textId="77777777" w:rsidR="00374262" w:rsidRDefault="00374262">
            <w:pPr>
              <w:ind w:firstLineChars="100" w:firstLine="160"/>
              <w:jc w:val="right"/>
              <w:rPr>
                <w:color w:val="000000"/>
                <w:sz w:val="16"/>
                <w:szCs w:val="16"/>
              </w:rPr>
            </w:pPr>
            <w:r>
              <w:rPr>
                <w:color w:val="000000"/>
                <w:sz w:val="16"/>
                <w:szCs w:val="16"/>
              </w:rPr>
              <w:t> </w:t>
            </w:r>
          </w:p>
        </w:tc>
        <w:tc>
          <w:tcPr>
            <w:tcW w:w="1360" w:type="dxa"/>
            <w:tcBorders>
              <w:top w:val="nil"/>
              <w:left w:val="nil"/>
              <w:bottom w:val="nil"/>
              <w:right w:val="single" w:sz="8" w:space="0" w:color="auto"/>
            </w:tcBorders>
            <w:vAlign w:val="center"/>
            <w:hideMark/>
          </w:tcPr>
          <w:p w14:paraId="2F534EA0" w14:textId="77777777" w:rsidR="00374262" w:rsidRDefault="00374262">
            <w:pPr>
              <w:ind w:firstLineChars="100" w:firstLine="160"/>
              <w:jc w:val="right"/>
              <w:rPr>
                <w:b/>
                <w:bCs/>
                <w:color w:val="000000"/>
                <w:sz w:val="16"/>
                <w:szCs w:val="16"/>
              </w:rPr>
            </w:pPr>
            <w:r>
              <w:rPr>
                <w:b/>
                <w:bCs/>
                <w:color w:val="000000"/>
                <w:sz w:val="16"/>
                <w:szCs w:val="16"/>
              </w:rPr>
              <w:t>0</w:t>
            </w:r>
          </w:p>
        </w:tc>
      </w:tr>
      <w:tr w:rsidR="00374262" w14:paraId="7FB963F7" w14:textId="77777777" w:rsidTr="00374262">
        <w:trPr>
          <w:trHeight w:val="315"/>
        </w:trPr>
        <w:tc>
          <w:tcPr>
            <w:tcW w:w="3660" w:type="dxa"/>
            <w:tcBorders>
              <w:top w:val="single" w:sz="8" w:space="0" w:color="auto"/>
              <w:left w:val="single" w:sz="8" w:space="0" w:color="auto"/>
              <w:bottom w:val="single" w:sz="8" w:space="0" w:color="auto"/>
              <w:right w:val="single" w:sz="4" w:space="0" w:color="auto"/>
            </w:tcBorders>
            <w:vAlign w:val="center"/>
            <w:hideMark/>
          </w:tcPr>
          <w:p w14:paraId="46566345" w14:textId="77777777" w:rsidR="00374262" w:rsidRDefault="00374262">
            <w:pPr>
              <w:rPr>
                <w:b/>
                <w:bCs/>
                <w:color w:val="000000"/>
                <w:sz w:val="16"/>
                <w:szCs w:val="16"/>
              </w:rPr>
            </w:pPr>
            <w:r>
              <w:rPr>
                <w:b/>
                <w:bCs/>
                <w:color w:val="000000"/>
                <w:sz w:val="16"/>
                <w:szCs w:val="16"/>
              </w:rPr>
              <w:t>Saját bevételek (01+</w:t>
            </w:r>
            <w:proofErr w:type="gramStart"/>
            <w:r>
              <w:rPr>
                <w:b/>
                <w:bCs/>
                <w:color w:val="000000"/>
                <w:sz w:val="16"/>
                <w:szCs w:val="16"/>
              </w:rPr>
              <w:t>… .</w:t>
            </w:r>
            <w:proofErr w:type="gramEnd"/>
            <w:r>
              <w:rPr>
                <w:b/>
                <w:bCs/>
                <w:color w:val="000000"/>
                <w:sz w:val="16"/>
                <w:szCs w:val="16"/>
              </w:rPr>
              <w:t>+06)</w:t>
            </w:r>
          </w:p>
        </w:tc>
        <w:tc>
          <w:tcPr>
            <w:tcW w:w="880" w:type="dxa"/>
            <w:tcBorders>
              <w:top w:val="single" w:sz="8" w:space="0" w:color="auto"/>
              <w:left w:val="nil"/>
              <w:bottom w:val="single" w:sz="8" w:space="0" w:color="auto"/>
              <w:right w:val="single" w:sz="4" w:space="0" w:color="auto"/>
            </w:tcBorders>
            <w:vAlign w:val="center"/>
            <w:hideMark/>
          </w:tcPr>
          <w:p w14:paraId="7B2B255B" w14:textId="77777777" w:rsidR="00374262" w:rsidRDefault="00374262">
            <w:pPr>
              <w:jc w:val="center"/>
              <w:rPr>
                <w:b/>
                <w:bCs/>
                <w:color w:val="000000"/>
                <w:sz w:val="16"/>
                <w:szCs w:val="16"/>
              </w:rPr>
            </w:pPr>
            <w:r>
              <w:rPr>
                <w:b/>
                <w:bCs/>
                <w:color w:val="000000"/>
                <w:sz w:val="16"/>
                <w:szCs w:val="16"/>
              </w:rPr>
              <w:t>7</w:t>
            </w:r>
          </w:p>
        </w:tc>
        <w:tc>
          <w:tcPr>
            <w:tcW w:w="1420" w:type="dxa"/>
            <w:tcBorders>
              <w:top w:val="single" w:sz="8" w:space="0" w:color="auto"/>
              <w:left w:val="nil"/>
              <w:bottom w:val="single" w:sz="8" w:space="0" w:color="auto"/>
              <w:right w:val="single" w:sz="4" w:space="0" w:color="auto"/>
            </w:tcBorders>
            <w:vAlign w:val="center"/>
            <w:hideMark/>
          </w:tcPr>
          <w:p w14:paraId="4145055A" w14:textId="77777777" w:rsidR="00374262" w:rsidRDefault="00374262">
            <w:pPr>
              <w:ind w:firstLineChars="100" w:firstLine="160"/>
              <w:jc w:val="right"/>
              <w:rPr>
                <w:b/>
                <w:bCs/>
                <w:color w:val="000000"/>
                <w:sz w:val="16"/>
                <w:szCs w:val="16"/>
              </w:rPr>
            </w:pPr>
            <w:r>
              <w:rPr>
                <w:b/>
                <w:bCs/>
                <w:color w:val="000000"/>
                <w:sz w:val="16"/>
                <w:szCs w:val="16"/>
              </w:rPr>
              <w:t>553 500 000</w:t>
            </w:r>
          </w:p>
        </w:tc>
        <w:tc>
          <w:tcPr>
            <w:tcW w:w="1360" w:type="dxa"/>
            <w:tcBorders>
              <w:top w:val="single" w:sz="8" w:space="0" w:color="auto"/>
              <w:left w:val="nil"/>
              <w:bottom w:val="single" w:sz="8" w:space="0" w:color="auto"/>
              <w:right w:val="single" w:sz="4" w:space="0" w:color="auto"/>
            </w:tcBorders>
            <w:vAlign w:val="center"/>
            <w:hideMark/>
          </w:tcPr>
          <w:p w14:paraId="0FEB19C0" w14:textId="77777777" w:rsidR="00374262" w:rsidRDefault="00374262">
            <w:pPr>
              <w:ind w:firstLineChars="100" w:firstLine="160"/>
              <w:jc w:val="right"/>
              <w:rPr>
                <w:b/>
                <w:bCs/>
                <w:color w:val="000000"/>
                <w:sz w:val="16"/>
                <w:szCs w:val="16"/>
              </w:rPr>
            </w:pPr>
            <w:r>
              <w:rPr>
                <w:b/>
                <w:bCs/>
                <w:color w:val="000000"/>
                <w:sz w:val="16"/>
                <w:szCs w:val="16"/>
              </w:rPr>
              <w:t>564 600 000</w:t>
            </w:r>
          </w:p>
        </w:tc>
        <w:tc>
          <w:tcPr>
            <w:tcW w:w="1300" w:type="dxa"/>
            <w:tcBorders>
              <w:top w:val="single" w:sz="8" w:space="0" w:color="auto"/>
              <w:left w:val="nil"/>
              <w:bottom w:val="single" w:sz="8" w:space="0" w:color="auto"/>
              <w:right w:val="single" w:sz="4" w:space="0" w:color="auto"/>
            </w:tcBorders>
            <w:vAlign w:val="center"/>
            <w:hideMark/>
          </w:tcPr>
          <w:p w14:paraId="49479C3D" w14:textId="77777777" w:rsidR="00374262" w:rsidRDefault="00374262">
            <w:pPr>
              <w:ind w:firstLineChars="100" w:firstLine="160"/>
              <w:jc w:val="right"/>
              <w:rPr>
                <w:b/>
                <w:bCs/>
                <w:color w:val="000000"/>
                <w:sz w:val="16"/>
                <w:szCs w:val="16"/>
              </w:rPr>
            </w:pPr>
            <w:r>
              <w:rPr>
                <w:b/>
                <w:bCs/>
                <w:color w:val="000000"/>
                <w:sz w:val="16"/>
                <w:szCs w:val="16"/>
              </w:rPr>
              <w:t>570 700 000</w:t>
            </w:r>
          </w:p>
        </w:tc>
        <w:tc>
          <w:tcPr>
            <w:tcW w:w="1360" w:type="dxa"/>
            <w:tcBorders>
              <w:top w:val="single" w:sz="8" w:space="0" w:color="auto"/>
              <w:left w:val="nil"/>
              <w:bottom w:val="single" w:sz="8" w:space="0" w:color="auto"/>
              <w:right w:val="single" w:sz="8" w:space="0" w:color="auto"/>
            </w:tcBorders>
            <w:vAlign w:val="center"/>
            <w:hideMark/>
          </w:tcPr>
          <w:p w14:paraId="5B41A08F" w14:textId="77777777" w:rsidR="00374262" w:rsidRDefault="00374262">
            <w:pPr>
              <w:ind w:firstLineChars="100" w:firstLine="160"/>
              <w:jc w:val="right"/>
              <w:rPr>
                <w:b/>
                <w:bCs/>
                <w:color w:val="000000"/>
                <w:sz w:val="16"/>
                <w:szCs w:val="16"/>
              </w:rPr>
            </w:pPr>
            <w:r>
              <w:rPr>
                <w:b/>
                <w:bCs/>
                <w:color w:val="000000"/>
                <w:sz w:val="16"/>
                <w:szCs w:val="16"/>
              </w:rPr>
              <w:t>1 688 800 000</w:t>
            </w:r>
          </w:p>
        </w:tc>
      </w:tr>
      <w:tr w:rsidR="00374262" w14:paraId="1E73D6CF" w14:textId="77777777" w:rsidTr="00374262">
        <w:trPr>
          <w:trHeight w:val="315"/>
        </w:trPr>
        <w:tc>
          <w:tcPr>
            <w:tcW w:w="3660" w:type="dxa"/>
            <w:tcBorders>
              <w:top w:val="nil"/>
              <w:left w:val="single" w:sz="8" w:space="0" w:color="auto"/>
              <w:bottom w:val="single" w:sz="8" w:space="0" w:color="auto"/>
              <w:right w:val="single" w:sz="4" w:space="0" w:color="auto"/>
            </w:tcBorders>
            <w:vAlign w:val="center"/>
            <w:hideMark/>
          </w:tcPr>
          <w:p w14:paraId="063CE8A7" w14:textId="77777777" w:rsidR="00374262" w:rsidRDefault="00374262">
            <w:pPr>
              <w:rPr>
                <w:b/>
                <w:bCs/>
                <w:color w:val="000000"/>
                <w:sz w:val="16"/>
                <w:szCs w:val="16"/>
              </w:rPr>
            </w:pPr>
            <w:r>
              <w:rPr>
                <w:b/>
                <w:bCs/>
                <w:color w:val="000000"/>
                <w:sz w:val="16"/>
                <w:szCs w:val="16"/>
              </w:rPr>
              <w:t>Saját bevételek  (07 sor)  50%-</w:t>
            </w:r>
            <w:proofErr w:type="gramStart"/>
            <w:r>
              <w:rPr>
                <w:b/>
                <w:bCs/>
                <w:color w:val="000000"/>
                <w:sz w:val="16"/>
                <w:szCs w:val="16"/>
              </w:rPr>
              <w:t>a</w:t>
            </w:r>
            <w:proofErr w:type="gramEnd"/>
            <w:r>
              <w:rPr>
                <w:b/>
                <w:bCs/>
                <w:color w:val="000000"/>
                <w:sz w:val="16"/>
                <w:szCs w:val="16"/>
              </w:rPr>
              <w:t xml:space="preserve"> </w:t>
            </w:r>
          </w:p>
        </w:tc>
        <w:tc>
          <w:tcPr>
            <w:tcW w:w="880" w:type="dxa"/>
            <w:tcBorders>
              <w:top w:val="nil"/>
              <w:left w:val="nil"/>
              <w:bottom w:val="single" w:sz="8" w:space="0" w:color="auto"/>
              <w:right w:val="single" w:sz="4" w:space="0" w:color="auto"/>
            </w:tcBorders>
            <w:vAlign w:val="center"/>
            <w:hideMark/>
          </w:tcPr>
          <w:p w14:paraId="69B61420" w14:textId="77777777" w:rsidR="00374262" w:rsidRDefault="00374262">
            <w:pPr>
              <w:jc w:val="center"/>
              <w:rPr>
                <w:b/>
                <w:bCs/>
                <w:color w:val="000000"/>
                <w:sz w:val="16"/>
                <w:szCs w:val="16"/>
              </w:rPr>
            </w:pPr>
            <w:r>
              <w:rPr>
                <w:b/>
                <w:bCs/>
                <w:color w:val="000000"/>
                <w:sz w:val="16"/>
                <w:szCs w:val="16"/>
              </w:rPr>
              <w:t>8</w:t>
            </w:r>
          </w:p>
        </w:tc>
        <w:tc>
          <w:tcPr>
            <w:tcW w:w="1420" w:type="dxa"/>
            <w:tcBorders>
              <w:top w:val="nil"/>
              <w:left w:val="nil"/>
              <w:bottom w:val="single" w:sz="8" w:space="0" w:color="auto"/>
              <w:right w:val="single" w:sz="4" w:space="0" w:color="auto"/>
            </w:tcBorders>
            <w:vAlign w:val="center"/>
            <w:hideMark/>
          </w:tcPr>
          <w:p w14:paraId="092EF814" w14:textId="77777777" w:rsidR="00374262" w:rsidRDefault="00374262">
            <w:pPr>
              <w:ind w:firstLineChars="100" w:firstLine="160"/>
              <w:jc w:val="right"/>
              <w:rPr>
                <w:b/>
                <w:bCs/>
                <w:color w:val="000000"/>
                <w:sz w:val="16"/>
                <w:szCs w:val="16"/>
              </w:rPr>
            </w:pPr>
            <w:r>
              <w:rPr>
                <w:b/>
                <w:bCs/>
                <w:color w:val="000000"/>
                <w:sz w:val="16"/>
                <w:szCs w:val="16"/>
              </w:rPr>
              <w:t>276 750 000</w:t>
            </w:r>
          </w:p>
        </w:tc>
        <w:tc>
          <w:tcPr>
            <w:tcW w:w="1360" w:type="dxa"/>
            <w:tcBorders>
              <w:top w:val="nil"/>
              <w:left w:val="nil"/>
              <w:bottom w:val="single" w:sz="8" w:space="0" w:color="auto"/>
              <w:right w:val="single" w:sz="4" w:space="0" w:color="auto"/>
            </w:tcBorders>
            <w:vAlign w:val="center"/>
            <w:hideMark/>
          </w:tcPr>
          <w:p w14:paraId="69EFD2AE" w14:textId="77777777" w:rsidR="00374262" w:rsidRDefault="00374262">
            <w:pPr>
              <w:ind w:firstLineChars="100" w:firstLine="160"/>
              <w:jc w:val="right"/>
              <w:rPr>
                <w:b/>
                <w:bCs/>
                <w:color w:val="000000"/>
                <w:sz w:val="16"/>
                <w:szCs w:val="16"/>
              </w:rPr>
            </w:pPr>
            <w:r>
              <w:rPr>
                <w:b/>
                <w:bCs/>
                <w:color w:val="000000"/>
                <w:sz w:val="16"/>
                <w:szCs w:val="16"/>
              </w:rPr>
              <w:t>282 300 000</w:t>
            </w:r>
          </w:p>
        </w:tc>
        <w:tc>
          <w:tcPr>
            <w:tcW w:w="1300" w:type="dxa"/>
            <w:tcBorders>
              <w:top w:val="nil"/>
              <w:left w:val="nil"/>
              <w:bottom w:val="single" w:sz="8" w:space="0" w:color="auto"/>
              <w:right w:val="single" w:sz="4" w:space="0" w:color="auto"/>
            </w:tcBorders>
            <w:vAlign w:val="center"/>
            <w:hideMark/>
          </w:tcPr>
          <w:p w14:paraId="30725EFD" w14:textId="77777777" w:rsidR="00374262" w:rsidRDefault="00374262">
            <w:pPr>
              <w:ind w:firstLineChars="100" w:firstLine="160"/>
              <w:jc w:val="right"/>
              <w:rPr>
                <w:b/>
                <w:bCs/>
                <w:color w:val="000000"/>
                <w:sz w:val="16"/>
                <w:szCs w:val="16"/>
              </w:rPr>
            </w:pPr>
            <w:r>
              <w:rPr>
                <w:b/>
                <w:bCs/>
                <w:color w:val="000000"/>
                <w:sz w:val="16"/>
                <w:szCs w:val="16"/>
              </w:rPr>
              <w:t>285 350 000</w:t>
            </w:r>
          </w:p>
        </w:tc>
        <w:tc>
          <w:tcPr>
            <w:tcW w:w="1360" w:type="dxa"/>
            <w:tcBorders>
              <w:top w:val="nil"/>
              <w:left w:val="nil"/>
              <w:bottom w:val="single" w:sz="8" w:space="0" w:color="auto"/>
              <w:right w:val="single" w:sz="8" w:space="0" w:color="auto"/>
            </w:tcBorders>
            <w:vAlign w:val="center"/>
            <w:hideMark/>
          </w:tcPr>
          <w:p w14:paraId="2EB2DA77" w14:textId="77777777" w:rsidR="00374262" w:rsidRDefault="00374262">
            <w:pPr>
              <w:ind w:firstLineChars="100" w:firstLine="160"/>
              <w:jc w:val="right"/>
              <w:rPr>
                <w:b/>
                <w:bCs/>
                <w:color w:val="000000"/>
                <w:sz w:val="16"/>
                <w:szCs w:val="16"/>
              </w:rPr>
            </w:pPr>
            <w:r>
              <w:rPr>
                <w:b/>
                <w:bCs/>
                <w:color w:val="000000"/>
                <w:sz w:val="16"/>
                <w:szCs w:val="16"/>
              </w:rPr>
              <w:t>844 400 000</w:t>
            </w:r>
          </w:p>
        </w:tc>
      </w:tr>
      <w:tr w:rsidR="00374262" w14:paraId="5B85875D" w14:textId="77777777" w:rsidTr="00374262">
        <w:trPr>
          <w:trHeight w:val="630"/>
        </w:trPr>
        <w:tc>
          <w:tcPr>
            <w:tcW w:w="3660" w:type="dxa"/>
            <w:tcBorders>
              <w:top w:val="nil"/>
              <w:left w:val="single" w:sz="8" w:space="0" w:color="auto"/>
              <w:bottom w:val="single" w:sz="4" w:space="0" w:color="auto"/>
              <w:right w:val="single" w:sz="4" w:space="0" w:color="auto"/>
            </w:tcBorders>
            <w:vAlign w:val="center"/>
            <w:hideMark/>
          </w:tcPr>
          <w:p w14:paraId="5D0472ED" w14:textId="77777777" w:rsidR="00374262" w:rsidRDefault="00374262">
            <w:pPr>
              <w:rPr>
                <w:color w:val="000000"/>
                <w:sz w:val="14"/>
                <w:szCs w:val="14"/>
              </w:rPr>
            </w:pPr>
            <w:r>
              <w:rPr>
                <w:color w:val="000000"/>
                <w:sz w:val="14"/>
                <w:szCs w:val="14"/>
              </w:rPr>
              <w:t xml:space="preserve">Hitel, kölcsön felvétele, átvállalása a folyósítás, átvállalás napjától a végtörlesztés napjáig, és annak </w:t>
            </w:r>
            <w:proofErr w:type="gramStart"/>
            <w:r>
              <w:rPr>
                <w:color w:val="000000"/>
                <w:sz w:val="14"/>
                <w:szCs w:val="14"/>
              </w:rPr>
              <w:t>aktuális</w:t>
            </w:r>
            <w:proofErr w:type="gramEnd"/>
            <w:r>
              <w:rPr>
                <w:color w:val="000000"/>
                <w:sz w:val="14"/>
                <w:szCs w:val="14"/>
              </w:rPr>
              <w:t xml:space="preserve"> tőketartozása</w:t>
            </w:r>
          </w:p>
        </w:tc>
        <w:tc>
          <w:tcPr>
            <w:tcW w:w="880" w:type="dxa"/>
            <w:tcBorders>
              <w:top w:val="nil"/>
              <w:left w:val="nil"/>
              <w:bottom w:val="single" w:sz="4" w:space="0" w:color="auto"/>
              <w:right w:val="single" w:sz="4" w:space="0" w:color="auto"/>
            </w:tcBorders>
            <w:vAlign w:val="center"/>
            <w:hideMark/>
          </w:tcPr>
          <w:p w14:paraId="0EB9E2FD" w14:textId="77777777" w:rsidR="00374262" w:rsidRDefault="00374262">
            <w:pPr>
              <w:jc w:val="center"/>
              <w:rPr>
                <w:color w:val="000000"/>
                <w:sz w:val="16"/>
                <w:szCs w:val="16"/>
              </w:rPr>
            </w:pPr>
            <w:r>
              <w:rPr>
                <w:color w:val="000000"/>
                <w:sz w:val="16"/>
                <w:szCs w:val="16"/>
              </w:rPr>
              <w:t>9.</w:t>
            </w:r>
          </w:p>
        </w:tc>
        <w:tc>
          <w:tcPr>
            <w:tcW w:w="1420" w:type="dxa"/>
            <w:tcBorders>
              <w:top w:val="nil"/>
              <w:left w:val="nil"/>
              <w:bottom w:val="single" w:sz="4" w:space="0" w:color="auto"/>
              <w:right w:val="single" w:sz="4" w:space="0" w:color="auto"/>
            </w:tcBorders>
            <w:vAlign w:val="center"/>
            <w:hideMark/>
          </w:tcPr>
          <w:p w14:paraId="0C45C52D"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4" w:space="0" w:color="auto"/>
            </w:tcBorders>
            <w:vAlign w:val="center"/>
            <w:hideMark/>
          </w:tcPr>
          <w:p w14:paraId="6BAA0AD7"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single" w:sz="4" w:space="0" w:color="auto"/>
              <w:right w:val="single" w:sz="4" w:space="0" w:color="auto"/>
            </w:tcBorders>
            <w:vAlign w:val="center"/>
            <w:hideMark/>
          </w:tcPr>
          <w:p w14:paraId="756EBC7C"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8" w:space="0" w:color="auto"/>
            </w:tcBorders>
            <w:vAlign w:val="center"/>
            <w:hideMark/>
          </w:tcPr>
          <w:p w14:paraId="3441CDEB"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2E3782C2" w14:textId="77777777" w:rsidTr="00374262">
        <w:trPr>
          <w:trHeight w:val="1050"/>
        </w:trPr>
        <w:tc>
          <w:tcPr>
            <w:tcW w:w="3660" w:type="dxa"/>
            <w:tcBorders>
              <w:top w:val="nil"/>
              <w:left w:val="single" w:sz="8" w:space="0" w:color="auto"/>
              <w:bottom w:val="single" w:sz="4" w:space="0" w:color="auto"/>
              <w:right w:val="single" w:sz="4" w:space="0" w:color="auto"/>
            </w:tcBorders>
            <w:vAlign w:val="center"/>
            <w:hideMark/>
          </w:tcPr>
          <w:p w14:paraId="2CA6D034" w14:textId="77777777" w:rsidR="00374262" w:rsidRDefault="00374262">
            <w:pPr>
              <w:rPr>
                <w:color w:val="222222"/>
                <w:sz w:val="14"/>
                <w:szCs w:val="14"/>
              </w:rPr>
            </w:pPr>
            <w:r>
              <w:rPr>
                <w:color w:val="222222"/>
                <w:sz w:val="14"/>
                <w:szCs w:val="14"/>
              </w:rPr>
              <w:t>A számvitelről szóló törvény (a továbbiakban: Szt.) szerinti hitelviszonyt megtestesítő értékpapír forgalomba hozatala a forgalomba hozatal napjától a beváltás napjáig, kamatozó értékpapír esetén annak névértéke, egyéb értékpapír esetén annak vételára</w:t>
            </w:r>
          </w:p>
        </w:tc>
        <w:tc>
          <w:tcPr>
            <w:tcW w:w="880" w:type="dxa"/>
            <w:tcBorders>
              <w:top w:val="nil"/>
              <w:left w:val="nil"/>
              <w:bottom w:val="single" w:sz="4" w:space="0" w:color="auto"/>
              <w:right w:val="single" w:sz="4" w:space="0" w:color="auto"/>
            </w:tcBorders>
            <w:vAlign w:val="center"/>
            <w:hideMark/>
          </w:tcPr>
          <w:p w14:paraId="168E376E" w14:textId="77777777" w:rsidR="00374262" w:rsidRDefault="00374262">
            <w:pPr>
              <w:jc w:val="center"/>
              <w:rPr>
                <w:color w:val="000000"/>
                <w:sz w:val="16"/>
                <w:szCs w:val="16"/>
              </w:rPr>
            </w:pPr>
            <w:r>
              <w:rPr>
                <w:color w:val="000000"/>
                <w:sz w:val="16"/>
                <w:szCs w:val="16"/>
              </w:rPr>
              <w:t>10.</w:t>
            </w:r>
          </w:p>
        </w:tc>
        <w:tc>
          <w:tcPr>
            <w:tcW w:w="1420" w:type="dxa"/>
            <w:tcBorders>
              <w:top w:val="nil"/>
              <w:left w:val="nil"/>
              <w:bottom w:val="single" w:sz="4" w:space="0" w:color="auto"/>
              <w:right w:val="single" w:sz="4" w:space="0" w:color="auto"/>
            </w:tcBorders>
            <w:vAlign w:val="center"/>
            <w:hideMark/>
          </w:tcPr>
          <w:p w14:paraId="68F136F3"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4" w:space="0" w:color="auto"/>
            </w:tcBorders>
            <w:vAlign w:val="center"/>
            <w:hideMark/>
          </w:tcPr>
          <w:p w14:paraId="08D5E6C4"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single" w:sz="4" w:space="0" w:color="auto"/>
              <w:right w:val="single" w:sz="4" w:space="0" w:color="auto"/>
            </w:tcBorders>
            <w:vAlign w:val="center"/>
            <w:hideMark/>
          </w:tcPr>
          <w:p w14:paraId="1102A28E"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8" w:space="0" w:color="auto"/>
            </w:tcBorders>
            <w:vAlign w:val="center"/>
            <w:hideMark/>
          </w:tcPr>
          <w:p w14:paraId="2D22E1A7"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39449DE0" w14:textId="77777777" w:rsidTr="00374262">
        <w:trPr>
          <w:trHeight w:val="630"/>
        </w:trPr>
        <w:tc>
          <w:tcPr>
            <w:tcW w:w="3660" w:type="dxa"/>
            <w:tcBorders>
              <w:top w:val="nil"/>
              <w:left w:val="single" w:sz="8" w:space="0" w:color="auto"/>
              <w:bottom w:val="single" w:sz="4" w:space="0" w:color="auto"/>
              <w:right w:val="single" w:sz="4" w:space="0" w:color="auto"/>
            </w:tcBorders>
            <w:vAlign w:val="center"/>
            <w:hideMark/>
          </w:tcPr>
          <w:p w14:paraId="22A02412" w14:textId="77777777" w:rsidR="00374262" w:rsidRDefault="00374262">
            <w:pPr>
              <w:rPr>
                <w:color w:val="222222"/>
                <w:sz w:val="14"/>
                <w:szCs w:val="14"/>
              </w:rPr>
            </w:pPr>
            <w:r>
              <w:rPr>
                <w:color w:val="222222"/>
                <w:sz w:val="14"/>
                <w:szCs w:val="14"/>
              </w:rPr>
              <w:t>Váltó kibocsátása a kibocsátás napjától a beváltás napjáig, és annak a váltóval kiváltott kötelezettséggel megegyező, kamatot nem tartalmazó értéke</w:t>
            </w:r>
          </w:p>
        </w:tc>
        <w:tc>
          <w:tcPr>
            <w:tcW w:w="880" w:type="dxa"/>
            <w:tcBorders>
              <w:top w:val="nil"/>
              <w:left w:val="nil"/>
              <w:bottom w:val="single" w:sz="4" w:space="0" w:color="auto"/>
              <w:right w:val="single" w:sz="4" w:space="0" w:color="auto"/>
            </w:tcBorders>
            <w:vAlign w:val="center"/>
            <w:hideMark/>
          </w:tcPr>
          <w:p w14:paraId="749486F9" w14:textId="77777777" w:rsidR="00374262" w:rsidRDefault="00374262">
            <w:pPr>
              <w:jc w:val="center"/>
              <w:rPr>
                <w:color w:val="000000"/>
                <w:sz w:val="16"/>
                <w:szCs w:val="16"/>
              </w:rPr>
            </w:pPr>
            <w:r>
              <w:rPr>
                <w:color w:val="000000"/>
                <w:sz w:val="16"/>
                <w:szCs w:val="16"/>
              </w:rPr>
              <w:t>11.</w:t>
            </w:r>
          </w:p>
        </w:tc>
        <w:tc>
          <w:tcPr>
            <w:tcW w:w="1420" w:type="dxa"/>
            <w:tcBorders>
              <w:top w:val="nil"/>
              <w:left w:val="nil"/>
              <w:bottom w:val="single" w:sz="4" w:space="0" w:color="auto"/>
              <w:right w:val="single" w:sz="4" w:space="0" w:color="auto"/>
            </w:tcBorders>
            <w:vAlign w:val="center"/>
            <w:hideMark/>
          </w:tcPr>
          <w:p w14:paraId="010B06C1"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4" w:space="0" w:color="auto"/>
            </w:tcBorders>
            <w:vAlign w:val="center"/>
            <w:hideMark/>
          </w:tcPr>
          <w:p w14:paraId="1F0EDD2D"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single" w:sz="4" w:space="0" w:color="auto"/>
              <w:right w:val="single" w:sz="4" w:space="0" w:color="auto"/>
            </w:tcBorders>
            <w:vAlign w:val="center"/>
            <w:hideMark/>
          </w:tcPr>
          <w:p w14:paraId="1847D0A2"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8" w:space="0" w:color="auto"/>
            </w:tcBorders>
            <w:vAlign w:val="center"/>
            <w:hideMark/>
          </w:tcPr>
          <w:p w14:paraId="161B8832"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43232F78" w14:textId="77777777" w:rsidTr="00374262">
        <w:trPr>
          <w:trHeight w:val="810"/>
        </w:trPr>
        <w:tc>
          <w:tcPr>
            <w:tcW w:w="3660" w:type="dxa"/>
            <w:tcBorders>
              <w:top w:val="nil"/>
              <w:left w:val="single" w:sz="8" w:space="0" w:color="auto"/>
              <w:bottom w:val="single" w:sz="4" w:space="0" w:color="auto"/>
              <w:right w:val="single" w:sz="4" w:space="0" w:color="auto"/>
            </w:tcBorders>
            <w:vAlign w:val="center"/>
            <w:hideMark/>
          </w:tcPr>
          <w:p w14:paraId="186962F2" w14:textId="77777777" w:rsidR="00374262" w:rsidRDefault="00374262">
            <w:pPr>
              <w:rPr>
                <w:color w:val="222222"/>
                <w:sz w:val="14"/>
                <w:szCs w:val="14"/>
              </w:rPr>
            </w:pPr>
            <w:r>
              <w:rPr>
                <w:color w:val="222222"/>
                <w:sz w:val="14"/>
                <w:szCs w:val="14"/>
              </w:rPr>
              <w:t xml:space="preserve">Az Szt. szerint pénzügyi lízing </w:t>
            </w:r>
            <w:proofErr w:type="spellStart"/>
            <w:r>
              <w:rPr>
                <w:color w:val="222222"/>
                <w:sz w:val="14"/>
                <w:szCs w:val="14"/>
              </w:rPr>
              <w:t>lízingbevevői</w:t>
            </w:r>
            <w:proofErr w:type="spellEnd"/>
            <w:r>
              <w:rPr>
                <w:color w:val="222222"/>
                <w:sz w:val="14"/>
                <w:szCs w:val="14"/>
              </w:rPr>
              <w:t xml:space="preserve"> félként történő megkötése a lízing futamideje alatt, és a lízingszerződésben kikötött tőkerész hátralévő összege</w:t>
            </w:r>
          </w:p>
        </w:tc>
        <w:tc>
          <w:tcPr>
            <w:tcW w:w="880" w:type="dxa"/>
            <w:tcBorders>
              <w:top w:val="nil"/>
              <w:left w:val="nil"/>
              <w:bottom w:val="single" w:sz="4" w:space="0" w:color="auto"/>
              <w:right w:val="single" w:sz="4" w:space="0" w:color="auto"/>
            </w:tcBorders>
            <w:vAlign w:val="center"/>
            <w:hideMark/>
          </w:tcPr>
          <w:p w14:paraId="1E05A180" w14:textId="77777777" w:rsidR="00374262" w:rsidRDefault="00374262">
            <w:pPr>
              <w:jc w:val="center"/>
              <w:rPr>
                <w:color w:val="000000"/>
                <w:sz w:val="16"/>
                <w:szCs w:val="16"/>
              </w:rPr>
            </w:pPr>
            <w:r>
              <w:rPr>
                <w:color w:val="000000"/>
                <w:sz w:val="16"/>
                <w:szCs w:val="16"/>
              </w:rPr>
              <w:t>12.</w:t>
            </w:r>
          </w:p>
        </w:tc>
        <w:tc>
          <w:tcPr>
            <w:tcW w:w="1420" w:type="dxa"/>
            <w:tcBorders>
              <w:top w:val="nil"/>
              <w:left w:val="nil"/>
              <w:bottom w:val="single" w:sz="4" w:space="0" w:color="auto"/>
              <w:right w:val="single" w:sz="4" w:space="0" w:color="auto"/>
            </w:tcBorders>
            <w:shd w:val="clear" w:color="000000" w:fill="FFFFFF"/>
            <w:vAlign w:val="center"/>
            <w:hideMark/>
          </w:tcPr>
          <w:p w14:paraId="59117F32" w14:textId="77777777" w:rsidR="00374262" w:rsidRDefault="00374262">
            <w:pPr>
              <w:ind w:firstLineChars="100" w:firstLine="160"/>
              <w:jc w:val="right"/>
              <w:rPr>
                <w:color w:val="000000"/>
                <w:sz w:val="16"/>
                <w:szCs w:val="16"/>
              </w:rPr>
            </w:pPr>
            <w:r>
              <w:rPr>
                <w:color w:val="000000"/>
                <w:sz w:val="16"/>
                <w:szCs w:val="16"/>
              </w:rPr>
              <w:t>1 274 281</w:t>
            </w:r>
          </w:p>
        </w:tc>
        <w:tc>
          <w:tcPr>
            <w:tcW w:w="1360" w:type="dxa"/>
            <w:tcBorders>
              <w:top w:val="nil"/>
              <w:left w:val="nil"/>
              <w:bottom w:val="single" w:sz="4" w:space="0" w:color="auto"/>
              <w:right w:val="single" w:sz="4" w:space="0" w:color="auto"/>
            </w:tcBorders>
            <w:shd w:val="clear" w:color="000000" w:fill="FFFFFF"/>
            <w:vAlign w:val="center"/>
            <w:hideMark/>
          </w:tcPr>
          <w:p w14:paraId="0F4976E3" w14:textId="77777777" w:rsidR="00374262" w:rsidRDefault="00374262">
            <w:pPr>
              <w:ind w:firstLineChars="100" w:firstLine="160"/>
              <w:jc w:val="right"/>
              <w:rPr>
                <w:color w:val="000000"/>
                <w:sz w:val="16"/>
                <w:szCs w:val="16"/>
              </w:rPr>
            </w:pPr>
            <w:r>
              <w:rPr>
                <w:color w:val="000000"/>
                <w:sz w:val="16"/>
                <w:szCs w:val="16"/>
              </w:rPr>
              <w:t>1 403 530</w:t>
            </w:r>
          </w:p>
        </w:tc>
        <w:tc>
          <w:tcPr>
            <w:tcW w:w="1300" w:type="dxa"/>
            <w:tcBorders>
              <w:top w:val="nil"/>
              <w:left w:val="nil"/>
              <w:bottom w:val="single" w:sz="4" w:space="0" w:color="auto"/>
              <w:right w:val="single" w:sz="4" w:space="0" w:color="auto"/>
            </w:tcBorders>
            <w:shd w:val="clear" w:color="000000" w:fill="FFFFFF"/>
            <w:vAlign w:val="center"/>
            <w:hideMark/>
          </w:tcPr>
          <w:p w14:paraId="10628E27" w14:textId="77777777" w:rsidR="00374262" w:rsidRDefault="00374262">
            <w:pPr>
              <w:ind w:firstLineChars="100" w:firstLine="160"/>
              <w:jc w:val="right"/>
              <w:rPr>
                <w:color w:val="000000"/>
                <w:sz w:val="16"/>
                <w:szCs w:val="16"/>
              </w:rPr>
            </w:pPr>
            <w:r>
              <w:rPr>
                <w:color w:val="000000"/>
                <w:sz w:val="16"/>
                <w:szCs w:val="16"/>
              </w:rPr>
              <w:t>1 545 893</w:t>
            </w:r>
          </w:p>
        </w:tc>
        <w:tc>
          <w:tcPr>
            <w:tcW w:w="1360" w:type="dxa"/>
            <w:tcBorders>
              <w:top w:val="nil"/>
              <w:left w:val="nil"/>
              <w:bottom w:val="single" w:sz="4" w:space="0" w:color="auto"/>
              <w:right w:val="single" w:sz="8" w:space="0" w:color="auto"/>
            </w:tcBorders>
            <w:vAlign w:val="center"/>
            <w:hideMark/>
          </w:tcPr>
          <w:p w14:paraId="2FF41DAC" w14:textId="77777777" w:rsidR="00374262" w:rsidRDefault="00374262">
            <w:pPr>
              <w:ind w:firstLineChars="100" w:firstLine="160"/>
              <w:jc w:val="right"/>
              <w:rPr>
                <w:b/>
                <w:bCs/>
                <w:color w:val="000000"/>
                <w:sz w:val="16"/>
                <w:szCs w:val="16"/>
              </w:rPr>
            </w:pPr>
            <w:r>
              <w:rPr>
                <w:b/>
                <w:bCs/>
                <w:color w:val="000000"/>
                <w:sz w:val="16"/>
                <w:szCs w:val="16"/>
              </w:rPr>
              <w:t>4 223 704</w:t>
            </w:r>
          </w:p>
        </w:tc>
      </w:tr>
      <w:tr w:rsidR="00374262" w14:paraId="351891E9" w14:textId="77777777" w:rsidTr="00374262">
        <w:trPr>
          <w:trHeight w:val="1050"/>
        </w:trPr>
        <w:tc>
          <w:tcPr>
            <w:tcW w:w="3660" w:type="dxa"/>
            <w:tcBorders>
              <w:top w:val="nil"/>
              <w:left w:val="single" w:sz="8" w:space="0" w:color="auto"/>
              <w:bottom w:val="single" w:sz="4" w:space="0" w:color="auto"/>
              <w:right w:val="single" w:sz="4" w:space="0" w:color="auto"/>
            </w:tcBorders>
            <w:vAlign w:val="center"/>
            <w:hideMark/>
          </w:tcPr>
          <w:p w14:paraId="37E0DC38" w14:textId="77777777" w:rsidR="00374262" w:rsidRDefault="00374262">
            <w:pPr>
              <w:rPr>
                <w:color w:val="222222"/>
                <w:sz w:val="14"/>
                <w:szCs w:val="14"/>
              </w:rPr>
            </w:pPr>
            <w:r>
              <w:rPr>
                <w:color w:val="222222"/>
                <w:sz w:val="14"/>
                <w:szCs w:val="14"/>
              </w:rPr>
              <w:t xml:space="preserve">A visszavásárlási kötelezettség kikötésével megkötött adásvételi szerződés eladói félként történő megkötése - ideértve az Szt. szerinti valódi penziós és óvadéki </w:t>
            </w:r>
            <w:proofErr w:type="spellStart"/>
            <w:r>
              <w:rPr>
                <w:color w:val="222222"/>
                <w:sz w:val="14"/>
                <w:szCs w:val="14"/>
              </w:rPr>
              <w:t>repóügyleteket</w:t>
            </w:r>
            <w:proofErr w:type="spellEnd"/>
            <w:r>
              <w:rPr>
                <w:color w:val="222222"/>
                <w:sz w:val="14"/>
                <w:szCs w:val="14"/>
              </w:rPr>
              <w:t xml:space="preserve"> is - a visszavásárlásig, és a kikötött visszavásárlási ár</w:t>
            </w:r>
          </w:p>
        </w:tc>
        <w:tc>
          <w:tcPr>
            <w:tcW w:w="880" w:type="dxa"/>
            <w:tcBorders>
              <w:top w:val="nil"/>
              <w:left w:val="nil"/>
              <w:bottom w:val="single" w:sz="4" w:space="0" w:color="auto"/>
              <w:right w:val="single" w:sz="4" w:space="0" w:color="auto"/>
            </w:tcBorders>
            <w:vAlign w:val="center"/>
            <w:hideMark/>
          </w:tcPr>
          <w:p w14:paraId="486D3113" w14:textId="77777777" w:rsidR="00374262" w:rsidRDefault="00374262">
            <w:pPr>
              <w:jc w:val="center"/>
              <w:rPr>
                <w:color w:val="000000"/>
                <w:sz w:val="16"/>
                <w:szCs w:val="16"/>
              </w:rPr>
            </w:pPr>
            <w:r>
              <w:rPr>
                <w:color w:val="000000"/>
                <w:sz w:val="16"/>
                <w:szCs w:val="16"/>
              </w:rPr>
              <w:t>13.</w:t>
            </w:r>
          </w:p>
        </w:tc>
        <w:tc>
          <w:tcPr>
            <w:tcW w:w="1420" w:type="dxa"/>
            <w:tcBorders>
              <w:top w:val="nil"/>
              <w:left w:val="nil"/>
              <w:bottom w:val="single" w:sz="4" w:space="0" w:color="auto"/>
              <w:right w:val="single" w:sz="4" w:space="0" w:color="auto"/>
            </w:tcBorders>
            <w:vAlign w:val="center"/>
            <w:hideMark/>
          </w:tcPr>
          <w:p w14:paraId="200092DA"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4" w:space="0" w:color="auto"/>
            </w:tcBorders>
            <w:vAlign w:val="center"/>
            <w:hideMark/>
          </w:tcPr>
          <w:p w14:paraId="510E6CB7"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single" w:sz="4" w:space="0" w:color="auto"/>
              <w:right w:val="single" w:sz="4" w:space="0" w:color="auto"/>
            </w:tcBorders>
            <w:vAlign w:val="center"/>
            <w:hideMark/>
          </w:tcPr>
          <w:p w14:paraId="316D992D"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8" w:space="0" w:color="auto"/>
            </w:tcBorders>
            <w:vAlign w:val="center"/>
            <w:hideMark/>
          </w:tcPr>
          <w:p w14:paraId="549A0E04"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27DC43B8" w14:textId="77777777" w:rsidTr="00374262">
        <w:trPr>
          <w:trHeight w:val="750"/>
        </w:trPr>
        <w:tc>
          <w:tcPr>
            <w:tcW w:w="3660" w:type="dxa"/>
            <w:tcBorders>
              <w:top w:val="nil"/>
              <w:left w:val="single" w:sz="8" w:space="0" w:color="auto"/>
              <w:bottom w:val="single" w:sz="4" w:space="0" w:color="auto"/>
              <w:right w:val="single" w:sz="4" w:space="0" w:color="auto"/>
            </w:tcBorders>
            <w:vAlign w:val="center"/>
            <w:hideMark/>
          </w:tcPr>
          <w:p w14:paraId="0AA2650D" w14:textId="77777777" w:rsidR="00374262" w:rsidRDefault="00374262">
            <w:pPr>
              <w:rPr>
                <w:color w:val="222222"/>
                <w:sz w:val="14"/>
                <w:szCs w:val="14"/>
              </w:rPr>
            </w:pPr>
            <w:r>
              <w:rPr>
                <w:color w:val="222222"/>
                <w:sz w:val="14"/>
                <w:szCs w:val="14"/>
              </w:rPr>
              <w:t>A szerződésben kapott, legalább háromszázhatvanöt nap időtartamú halasztott fizetés, részletfizetés, és a még ki nem fizetett ellenérték</w:t>
            </w:r>
          </w:p>
        </w:tc>
        <w:tc>
          <w:tcPr>
            <w:tcW w:w="880" w:type="dxa"/>
            <w:tcBorders>
              <w:top w:val="nil"/>
              <w:left w:val="nil"/>
              <w:bottom w:val="single" w:sz="4" w:space="0" w:color="auto"/>
              <w:right w:val="single" w:sz="4" w:space="0" w:color="auto"/>
            </w:tcBorders>
            <w:vAlign w:val="center"/>
            <w:hideMark/>
          </w:tcPr>
          <w:p w14:paraId="130B4931" w14:textId="77777777" w:rsidR="00374262" w:rsidRDefault="00374262">
            <w:pPr>
              <w:jc w:val="center"/>
              <w:rPr>
                <w:color w:val="000000"/>
                <w:sz w:val="16"/>
                <w:szCs w:val="16"/>
              </w:rPr>
            </w:pPr>
            <w:r>
              <w:rPr>
                <w:color w:val="000000"/>
                <w:sz w:val="16"/>
                <w:szCs w:val="16"/>
              </w:rPr>
              <w:t>14.</w:t>
            </w:r>
          </w:p>
        </w:tc>
        <w:tc>
          <w:tcPr>
            <w:tcW w:w="1420" w:type="dxa"/>
            <w:tcBorders>
              <w:top w:val="nil"/>
              <w:left w:val="nil"/>
              <w:bottom w:val="single" w:sz="4" w:space="0" w:color="auto"/>
              <w:right w:val="single" w:sz="4" w:space="0" w:color="auto"/>
            </w:tcBorders>
            <w:vAlign w:val="center"/>
            <w:hideMark/>
          </w:tcPr>
          <w:p w14:paraId="33038962"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4" w:space="0" w:color="auto"/>
            </w:tcBorders>
            <w:vAlign w:val="center"/>
            <w:hideMark/>
          </w:tcPr>
          <w:p w14:paraId="29BA515D"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single" w:sz="4" w:space="0" w:color="auto"/>
              <w:right w:val="single" w:sz="4" w:space="0" w:color="auto"/>
            </w:tcBorders>
            <w:vAlign w:val="center"/>
            <w:hideMark/>
          </w:tcPr>
          <w:p w14:paraId="6BD031AD"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single" w:sz="4" w:space="0" w:color="auto"/>
              <w:right w:val="single" w:sz="8" w:space="0" w:color="auto"/>
            </w:tcBorders>
            <w:vAlign w:val="center"/>
            <w:hideMark/>
          </w:tcPr>
          <w:p w14:paraId="2D0EB255"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256D496D" w14:textId="77777777" w:rsidTr="00374262">
        <w:trPr>
          <w:trHeight w:val="870"/>
        </w:trPr>
        <w:tc>
          <w:tcPr>
            <w:tcW w:w="3660" w:type="dxa"/>
            <w:tcBorders>
              <w:top w:val="nil"/>
              <w:left w:val="single" w:sz="8" w:space="0" w:color="auto"/>
              <w:bottom w:val="nil"/>
              <w:right w:val="single" w:sz="4" w:space="0" w:color="auto"/>
            </w:tcBorders>
            <w:vAlign w:val="center"/>
            <w:hideMark/>
          </w:tcPr>
          <w:p w14:paraId="481E9F58" w14:textId="77777777" w:rsidR="00374262" w:rsidRDefault="00374262">
            <w:pPr>
              <w:rPr>
                <w:color w:val="222222"/>
                <w:sz w:val="14"/>
                <w:szCs w:val="14"/>
              </w:rPr>
            </w:pPr>
            <w:r>
              <w:rPr>
                <w:color w:val="222222"/>
                <w:sz w:val="14"/>
                <w:szCs w:val="14"/>
              </w:rPr>
              <w:t xml:space="preserve">hitelintézetek által, származékos műveletek különbözeteként az Államadósság Kezelő Központ </w:t>
            </w:r>
            <w:proofErr w:type="spellStart"/>
            <w:r>
              <w:rPr>
                <w:color w:val="222222"/>
                <w:sz w:val="14"/>
                <w:szCs w:val="14"/>
              </w:rPr>
              <w:t>Zrt</w:t>
            </w:r>
            <w:proofErr w:type="spellEnd"/>
            <w:r>
              <w:rPr>
                <w:color w:val="222222"/>
                <w:sz w:val="14"/>
                <w:szCs w:val="14"/>
              </w:rPr>
              <w:t>.-</w:t>
            </w:r>
            <w:proofErr w:type="spellStart"/>
            <w:r>
              <w:rPr>
                <w:color w:val="222222"/>
                <w:sz w:val="14"/>
                <w:szCs w:val="14"/>
              </w:rPr>
              <w:t>nél</w:t>
            </w:r>
            <w:proofErr w:type="spellEnd"/>
            <w:r>
              <w:rPr>
                <w:color w:val="222222"/>
                <w:sz w:val="14"/>
                <w:szCs w:val="14"/>
              </w:rPr>
              <w:t xml:space="preserve"> (a továbbiakban: ÁKK </w:t>
            </w:r>
            <w:proofErr w:type="spellStart"/>
            <w:r>
              <w:rPr>
                <w:color w:val="222222"/>
                <w:sz w:val="14"/>
                <w:szCs w:val="14"/>
              </w:rPr>
              <w:t>Zrt</w:t>
            </w:r>
            <w:proofErr w:type="spellEnd"/>
            <w:r>
              <w:rPr>
                <w:color w:val="222222"/>
                <w:sz w:val="14"/>
                <w:szCs w:val="14"/>
              </w:rPr>
              <w:t>.) elhelyezett fedezeti betétek, és azok összege</w:t>
            </w:r>
          </w:p>
        </w:tc>
        <w:tc>
          <w:tcPr>
            <w:tcW w:w="880" w:type="dxa"/>
            <w:tcBorders>
              <w:top w:val="nil"/>
              <w:left w:val="nil"/>
              <w:bottom w:val="nil"/>
              <w:right w:val="single" w:sz="4" w:space="0" w:color="auto"/>
            </w:tcBorders>
            <w:vAlign w:val="center"/>
            <w:hideMark/>
          </w:tcPr>
          <w:p w14:paraId="59D3C0F8" w14:textId="77777777" w:rsidR="00374262" w:rsidRDefault="00374262">
            <w:pPr>
              <w:jc w:val="center"/>
              <w:rPr>
                <w:color w:val="000000"/>
                <w:sz w:val="16"/>
                <w:szCs w:val="16"/>
              </w:rPr>
            </w:pPr>
            <w:r>
              <w:rPr>
                <w:color w:val="000000"/>
                <w:sz w:val="16"/>
                <w:szCs w:val="16"/>
              </w:rPr>
              <w:t>15.</w:t>
            </w:r>
          </w:p>
        </w:tc>
        <w:tc>
          <w:tcPr>
            <w:tcW w:w="1420" w:type="dxa"/>
            <w:tcBorders>
              <w:top w:val="nil"/>
              <w:left w:val="nil"/>
              <w:bottom w:val="nil"/>
              <w:right w:val="single" w:sz="4" w:space="0" w:color="auto"/>
            </w:tcBorders>
            <w:vAlign w:val="center"/>
            <w:hideMark/>
          </w:tcPr>
          <w:p w14:paraId="2B9EC74E"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nil"/>
              <w:right w:val="single" w:sz="4" w:space="0" w:color="auto"/>
            </w:tcBorders>
            <w:vAlign w:val="center"/>
            <w:hideMark/>
          </w:tcPr>
          <w:p w14:paraId="0550D3AE" w14:textId="77777777" w:rsidR="00374262" w:rsidRDefault="00374262">
            <w:pPr>
              <w:ind w:firstLineChars="100" w:firstLine="120"/>
              <w:jc w:val="right"/>
              <w:rPr>
                <w:color w:val="000000"/>
                <w:sz w:val="12"/>
                <w:szCs w:val="12"/>
              </w:rPr>
            </w:pPr>
            <w:r>
              <w:rPr>
                <w:color w:val="000000"/>
                <w:sz w:val="12"/>
                <w:szCs w:val="12"/>
              </w:rPr>
              <w:t> </w:t>
            </w:r>
          </w:p>
        </w:tc>
        <w:tc>
          <w:tcPr>
            <w:tcW w:w="1300" w:type="dxa"/>
            <w:tcBorders>
              <w:top w:val="nil"/>
              <w:left w:val="nil"/>
              <w:bottom w:val="nil"/>
              <w:right w:val="single" w:sz="4" w:space="0" w:color="auto"/>
            </w:tcBorders>
            <w:vAlign w:val="center"/>
            <w:hideMark/>
          </w:tcPr>
          <w:p w14:paraId="08D5739C" w14:textId="77777777" w:rsidR="00374262" w:rsidRDefault="00374262">
            <w:pPr>
              <w:ind w:firstLineChars="100" w:firstLine="120"/>
              <w:jc w:val="right"/>
              <w:rPr>
                <w:color w:val="000000"/>
                <w:sz w:val="12"/>
                <w:szCs w:val="12"/>
              </w:rPr>
            </w:pPr>
            <w:r>
              <w:rPr>
                <w:color w:val="000000"/>
                <w:sz w:val="12"/>
                <w:szCs w:val="12"/>
              </w:rPr>
              <w:t> </w:t>
            </w:r>
          </w:p>
        </w:tc>
        <w:tc>
          <w:tcPr>
            <w:tcW w:w="1360" w:type="dxa"/>
            <w:tcBorders>
              <w:top w:val="nil"/>
              <w:left w:val="nil"/>
              <w:bottom w:val="nil"/>
              <w:right w:val="single" w:sz="8" w:space="0" w:color="auto"/>
            </w:tcBorders>
            <w:vAlign w:val="center"/>
            <w:hideMark/>
          </w:tcPr>
          <w:p w14:paraId="7FC0E064" w14:textId="77777777" w:rsidR="00374262" w:rsidRDefault="00374262">
            <w:pPr>
              <w:ind w:firstLineChars="100" w:firstLine="160"/>
              <w:jc w:val="right"/>
              <w:rPr>
                <w:b/>
                <w:bCs/>
                <w:color w:val="000000"/>
                <w:sz w:val="16"/>
                <w:szCs w:val="16"/>
              </w:rPr>
            </w:pPr>
            <w:r>
              <w:rPr>
                <w:b/>
                <w:bCs/>
                <w:color w:val="000000"/>
                <w:sz w:val="16"/>
                <w:szCs w:val="16"/>
              </w:rPr>
              <w:t> </w:t>
            </w:r>
          </w:p>
        </w:tc>
      </w:tr>
      <w:tr w:rsidR="00374262" w14:paraId="001B2BEA" w14:textId="77777777" w:rsidTr="00374262">
        <w:trPr>
          <w:trHeight w:val="315"/>
        </w:trPr>
        <w:tc>
          <w:tcPr>
            <w:tcW w:w="3660" w:type="dxa"/>
            <w:tcBorders>
              <w:top w:val="single" w:sz="8" w:space="0" w:color="auto"/>
              <w:left w:val="single" w:sz="8" w:space="0" w:color="auto"/>
              <w:bottom w:val="single" w:sz="8" w:space="0" w:color="auto"/>
              <w:right w:val="single" w:sz="4" w:space="0" w:color="auto"/>
            </w:tcBorders>
            <w:vAlign w:val="center"/>
            <w:hideMark/>
          </w:tcPr>
          <w:p w14:paraId="6CA6A00E" w14:textId="77777777" w:rsidR="00374262" w:rsidRDefault="00374262">
            <w:pPr>
              <w:rPr>
                <w:b/>
                <w:bCs/>
                <w:color w:val="000000"/>
                <w:sz w:val="16"/>
                <w:szCs w:val="16"/>
              </w:rPr>
            </w:pPr>
            <w:r>
              <w:rPr>
                <w:b/>
                <w:bCs/>
                <w:color w:val="000000"/>
                <w:sz w:val="16"/>
                <w:szCs w:val="16"/>
              </w:rPr>
              <w:t>Fizetési kötelezettség (09+…+15)</w:t>
            </w:r>
          </w:p>
        </w:tc>
        <w:tc>
          <w:tcPr>
            <w:tcW w:w="880" w:type="dxa"/>
            <w:tcBorders>
              <w:top w:val="single" w:sz="8" w:space="0" w:color="auto"/>
              <w:left w:val="nil"/>
              <w:bottom w:val="single" w:sz="8" w:space="0" w:color="auto"/>
              <w:right w:val="single" w:sz="4" w:space="0" w:color="auto"/>
            </w:tcBorders>
            <w:vAlign w:val="center"/>
            <w:hideMark/>
          </w:tcPr>
          <w:p w14:paraId="4F572189" w14:textId="77777777" w:rsidR="00374262" w:rsidRDefault="00374262">
            <w:pPr>
              <w:jc w:val="center"/>
              <w:rPr>
                <w:b/>
                <w:bCs/>
                <w:color w:val="000000"/>
                <w:sz w:val="16"/>
                <w:szCs w:val="16"/>
              </w:rPr>
            </w:pPr>
            <w:r>
              <w:rPr>
                <w:b/>
                <w:bCs/>
                <w:color w:val="000000"/>
                <w:sz w:val="16"/>
                <w:szCs w:val="16"/>
              </w:rPr>
              <w:t>16</w:t>
            </w:r>
          </w:p>
        </w:tc>
        <w:tc>
          <w:tcPr>
            <w:tcW w:w="1420" w:type="dxa"/>
            <w:tcBorders>
              <w:top w:val="single" w:sz="8" w:space="0" w:color="auto"/>
              <w:left w:val="nil"/>
              <w:bottom w:val="single" w:sz="8" w:space="0" w:color="auto"/>
              <w:right w:val="single" w:sz="4" w:space="0" w:color="auto"/>
            </w:tcBorders>
            <w:vAlign w:val="center"/>
            <w:hideMark/>
          </w:tcPr>
          <w:p w14:paraId="5CAE66B3" w14:textId="77777777" w:rsidR="00374262" w:rsidRDefault="00374262">
            <w:pPr>
              <w:ind w:firstLineChars="100" w:firstLine="160"/>
              <w:jc w:val="right"/>
              <w:rPr>
                <w:b/>
                <w:bCs/>
                <w:color w:val="000000"/>
                <w:sz w:val="16"/>
                <w:szCs w:val="16"/>
              </w:rPr>
            </w:pPr>
            <w:r>
              <w:rPr>
                <w:b/>
                <w:bCs/>
                <w:color w:val="000000"/>
                <w:sz w:val="16"/>
                <w:szCs w:val="16"/>
              </w:rPr>
              <w:t>1 274 281</w:t>
            </w:r>
          </w:p>
        </w:tc>
        <w:tc>
          <w:tcPr>
            <w:tcW w:w="1360" w:type="dxa"/>
            <w:tcBorders>
              <w:top w:val="single" w:sz="8" w:space="0" w:color="auto"/>
              <w:left w:val="nil"/>
              <w:bottom w:val="single" w:sz="8" w:space="0" w:color="auto"/>
              <w:right w:val="single" w:sz="4" w:space="0" w:color="auto"/>
            </w:tcBorders>
            <w:vAlign w:val="center"/>
            <w:hideMark/>
          </w:tcPr>
          <w:p w14:paraId="29A6CA61" w14:textId="77777777" w:rsidR="00374262" w:rsidRDefault="00374262">
            <w:pPr>
              <w:ind w:firstLineChars="100" w:firstLine="160"/>
              <w:jc w:val="right"/>
              <w:rPr>
                <w:b/>
                <w:bCs/>
                <w:color w:val="000000"/>
                <w:sz w:val="16"/>
                <w:szCs w:val="16"/>
              </w:rPr>
            </w:pPr>
            <w:r>
              <w:rPr>
                <w:b/>
                <w:bCs/>
                <w:color w:val="000000"/>
                <w:sz w:val="16"/>
                <w:szCs w:val="16"/>
              </w:rPr>
              <w:t>1 403 530</w:t>
            </w:r>
          </w:p>
        </w:tc>
        <w:tc>
          <w:tcPr>
            <w:tcW w:w="1300" w:type="dxa"/>
            <w:tcBorders>
              <w:top w:val="single" w:sz="8" w:space="0" w:color="auto"/>
              <w:left w:val="nil"/>
              <w:bottom w:val="single" w:sz="8" w:space="0" w:color="auto"/>
              <w:right w:val="single" w:sz="4" w:space="0" w:color="auto"/>
            </w:tcBorders>
            <w:vAlign w:val="center"/>
            <w:hideMark/>
          </w:tcPr>
          <w:p w14:paraId="7EAEAD8C" w14:textId="77777777" w:rsidR="00374262" w:rsidRDefault="00374262">
            <w:pPr>
              <w:ind w:firstLineChars="100" w:firstLine="160"/>
              <w:jc w:val="right"/>
              <w:rPr>
                <w:b/>
                <w:bCs/>
                <w:color w:val="000000"/>
                <w:sz w:val="16"/>
                <w:szCs w:val="16"/>
              </w:rPr>
            </w:pPr>
            <w:r>
              <w:rPr>
                <w:b/>
                <w:bCs/>
                <w:color w:val="000000"/>
                <w:sz w:val="16"/>
                <w:szCs w:val="16"/>
              </w:rPr>
              <w:t>1 545 893</w:t>
            </w:r>
          </w:p>
        </w:tc>
        <w:tc>
          <w:tcPr>
            <w:tcW w:w="1360" w:type="dxa"/>
            <w:tcBorders>
              <w:top w:val="single" w:sz="8" w:space="0" w:color="auto"/>
              <w:left w:val="nil"/>
              <w:bottom w:val="single" w:sz="8" w:space="0" w:color="auto"/>
              <w:right w:val="single" w:sz="8" w:space="0" w:color="auto"/>
            </w:tcBorders>
            <w:vAlign w:val="center"/>
            <w:hideMark/>
          </w:tcPr>
          <w:p w14:paraId="0E44CA8D" w14:textId="77777777" w:rsidR="00374262" w:rsidRDefault="00374262">
            <w:pPr>
              <w:ind w:firstLineChars="100" w:firstLine="160"/>
              <w:jc w:val="right"/>
              <w:rPr>
                <w:b/>
                <w:bCs/>
                <w:color w:val="000000"/>
                <w:sz w:val="16"/>
                <w:szCs w:val="16"/>
              </w:rPr>
            </w:pPr>
            <w:r>
              <w:rPr>
                <w:b/>
                <w:bCs/>
                <w:color w:val="000000"/>
                <w:sz w:val="16"/>
                <w:szCs w:val="16"/>
              </w:rPr>
              <w:t>4 223 704</w:t>
            </w:r>
          </w:p>
        </w:tc>
      </w:tr>
      <w:tr w:rsidR="00374262" w14:paraId="065D2903" w14:textId="77777777" w:rsidTr="00374262">
        <w:trPr>
          <w:trHeight w:val="435"/>
        </w:trPr>
        <w:tc>
          <w:tcPr>
            <w:tcW w:w="3660" w:type="dxa"/>
            <w:tcBorders>
              <w:top w:val="nil"/>
              <w:left w:val="single" w:sz="8" w:space="0" w:color="auto"/>
              <w:bottom w:val="single" w:sz="8" w:space="0" w:color="auto"/>
              <w:right w:val="single" w:sz="4" w:space="0" w:color="auto"/>
            </w:tcBorders>
            <w:vAlign w:val="center"/>
            <w:hideMark/>
          </w:tcPr>
          <w:p w14:paraId="2D705553" w14:textId="77777777" w:rsidR="00374262" w:rsidRDefault="00374262">
            <w:pPr>
              <w:rPr>
                <w:b/>
                <w:bCs/>
                <w:color w:val="000000"/>
                <w:sz w:val="16"/>
                <w:szCs w:val="16"/>
              </w:rPr>
            </w:pPr>
            <w:r>
              <w:rPr>
                <w:b/>
                <w:bCs/>
                <w:color w:val="000000"/>
                <w:sz w:val="16"/>
                <w:szCs w:val="16"/>
              </w:rPr>
              <w:t>Fizetési kötelezettséggel csökkentett saját bevétel (08-16)</w:t>
            </w:r>
          </w:p>
        </w:tc>
        <w:tc>
          <w:tcPr>
            <w:tcW w:w="880" w:type="dxa"/>
            <w:tcBorders>
              <w:top w:val="nil"/>
              <w:left w:val="nil"/>
              <w:bottom w:val="single" w:sz="8" w:space="0" w:color="auto"/>
              <w:right w:val="single" w:sz="4" w:space="0" w:color="auto"/>
            </w:tcBorders>
            <w:vAlign w:val="center"/>
            <w:hideMark/>
          </w:tcPr>
          <w:p w14:paraId="4986162A" w14:textId="77777777" w:rsidR="00374262" w:rsidRDefault="00374262">
            <w:pPr>
              <w:jc w:val="center"/>
              <w:rPr>
                <w:b/>
                <w:bCs/>
                <w:color w:val="000000"/>
                <w:sz w:val="16"/>
                <w:szCs w:val="16"/>
              </w:rPr>
            </w:pPr>
            <w:r>
              <w:rPr>
                <w:b/>
                <w:bCs/>
                <w:color w:val="000000"/>
                <w:sz w:val="16"/>
                <w:szCs w:val="16"/>
              </w:rPr>
              <w:t>17</w:t>
            </w:r>
          </w:p>
        </w:tc>
        <w:tc>
          <w:tcPr>
            <w:tcW w:w="1420" w:type="dxa"/>
            <w:tcBorders>
              <w:top w:val="nil"/>
              <w:left w:val="nil"/>
              <w:bottom w:val="single" w:sz="8" w:space="0" w:color="auto"/>
              <w:right w:val="single" w:sz="4" w:space="0" w:color="auto"/>
            </w:tcBorders>
            <w:vAlign w:val="center"/>
            <w:hideMark/>
          </w:tcPr>
          <w:p w14:paraId="380D1649" w14:textId="77777777" w:rsidR="00374262" w:rsidRDefault="00374262">
            <w:pPr>
              <w:ind w:firstLineChars="100" w:firstLine="160"/>
              <w:jc w:val="right"/>
              <w:rPr>
                <w:b/>
                <w:bCs/>
                <w:color w:val="000000"/>
                <w:sz w:val="16"/>
                <w:szCs w:val="16"/>
              </w:rPr>
            </w:pPr>
            <w:r>
              <w:rPr>
                <w:b/>
                <w:bCs/>
                <w:color w:val="000000"/>
                <w:sz w:val="16"/>
                <w:szCs w:val="16"/>
              </w:rPr>
              <w:t>275 475 719</w:t>
            </w:r>
          </w:p>
        </w:tc>
        <w:tc>
          <w:tcPr>
            <w:tcW w:w="1360" w:type="dxa"/>
            <w:tcBorders>
              <w:top w:val="nil"/>
              <w:left w:val="nil"/>
              <w:bottom w:val="single" w:sz="8" w:space="0" w:color="auto"/>
              <w:right w:val="single" w:sz="4" w:space="0" w:color="auto"/>
            </w:tcBorders>
            <w:vAlign w:val="center"/>
            <w:hideMark/>
          </w:tcPr>
          <w:p w14:paraId="691CBDDE" w14:textId="77777777" w:rsidR="00374262" w:rsidRDefault="00374262">
            <w:pPr>
              <w:ind w:firstLineChars="100" w:firstLine="160"/>
              <w:jc w:val="right"/>
              <w:rPr>
                <w:b/>
                <w:bCs/>
                <w:color w:val="000000"/>
                <w:sz w:val="16"/>
                <w:szCs w:val="16"/>
              </w:rPr>
            </w:pPr>
            <w:r>
              <w:rPr>
                <w:b/>
                <w:bCs/>
                <w:color w:val="000000"/>
                <w:sz w:val="16"/>
                <w:szCs w:val="16"/>
              </w:rPr>
              <w:t>280 896 470</w:t>
            </w:r>
          </w:p>
        </w:tc>
        <w:tc>
          <w:tcPr>
            <w:tcW w:w="1300" w:type="dxa"/>
            <w:tcBorders>
              <w:top w:val="nil"/>
              <w:left w:val="nil"/>
              <w:bottom w:val="single" w:sz="8" w:space="0" w:color="auto"/>
              <w:right w:val="single" w:sz="4" w:space="0" w:color="auto"/>
            </w:tcBorders>
            <w:vAlign w:val="center"/>
            <w:hideMark/>
          </w:tcPr>
          <w:p w14:paraId="0EACD534" w14:textId="77777777" w:rsidR="00374262" w:rsidRDefault="00374262">
            <w:pPr>
              <w:ind w:firstLineChars="100" w:firstLine="160"/>
              <w:jc w:val="right"/>
              <w:rPr>
                <w:b/>
                <w:bCs/>
                <w:color w:val="000000"/>
                <w:sz w:val="16"/>
                <w:szCs w:val="16"/>
              </w:rPr>
            </w:pPr>
            <w:r>
              <w:rPr>
                <w:b/>
                <w:bCs/>
                <w:color w:val="000000"/>
                <w:sz w:val="16"/>
                <w:szCs w:val="16"/>
              </w:rPr>
              <w:t>283 804 107</w:t>
            </w:r>
          </w:p>
        </w:tc>
        <w:tc>
          <w:tcPr>
            <w:tcW w:w="1360" w:type="dxa"/>
            <w:tcBorders>
              <w:top w:val="nil"/>
              <w:left w:val="nil"/>
              <w:bottom w:val="single" w:sz="8" w:space="0" w:color="auto"/>
              <w:right w:val="single" w:sz="8" w:space="0" w:color="auto"/>
            </w:tcBorders>
            <w:vAlign w:val="center"/>
            <w:hideMark/>
          </w:tcPr>
          <w:p w14:paraId="177BE06B" w14:textId="77777777" w:rsidR="00374262" w:rsidRDefault="00374262">
            <w:pPr>
              <w:ind w:firstLineChars="100" w:firstLine="160"/>
              <w:jc w:val="right"/>
              <w:rPr>
                <w:b/>
                <w:bCs/>
                <w:color w:val="000000"/>
                <w:sz w:val="16"/>
                <w:szCs w:val="16"/>
              </w:rPr>
            </w:pPr>
            <w:r>
              <w:rPr>
                <w:b/>
                <w:bCs/>
                <w:color w:val="000000"/>
                <w:sz w:val="16"/>
                <w:szCs w:val="16"/>
              </w:rPr>
              <w:t>840 176 296</w:t>
            </w:r>
          </w:p>
        </w:tc>
      </w:tr>
    </w:tbl>
    <w:p w14:paraId="5DC8CF67" w14:textId="76BF5530" w:rsidR="0062625B" w:rsidRDefault="0062625B"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2533FC9D" w14:textId="00BC3DE6" w:rsidR="00BE43E5" w:rsidRDefault="00BE43E5"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509F44BF" w14:textId="395A186F" w:rsidR="00BE43E5" w:rsidRDefault="00BE43E5"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506819F0" w14:textId="6F0E788C" w:rsidR="00374262" w:rsidRDefault="00374262"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19339802" w14:textId="11B72F5D" w:rsidR="00374262" w:rsidRDefault="00374262"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3BA0B2E4" w14:textId="23947C91" w:rsidR="00374262" w:rsidRDefault="00374262"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127B9D5F" w14:textId="77777777" w:rsidR="00374262" w:rsidRPr="002A2B45" w:rsidRDefault="00374262"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p>
    <w:p w14:paraId="21F5BB71" w14:textId="34773F6C" w:rsidR="006325C2" w:rsidRPr="00726C03" w:rsidRDefault="006325C2" w:rsidP="006325C2">
      <w:pPr>
        <w:tabs>
          <w:tab w:val="center" w:pos="4536"/>
          <w:tab w:val="right" w:pos="5160"/>
          <w:tab w:val="right" w:pos="9072"/>
        </w:tabs>
        <w:overflowPunct w:val="0"/>
        <w:autoSpaceDE w:val="0"/>
        <w:autoSpaceDN w:val="0"/>
        <w:adjustRightInd w:val="0"/>
        <w:textAlignment w:val="baseline"/>
        <w:rPr>
          <w:rFonts w:ascii="Arial" w:hAnsi="Arial" w:cs="Arial"/>
          <w:b/>
          <w:sz w:val="22"/>
          <w:szCs w:val="22"/>
          <w:lang w:eastAsia="hu-HU"/>
        </w:rPr>
      </w:pPr>
      <w:r w:rsidRPr="00726C03">
        <w:rPr>
          <w:rFonts w:ascii="Arial" w:hAnsi="Arial" w:cs="Arial"/>
          <w:b/>
          <w:sz w:val="22"/>
          <w:szCs w:val="22"/>
          <w:lang w:eastAsia="hu-HU"/>
        </w:rPr>
        <w:t>Tisztelt Képviselő-testület!</w:t>
      </w:r>
    </w:p>
    <w:p w14:paraId="6B2495B8" w14:textId="77777777" w:rsidR="006325C2" w:rsidRPr="00726C03" w:rsidRDefault="006325C2" w:rsidP="006325C2">
      <w:pPr>
        <w:tabs>
          <w:tab w:val="center" w:pos="4536"/>
          <w:tab w:val="right" w:pos="5160"/>
          <w:tab w:val="right" w:pos="9072"/>
        </w:tabs>
        <w:overflowPunct w:val="0"/>
        <w:autoSpaceDE w:val="0"/>
        <w:autoSpaceDN w:val="0"/>
        <w:adjustRightInd w:val="0"/>
        <w:textAlignment w:val="baseline"/>
        <w:rPr>
          <w:rFonts w:ascii="Arial" w:hAnsi="Arial" w:cs="Arial"/>
          <w:sz w:val="22"/>
          <w:szCs w:val="22"/>
          <w:lang w:eastAsia="hu-HU"/>
        </w:rPr>
      </w:pPr>
    </w:p>
    <w:p w14:paraId="7590B278"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A jogalkotásról szóló 2010. évi CXXX. törvény (</w:t>
      </w:r>
      <w:proofErr w:type="spellStart"/>
      <w:r w:rsidRPr="00726C03">
        <w:rPr>
          <w:rFonts w:ascii="Arial" w:hAnsi="Arial" w:cs="Arial"/>
          <w:sz w:val="22"/>
          <w:szCs w:val="22"/>
          <w:lang w:eastAsia="hu-HU"/>
        </w:rPr>
        <w:t>Jat</w:t>
      </w:r>
      <w:proofErr w:type="spellEnd"/>
      <w:r w:rsidRPr="00726C03">
        <w:rPr>
          <w:rFonts w:ascii="Arial" w:hAnsi="Arial" w:cs="Arial"/>
          <w:sz w:val="22"/>
          <w:szCs w:val="22"/>
          <w:lang w:eastAsia="hu-HU"/>
        </w:rPr>
        <w:t>.) 17. §-</w:t>
      </w:r>
      <w:proofErr w:type="gramStart"/>
      <w:r w:rsidRPr="00726C03">
        <w:rPr>
          <w:rFonts w:ascii="Arial" w:hAnsi="Arial" w:cs="Arial"/>
          <w:sz w:val="22"/>
          <w:szCs w:val="22"/>
          <w:lang w:eastAsia="hu-HU"/>
        </w:rPr>
        <w:t>a</w:t>
      </w:r>
      <w:proofErr w:type="gramEnd"/>
      <w:r w:rsidRPr="00726C03">
        <w:rPr>
          <w:rFonts w:ascii="Arial" w:hAnsi="Arial" w:cs="Arial"/>
          <w:sz w:val="22"/>
          <w:szCs w:val="22"/>
          <w:lang w:eastAsia="hu-HU"/>
        </w:rPr>
        <w:t xml:space="preserve"> alapján a költségvetési rendeletet előkészítő jegyző előzetes hatásvizsgálatot végzett, melyben felmérte a szabályozás várható következményeit.</w:t>
      </w:r>
    </w:p>
    <w:p w14:paraId="4B1BA4E6"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7E91D668"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b/>
          <w:sz w:val="22"/>
          <w:szCs w:val="22"/>
          <w:lang w:eastAsia="hu-HU"/>
        </w:rPr>
        <w:t>A költségvetési rendelettervezet</w:t>
      </w:r>
      <w:r w:rsidRPr="00726C03">
        <w:rPr>
          <w:rFonts w:ascii="Arial" w:hAnsi="Arial" w:cs="Arial"/>
          <w:sz w:val="22"/>
          <w:szCs w:val="22"/>
          <w:lang w:eastAsia="hu-HU"/>
        </w:rPr>
        <w:t xml:space="preserve"> előzetes hatásvizsgálatának megállapításai a következők: </w:t>
      </w:r>
    </w:p>
    <w:p w14:paraId="3BDB3F3B"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65158031"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r w:rsidRPr="00726C03">
        <w:rPr>
          <w:rFonts w:ascii="Arial" w:hAnsi="Arial" w:cs="Arial"/>
          <w:sz w:val="22"/>
          <w:szCs w:val="22"/>
          <w:u w:val="single"/>
          <w:lang w:eastAsia="hu-HU"/>
        </w:rPr>
        <w:t>Társadalmi, gazdasági, hatások</w:t>
      </w:r>
    </w:p>
    <w:p w14:paraId="04E3B5C4"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2EC0CB23" w14:textId="36F1A30E"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 xml:space="preserve">A költségvetési rendeletben foglaltak végrehajtása elősegíti az önkormányzat </w:t>
      </w:r>
      <w:r w:rsidR="0036003D" w:rsidRPr="00726C03">
        <w:rPr>
          <w:rFonts w:ascii="Arial" w:hAnsi="Arial" w:cs="Arial"/>
          <w:sz w:val="22"/>
          <w:szCs w:val="22"/>
          <w:lang w:eastAsia="hu-HU"/>
        </w:rPr>
        <w:t>k</w:t>
      </w:r>
      <w:r w:rsidRPr="00726C03">
        <w:rPr>
          <w:rFonts w:ascii="Arial" w:hAnsi="Arial" w:cs="Arial"/>
          <w:sz w:val="22"/>
          <w:szCs w:val="22"/>
          <w:lang w:eastAsia="hu-HU"/>
        </w:rPr>
        <w:t xml:space="preserve">öltségvetési </w:t>
      </w:r>
      <w:proofErr w:type="gramStart"/>
      <w:r w:rsidRPr="00726C03">
        <w:rPr>
          <w:rFonts w:ascii="Arial" w:hAnsi="Arial" w:cs="Arial"/>
          <w:sz w:val="22"/>
          <w:szCs w:val="22"/>
          <w:lang w:eastAsia="hu-HU"/>
        </w:rPr>
        <w:t>koncepciójában</w:t>
      </w:r>
      <w:proofErr w:type="gramEnd"/>
      <w:r w:rsidRPr="00726C03">
        <w:rPr>
          <w:rFonts w:ascii="Arial" w:hAnsi="Arial" w:cs="Arial"/>
          <w:sz w:val="22"/>
          <w:szCs w:val="22"/>
          <w:lang w:eastAsia="hu-HU"/>
        </w:rPr>
        <w:t xml:space="preserve"> a szociális rendszer fejlesztésére vonatkozó célok megvalósítását, a foglalkoztatás növelését.</w:t>
      </w:r>
    </w:p>
    <w:p w14:paraId="353DDAA0"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A rendeletben foglaltak végrehajtásának gazdasági, költségvetési hatását az előterjesztés részletesen tartalmazza.</w:t>
      </w:r>
    </w:p>
    <w:p w14:paraId="382F8888" w14:textId="77777777" w:rsidR="000E733A" w:rsidRPr="00726C03" w:rsidRDefault="000E733A"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p>
    <w:p w14:paraId="0DBF96E3" w14:textId="4103570E"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r w:rsidRPr="00726C03">
        <w:rPr>
          <w:rFonts w:ascii="Arial" w:hAnsi="Arial" w:cs="Arial"/>
          <w:sz w:val="22"/>
          <w:szCs w:val="22"/>
          <w:u w:val="single"/>
          <w:lang w:eastAsia="hu-HU"/>
        </w:rPr>
        <w:t>Környezeti és egészségügyi következmények</w:t>
      </w:r>
    </w:p>
    <w:p w14:paraId="0A0C39B1"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3ACD82A1" w14:textId="54C346E4"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A költségvetési rendeletben foglaltak végrehajtása elősegíti a Gazdasági Programban meghatározott Környezet</w:t>
      </w:r>
      <w:r w:rsidR="0036003D" w:rsidRPr="00726C03">
        <w:rPr>
          <w:rFonts w:ascii="Arial" w:hAnsi="Arial" w:cs="Arial"/>
          <w:sz w:val="22"/>
          <w:szCs w:val="22"/>
          <w:lang w:eastAsia="hu-HU"/>
        </w:rPr>
        <w:t>védelmi Program megvalósulását.</w:t>
      </w:r>
    </w:p>
    <w:p w14:paraId="79193B71"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A költségvetési rendeletben foglaltak végrehajtásának egészségügyi követelményei nincsenek.</w:t>
      </w:r>
    </w:p>
    <w:p w14:paraId="580A5FE6"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210DF284"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r w:rsidRPr="00726C03">
        <w:rPr>
          <w:rFonts w:ascii="Arial" w:hAnsi="Arial" w:cs="Arial"/>
          <w:sz w:val="22"/>
          <w:szCs w:val="22"/>
          <w:u w:val="single"/>
          <w:lang w:eastAsia="hu-HU"/>
        </w:rPr>
        <w:t>Adminisztratív terheket befolyásoló hatások</w:t>
      </w:r>
    </w:p>
    <w:p w14:paraId="2F1D8460"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1A6C2939"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 xml:space="preserve">A költségvetési rendeletben foglalt pénzügyi,- számviteli és szociális előírások végrehajtása a szakmai, ügyintézési és adminisztratív feladatok végrehajtásában többletfeladatokat jelent a költségvetési szervek számára. </w:t>
      </w:r>
    </w:p>
    <w:p w14:paraId="42763B16"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4CC58A7E"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r w:rsidRPr="00726C03">
        <w:rPr>
          <w:rFonts w:ascii="Arial" w:hAnsi="Arial" w:cs="Arial"/>
          <w:sz w:val="22"/>
          <w:szCs w:val="22"/>
          <w:u w:val="single"/>
          <w:lang w:eastAsia="hu-HU"/>
        </w:rPr>
        <w:t>A jogszabályok megalkotásának szükségessége, a jogalkotás elmaradásának várható következményei</w:t>
      </w:r>
    </w:p>
    <w:p w14:paraId="515ED2E6"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3DCD9433" w14:textId="1B30C2D5"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 xml:space="preserve">A költségvetési rendelet megalkotását szükségessé teszi az </w:t>
      </w:r>
      <w:proofErr w:type="spellStart"/>
      <w:r w:rsidRPr="00726C03">
        <w:rPr>
          <w:rFonts w:ascii="Arial" w:hAnsi="Arial" w:cs="Arial"/>
          <w:sz w:val="22"/>
          <w:szCs w:val="22"/>
          <w:lang w:eastAsia="hu-HU"/>
        </w:rPr>
        <w:t>Mötv</w:t>
      </w:r>
      <w:proofErr w:type="spellEnd"/>
      <w:r w:rsidRPr="00726C03">
        <w:rPr>
          <w:rFonts w:ascii="Arial" w:hAnsi="Arial" w:cs="Arial"/>
          <w:sz w:val="22"/>
          <w:szCs w:val="22"/>
          <w:lang w:eastAsia="hu-HU"/>
        </w:rPr>
        <w:t xml:space="preserve">. és az Áht. </w:t>
      </w:r>
      <w:proofErr w:type="gramStart"/>
      <w:r w:rsidRPr="00726C03">
        <w:rPr>
          <w:rFonts w:ascii="Arial" w:hAnsi="Arial" w:cs="Arial"/>
          <w:sz w:val="22"/>
          <w:szCs w:val="22"/>
          <w:lang w:eastAsia="hu-HU"/>
        </w:rPr>
        <w:t>előírásai</w:t>
      </w:r>
      <w:proofErr w:type="gramEnd"/>
      <w:r w:rsidRPr="00726C03">
        <w:rPr>
          <w:rFonts w:ascii="Arial" w:hAnsi="Arial" w:cs="Arial"/>
          <w:sz w:val="22"/>
          <w:szCs w:val="22"/>
          <w:lang w:eastAsia="hu-HU"/>
        </w:rPr>
        <w:t>, melynek elmaradása törvényességi mulasztásnak számít, ami támogatás megvonásával jár.</w:t>
      </w:r>
    </w:p>
    <w:p w14:paraId="38AF2884" w14:textId="77777777" w:rsidR="007C1DF6" w:rsidRPr="00726C03" w:rsidRDefault="007C1DF6"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12BB4FC8"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u w:val="single"/>
          <w:lang w:eastAsia="hu-HU"/>
        </w:rPr>
      </w:pPr>
      <w:r w:rsidRPr="00726C03">
        <w:rPr>
          <w:rFonts w:ascii="Arial" w:hAnsi="Arial" w:cs="Arial"/>
          <w:sz w:val="22"/>
          <w:szCs w:val="22"/>
          <w:u w:val="single"/>
          <w:lang w:eastAsia="hu-HU"/>
        </w:rPr>
        <w:t>A jogszabály alkalmazásához szükséges személyi, szervezeti, tárgyi és pénzügyi feltételek</w:t>
      </w:r>
    </w:p>
    <w:p w14:paraId="36F06AAC"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 xml:space="preserve"> </w:t>
      </w:r>
    </w:p>
    <w:p w14:paraId="4039191C"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 xml:space="preserve">A költségvetési rendelet alkalmazásához szükséges személyi, tárgyi, szervezeti és pénzügyi feltételek rendelkezésre állnak.  </w:t>
      </w:r>
    </w:p>
    <w:p w14:paraId="69850BBB" w14:textId="77777777" w:rsidR="006325C2" w:rsidRPr="00726C03"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p>
    <w:p w14:paraId="301FE67E" w14:textId="77777777" w:rsidR="006325C2" w:rsidRPr="002A2B45" w:rsidRDefault="006325C2" w:rsidP="006325C2">
      <w:pPr>
        <w:tabs>
          <w:tab w:val="center" w:pos="4536"/>
          <w:tab w:val="right" w:pos="5160"/>
          <w:tab w:val="right" w:pos="9072"/>
        </w:tabs>
        <w:overflowPunct w:val="0"/>
        <w:autoSpaceDE w:val="0"/>
        <w:autoSpaceDN w:val="0"/>
        <w:adjustRightInd w:val="0"/>
        <w:jc w:val="both"/>
        <w:textAlignment w:val="baseline"/>
        <w:rPr>
          <w:rFonts w:ascii="Arial" w:hAnsi="Arial" w:cs="Arial"/>
          <w:sz w:val="22"/>
          <w:szCs w:val="22"/>
          <w:lang w:eastAsia="hu-HU"/>
        </w:rPr>
      </w:pPr>
      <w:r w:rsidRPr="00726C03">
        <w:rPr>
          <w:rFonts w:ascii="Arial" w:hAnsi="Arial" w:cs="Arial"/>
          <w:sz w:val="22"/>
          <w:szCs w:val="22"/>
          <w:lang w:eastAsia="hu-HU"/>
        </w:rPr>
        <w:t>A rendelet-tervezet elkészítésénél figyelembe vettük a jogszabályszerkesztésről szóló 61/2009. (XII.14.) IRM rendelet előírásait.</w:t>
      </w:r>
      <w:r w:rsidRPr="002A2B45">
        <w:rPr>
          <w:rFonts w:ascii="Arial" w:hAnsi="Arial" w:cs="Arial"/>
          <w:sz w:val="22"/>
          <w:szCs w:val="22"/>
          <w:lang w:eastAsia="hu-HU"/>
        </w:rPr>
        <w:t xml:space="preserve"> </w:t>
      </w:r>
    </w:p>
    <w:p w14:paraId="0DC78758" w14:textId="1932E520" w:rsidR="002A0492" w:rsidRPr="00D9303B" w:rsidRDefault="002A0492" w:rsidP="00226E39">
      <w:pPr>
        <w:rPr>
          <w:rFonts w:ascii="Arial" w:hAnsi="Arial" w:cs="Arial"/>
          <w:sz w:val="20"/>
          <w:szCs w:val="20"/>
        </w:rPr>
      </w:pPr>
    </w:p>
    <w:sectPr w:rsidR="002A0492" w:rsidRPr="00D930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1301" w14:textId="77777777" w:rsidR="00003B13" w:rsidRDefault="00003B13" w:rsidP="005213FA">
      <w:r>
        <w:separator/>
      </w:r>
    </w:p>
  </w:endnote>
  <w:endnote w:type="continuationSeparator" w:id="0">
    <w:p w14:paraId="3ECF1579" w14:textId="77777777" w:rsidR="00003B13" w:rsidRDefault="00003B13" w:rsidP="0052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Narrow">
    <w:altName w:val="Arial"/>
    <w:charset w:val="00"/>
    <w:family w:val="swiss"/>
    <w:pitch w:val="variable"/>
    <w:sig w:usb0="20000287" w:usb1="00000003" w:usb2="00000000" w:usb3="00000000" w:csb0="000001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626216"/>
      <w:docPartObj>
        <w:docPartGallery w:val="Page Numbers (Bottom of Page)"/>
        <w:docPartUnique/>
      </w:docPartObj>
    </w:sdtPr>
    <w:sdtEndPr>
      <w:rPr>
        <w:rFonts w:ascii="Arial" w:hAnsi="Arial" w:cs="Arial"/>
        <w:sz w:val="22"/>
        <w:szCs w:val="22"/>
      </w:rPr>
    </w:sdtEndPr>
    <w:sdtContent>
      <w:p w14:paraId="0A3ADAB5" w14:textId="63413EC3" w:rsidR="00003B13" w:rsidRPr="00704B8B" w:rsidRDefault="00003B13">
        <w:pPr>
          <w:pStyle w:val="llb"/>
          <w:jc w:val="center"/>
          <w:rPr>
            <w:rFonts w:ascii="Arial" w:hAnsi="Arial" w:cs="Arial"/>
            <w:sz w:val="22"/>
            <w:szCs w:val="22"/>
          </w:rPr>
        </w:pPr>
        <w:r w:rsidRPr="00704B8B">
          <w:rPr>
            <w:rFonts w:ascii="Arial" w:hAnsi="Arial" w:cs="Arial"/>
            <w:sz w:val="22"/>
            <w:szCs w:val="22"/>
          </w:rPr>
          <w:fldChar w:fldCharType="begin"/>
        </w:r>
        <w:r w:rsidRPr="00704B8B">
          <w:rPr>
            <w:rFonts w:ascii="Arial" w:hAnsi="Arial" w:cs="Arial"/>
            <w:sz w:val="22"/>
            <w:szCs w:val="22"/>
          </w:rPr>
          <w:instrText>PAGE   \* MERGEFORMAT</w:instrText>
        </w:r>
        <w:r w:rsidRPr="00704B8B">
          <w:rPr>
            <w:rFonts w:ascii="Arial" w:hAnsi="Arial" w:cs="Arial"/>
            <w:sz w:val="22"/>
            <w:szCs w:val="22"/>
          </w:rPr>
          <w:fldChar w:fldCharType="separate"/>
        </w:r>
        <w:r w:rsidR="008921C0" w:rsidRPr="008921C0">
          <w:rPr>
            <w:rFonts w:ascii="Arial" w:hAnsi="Arial" w:cs="Arial"/>
            <w:noProof/>
            <w:sz w:val="22"/>
            <w:szCs w:val="22"/>
            <w:lang w:val="hu-HU"/>
          </w:rPr>
          <w:t>2</w:t>
        </w:r>
        <w:r w:rsidRPr="00704B8B">
          <w:rPr>
            <w:rFonts w:ascii="Arial" w:hAnsi="Arial" w:cs="Arial"/>
            <w:sz w:val="22"/>
            <w:szCs w:val="22"/>
          </w:rPr>
          <w:fldChar w:fldCharType="end"/>
        </w:r>
      </w:p>
    </w:sdtContent>
  </w:sdt>
  <w:p w14:paraId="27CA8D58" w14:textId="15DECB65" w:rsidR="00003B13" w:rsidRDefault="00003B1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26F8" w14:textId="77777777" w:rsidR="00003B13" w:rsidRDefault="00003B13" w:rsidP="005213FA">
      <w:r>
        <w:separator/>
      </w:r>
    </w:p>
  </w:footnote>
  <w:footnote w:type="continuationSeparator" w:id="0">
    <w:p w14:paraId="65344D39" w14:textId="77777777" w:rsidR="00003B13" w:rsidRDefault="00003B13" w:rsidP="005213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A33"/>
    <w:multiLevelType w:val="hybridMultilevel"/>
    <w:tmpl w:val="C87A9D2E"/>
    <w:lvl w:ilvl="0" w:tplc="040E000F">
      <w:start w:val="1"/>
      <w:numFmt w:val="decimal"/>
      <w:lvlText w:val="%1."/>
      <w:lvlJc w:val="left"/>
      <w:pPr>
        <w:ind w:left="360" w:hanging="360"/>
      </w:pPr>
    </w:lvl>
    <w:lvl w:ilvl="1" w:tplc="040E0019">
      <w:start w:val="1"/>
      <w:numFmt w:val="lowerLetter"/>
      <w:lvlText w:val="%2."/>
      <w:lvlJc w:val="left"/>
      <w:pPr>
        <w:ind w:left="1156" w:hanging="360"/>
      </w:pPr>
    </w:lvl>
    <w:lvl w:ilvl="2" w:tplc="040E001B">
      <w:start w:val="1"/>
      <w:numFmt w:val="lowerRoman"/>
      <w:lvlText w:val="%3."/>
      <w:lvlJc w:val="right"/>
      <w:pPr>
        <w:ind w:left="1876" w:hanging="180"/>
      </w:pPr>
    </w:lvl>
    <w:lvl w:ilvl="3" w:tplc="040E000F">
      <w:start w:val="1"/>
      <w:numFmt w:val="decimal"/>
      <w:lvlText w:val="%4."/>
      <w:lvlJc w:val="left"/>
      <w:pPr>
        <w:ind w:left="2596" w:hanging="360"/>
      </w:pPr>
    </w:lvl>
    <w:lvl w:ilvl="4" w:tplc="040E0019">
      <w:start w:val="1"/>
      <w:numFmt w:val="lowerLetter"/>
      <w:lvlText w:val="%5."/>
      <w:lvlJc w:val="left"/>
      <w:pPr>
        <w:ind w:left="3316" w:hanging="360"/>
      </w:pPr>
    </w:lvl>
    <w:lvl w:ilvl="5" w:tplc="040E001B">
      <w:start w:val="1"/>
      <w:numFmt w:val="lowerRoman"/>
      <w:lvlText w:val="%6."/>
      <w:lvlJc w:val="right"/>
      <w:pPr>
        <w:ind w:left="4036" w:hanging="180"/>
      </w:pPr>
    </w:lvl>
    <w:lvl w:ilvl="6" w:tplc="040E000F">
      <w:start w:val="1"/>
      <w:numFmt w:val="decimal"/>
      <w:lvlText w:val="%7."/>
      <w:lvlJc w:val="left"/>
      <w:pPr>
        <w:ind w:left="4756" w:hanging="360"/>
      </w:pPr>
    </w:lvl>
    <w:lvl w:ilvl="7" w:tplc="040E0019">
      <w:start w:val="1"/>
      <w:numFmt w:val="lowerLetter"/>
      <w:lvlText w:val="%8."/>
      <w:lvlJc w:val="left"/>
      <w:pPr>
        <w:ind w:left="5476" w:hanging="360"/>
      </w:pPr>
    </w:lvl>
    <w:lvl w:ilvl="8" w:tplc="040E001B">
      <w:start w:val="1"/>
      <w:numFmt w:val="lowerRoman"/>
      <w:lvlText w:val="%9."/>
      <w:lvlJc w:val="right"/>
      <w:pPr>
        <w:ind w:left="6196" w:hanging="180"/>
      </w:pPr>
    </w:lvl>
  </w:abstractNum>
  <w:abstractNum w:abstractNumId="1" w15:restartNumberingAfterBreak="0">
    <w:nsid w:val="08FF45A3"/>
    <w:multiLevelType w:val="hybridMultilevel"/>
    <w:tmpl w:val="EEC0C410"/>
    <w:lvl w:ilvl="0" w:tplc="0B6C7730">
      <w:start w:val="6"/>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03D2CDB"/>
    <w:multiLevelType w:val="hybridMultilevel"/>
    <w:tmpl w:val="F5100E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3C41574"/>
    <w:multiLevelType w:val="hybridMultilevel"/>
    <w:tmpl w:val="07581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2815C9"/>
    <w:multiLevelType w:val="hybridMultilevel"/>
    <w:tmpl w:val="9BB297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7F36A0"/>
    <w:multiLevelType w:val="hybridMultilevel"/>
    <w:tmpl w:val="19C26B0A"/>
    <w:lvl w:ilvl="0" w:tplc="E9DA180E">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6" w15:restartNumberingAfterBreak="0">
    <w:nsid w:val="42F72E63"/>
    <w:multiLevelType w:val="hybridMultilevel"/>
    <w:tmpl w:val="11A08B40"/>
    <w:lvl w:ilvl="0" w:tplc="B8F2A95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7262EC3"/>
    <w:multiLevelType w:val="hybridMultilevel"/>
    <w:tmpl w:val="3904D6A2"/>
    <w:lvl w:ilvl="0" w:tplc="4F364DF6">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B066B19"/>
    <w:multiLevelType w:val="hybridMultilevel"/>
    <w:tmpl w:val="C72C9F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CB33110"/>
    <w:multiLevelType w:val="hybridMultilevel"/>
    <w:tmpl w:val="CAF834A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4DFE5463"/>
    <w:multiLevelType w:val="hybridMultilevel"/>
    <w:tmpl w:val="25CEC86A"/>
    <w:lvl w:ilvl="0" w:tplc="4614C94C">
      <w:start w:val="1"/>
      <w:numFmt w:val="bullet"/>
      <w:lvlText w:val="-"/>
      <w:lvlJc w:val="left"/>
      <w:pPr>
        <w:ind w:left="1080" w:hanging="360"/>
      </w:pPr>
      <w:rPr>
        <w:rFonts w:ascii="Arial" w:eastAsia="Times New Roman" w:hAnsi="Arial"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1" w15:restartNumberingAfterBreak="0">
    <w:nsid w:val="4F9414F1"/>
    <w:multiLevelType w:val="hybridMultilevel"/>
    <w:tmpl w:val="07F0C53A"/>
    <w:lvl w:ilvl="0" w:tplc="FA8C525C">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2" w15:restartNumberingAfterBreak="0">
    <w:nsid w:val="55AF543A"/>
    <w:multiLevelType w:val="hybridMultilevel"/>
    <w:tmpl w:val="D8B4F5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12F15E4"/>
    <w:multiLevelType w:val="hybridMultilevel"/>
    <w:tmpl w:val="8990C92C"/>
    <w:lvl w:ilvl="0" w:tplc="54747666">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673B14AE"/>
    <w:multiLevelType w:val="hybridMultilevel"/>
    <w:tmpl w:val="0F24151C"/>
    <w:lvl w:ilvl="0" w:tplc="E75C303C">
      <w:start w:val="1"/>
      <w:numFmt w:val="bullet"/>
      <w:lvlText w:val="–"/>
      <w:lvlJc w:val="left"/>
      <w:pPr>
        <w:ind w:left="720" w:hanging="360"/>
      </w:pPr>
      <w:rPr>
        <w:rFonts w:ascii="Times New Roman" w:hAnsi="Times New Roman" w:cs="Times New Roman" w:hint="default"/>
        <w:color w:val="auto"/>
        <w:sz w:val="28"/>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77722503"/>
    <w:multiLevelType w:val="hybridMultilevel"/>
    <w:tmpl w:val="509CEBAA"/>
    <w:lvl w:ilvl="0" w:tplc="7318DC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E986077"/>
    <w:multiLevelType w:val="hybridMultilevel"/>
    <w:tmpl w:val="E9AC187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1"/>
  </w:num>
  <w:num w:numId="1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8"/>
  </w:num>
  <w:num w:numId="23">
    <w:abstractNumId w:val="16"/>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004FC"/>
    <w:rsid w:val="00001B67"/>
    <w:rsid w:val="000026C4"/>
    <w:rsid w:val="00002B0F"/>
    <w:rsid w:val="00003860"/>
    <w:rsid w:val="00003A0C"/>
    <w:rsid w:val="00003B13"/>
    <w:rsid w:val="000056A9"/>
    <w:rsid w:val="0001118B"/>
    <w:rsid w:val="00012C0E"/>
    <w:rsid w:val="00016E4C"/>
    <w:rsid w:val="000171AD"/>
    <w:rsid w:val="00025C8E"/>
    <w:rsid w:val="00025FBA"/>
    <w:rsid w:val="00027786"/>
    <w:rsid w:val="000315B2"/>
    <w:rsid w:val="00032A7E"/>
    <w:rsid w:val="000346E9"/>
    <w:rsid w:val="00035DFD"/>
    <w:rsid w:val="00041B83"/>
    <w:rsid w:val="00043A23"/>
    <w:rsid w:val="00045EBC"/>
    <w:rsid w:val="00046BA8"/>
    <w:rsid w:val="000507A1"/>
    <w:rsid w:val="000564D1"/>
    <w:rsid w:val="000605CF"/>
    <w:rsid w:val="00065108"/>
    <w:rsid w:val="00067881"/>
    <w:rsid w:val="0007386F"/>
    <w:rsid w:val="000766C9"/>
    <w:rsid w:val="00083696"/>
    <w:rsid w:val="00086A82"/>
    <w:rsid w:val="0009010B"/>
    <w:rsid w:val="000943F3"/>
    <w:rsid w:val="0009450D"/>
    <w:rsid w:val="000964AC"/>
    <w:rsid w:val="000A1A53"/>
    <w:rsid w:val="000A270D"/>
    <w:rsid w:val="000A7B21"/>
    <w:rsid w:val="000B204E"/>
    <w:rsid w:val="000B3531"/>
    <w:rsid w:val="000B50B7"/>
    <w:rsid w:val="000B7514"/>
    <w:rsid w:val="000B7D1B"/>
    <w:rsid w:val="000C0FEB"/>
    <w:rsid w:val="000C5EF6"/>
    <w:rsid w:val="000C7F49"/>
    <w:rsid w:val="000D4BE9"/>
    <w:rsid w:val="000D65CA"/>
    <w:rsid w:val="000D7EF1"/>
    <w:rsid w:val="000E1B63"/>
    <w:rsid w:val="000E2077"/>
    <w:rsid w:val="000E733A"/>
    <w:rsid w:val="000F03AF"/>
    <w:rsid w:val="000F25AE"/>
    <w:rsid w:val="000F3C9B"/>
    <w:rsid w:val="000F7371"/>
    <w:rsid w:val="00103E60"/>
    <w:rsid w:val="0010676E"/>
    <w:rsid w:val="00107507"/>
    <w:rsid w:val="0011001D"/>
    <w:rsid w:val="00110DD6"/>
    <w:rsid w:val="00111E53"/>
    <w:rsid w:val="00112C85"/>
    <w:rsid w:val="00117D38"/>
    <w:rsid w:val="00120872"/>
    <w:rsid w:val="00120D14"/>
    <w:rsid w:val="001252F3"/>
    <w:rsid w:val="0013145A"/>
    <w:rsid w:val="0014153F"/>
    <w:rsid w:val="00144B47"/>
    <w:rsid w:val="00154813"/>
    <w:rsid w:val="00155D67"/>
    <w:rsid w:val="0015634A"/>
    <w:rsid w:val="001573E2"/>
    <w:rsid w:val="00161C9C"/>
    <w:rsid w:val="00161E33"/>
    <w:rsid w:val="00161EEA"/>
    <w:rsid w:val="00162AB0"/>
    <w:rsid w:val="00163530"/>
    <w:rsid w:val="00164D06"/>
    <w:rsid w:val="00166160"/>
    <w:rsid w:val="001709EB"/>
    <w:rsid w:val="00170D67"/>
    <w:rsid w:val="00174957"/>
    <w:rsid w:val="001825B6"/>
    <w:rsid w:val="00184CB7"/>
    <w:rsid w:val="001910E7"/>
    <w:rsid w:val="00194AD3"/>
    <w:rsid w:val="00194E46"/>
    <w:rsid w:val="0019528C"/>
    <w:rsid w:val="0019587B"/>
    <w:rsid w:val="00195881"/>
    <w:rsid w:val="00195BC2"/>
    <w:rsid w:val="001A22C8"/>
    <w:rsid w:val="001A3F0B"/>
    <w:rsid w:val="001A4ADA"/>
    <w:rsid w:val="001B1172"/>
    <w:rsid w:val="001B60AA"/>
    <w:rsid w:val="001B68C0"/>
    <w:rsid w:val="001C13FF"/>
    <w:rsid w:val="001C5F02"/>
    <w:rsid w:val="001D106A"/>
    <w:rsid w:val="001D17DC"/>
    <w:rsid w:val="001D1C74"/>
    <w:rsid w:val="001D3DD9"/>
    <w:rsid w:val="001D4AD1"/>
    <w:rsid w:val="001D504F"/>
    <w:rsid w:val="001D55F9"/>
    <w:rsid w:val="001D6064"/>
    <w:rsid w:val="001E256B"/>
    <w:rsid w:val="001E4102"/>
    <w:rsid w:val="001F03F5"/>
    <w:rsid w:val="001F0C1D"/>
    <w:rsid w:val="001F2E5F"/>
    <w:rsid w:val="001F63B6"/>
    <w:rsid w:val="00200C1F"/>
    <w:rsid w:val="00204800"/>
    <w:rsid w:val="0021070F"/>
    <w:rsid w:val="00210AF6"/>
    <w:rsid w:val="002139D7"/>
    <w:rsid w:val="00217B03"/>
    <w:rsid w:val="00217B18"/>
    <w:rsid w:val="00225C62"/>
    <w:rsid w:val="00226798"/>
    <w:rsid w:val="00226E39"/>
    <w:rsid w:val="00226E52"/>
    <w:rsid w:val="00232A21"/>
    <w:rsid w:val="00234C0A"/>
    <w:rsid w:val="00235BB3"/>
    <w:rsid w:val="00240D75"/>
    <w:rsid w:val="0024285D"/>
    <w:rsid w:val="00243582"/>
    <w:rsid w:val="0024573F"/>
    <w:rsid w:val="00257639"/>
    <w:rsid w:val="00264968"/>
    <w:rsid w:val="002654BE"/>
    <w:rsid w:val="00265A52"/>
    <w:rsid w:val="00267C51"/>
    <w:rsid w:val="00273E51"/>
    <w:rsid w:val="002750BE"/>
    <w:rsid w:val="00284D7D"/>
    <w:rsid w:val="00285795"/>
    <w:rsid w:val="00293305"/>
    <w:rsid w:val="00294D69"/>
    <w:rsid w:val="002A0492"/>
    <w:rsid w:val="002A1A4E"/>
    <w:rsid w:val="002A2B45"/>
    <w:rsid w:val="002A5941"/>
    <w:rsid w:val="002A7949"/>
    <w:rsid w:val="002B3C68"/>
    <w:rsid w:val="002B61CF"/>
    <w:rsid w:val="002B76C9"/>
    <w:rsid w:val="002C1D52"/>
    <w:rsid w:val="002C6A0E"/>
    <w:rsid w:val="002E29DE"/>
    <w:rsid w:val="002E4D7B"/>
    <w:rsid w:val="002E4DE9"/>
    <w:rsid w:val="002F0ADA"/>
    <w:rsid w:val="002F1A37"/>
    <w:rsid w:val="002F3DD2"/>
    <w:rsid w:val="002F6505"/>
    <w:rsid w:val="00307EB4"/>
    <w:rsid w:val="00310CE9"/>
    <w:rsid w:val="00311EBA"/>
    <w:rsid w:val="00312FC9"/>
    <w:rsid w:val="00313326"/>
    <w:rsid w:val="00314424"/>
    <w:rsid w:val="00315E31"/>
    <w:rsid w:val="00316B16"/>
    <w:rsid w:val="0032339D"/>
    <w:rsid w:val="00324F0B"/>
    <w:rsid w:val="00325D0F"/>
    <w:rsid w:val="0032605A"/>
    <w:rsid w:val="00332C16"/>
    <w:rsid w:val="00337B20"/>
    <w:rsid w:val="00343350"/>
    <w:rsid w:val="00343BC1"/>
    <w:rsid w:val="003506E6"/>
    <w:rsid w:val="003547A4"/>
    <w:rsid w:val="00354E5A"/>
    <w:rsid w:val="003564FA"/>
    <w:rsid w:val="00356567"/>
    <w:rsid w:val="00357D91"/>
    <w:rsid w:val="0036003D"/>
    <w:rsid w:val="0036063A"/>
    <w:rsid w:val="0036446A"/>
    <w:rsid w:val="003659F4"/>
    <w:rsid w:val="00374262"/>
    <w:rsid w:val="0037518F"/>
    <w:rsid w:val="0037748C"/>
    <w:rsid w:val="003776E6"/>
    <w:rsid w:val="00377847"/>
    <w:rsid w:val="00382091"/>
    <w:rsid w:val="00383FBB"/>
    <w:rsid w:val="00384987"/>
    <w:rsid w:val="00384BC9"/>
    <w:rsid w:val="00387B9E"/>
    <w:rsid w:val="00387FF4"/>
    <w:rsid w:val="00392034"/>
    <w:rsid w:val="00392FB9"/>
    <w:rsid w:val="003938D6"/>
    <w:rsid w:val="003963BE"/>
    <w:rsid w:val="003974D5"/>
    <w:rsid w:val="003A4BCA"/>
    <w:rsid w:val="003A5FBB"/>
    <w:rsid w:val="003B2D24"/>
    <w:rsid w:val="003B5628"/>
    <w:rsid w:val="003C2235"/>
    <w:rsid w:val="003D1C02"/>
    <w:rsid w:val="003D2E5D"/>
    <w:rsid w:val="003D44C8"/>
    <w:rsid w:val="003D67D8"/>
    <w:rsid w:val="003D6F37"/>
    <w:rsid w:val="003E2547"/>
    <w:rsid w:val="003E74A4"/>
    <w:rsid w:val="003F0C3C"/>
    <w:rsid w:val="003F5633"/>
    <w:rsid w:val="003F7D69"/>
    <w:rsid w:val="00401152"/>
    <w:rsid w:val="004038CD"/>
    <w:rsid w:val="00405270"/>
    <w:rsid w:val="004111D5"/>
    <w:rsid w:val="0041163E"/>
    <w:rsid w:val="00411AFE"/>
    <w:rsid w:val="00413514"/>
    <w:rsid w:val="00417211"/>
    <w:rsid w:val="004202D5"/>
    <w:rsid w:val="0042071D"/>
    <w:rsid w:val="004216AD"/>
    <w:rsid w:val="0042566B"/>
    <w:rsid w:val="0042621E"/>
    <w:rsid w:val="00431A72"/>
    <w:rsid w:val="00431E64"/>
    <w:rsid w:val="0043390E"/>
    <w:rsid w:val="00434F0B"/>
    <w:rsid w:val="00436CA3"/>
    <w:rsid w:val="0044466D"/>
    <w:rsid w:val="0045566E"/>
    <w:rsid w:val="00460649"/>
    <w:rsid w:val="0046197C"/>
    <w:rsid w:val="00463117"/>
    <w:rsid w:val="004631CD"/>
    <w:rsid w:val="004653FF"/>
    <w:rsid w:val="00471A08"/>
    <w:rsid w:val="00471F07"/>
    <w:rsid w:val="00476253"/>
    <w:rsid w:val="004776E2"/>
    <w:rsid w:val="00485B52"/>
    <w:rsid w:val="00491D36"/>
    <w:rsid w:val="00493E2F"/>
    <w:rsid w:val="00494C9F"/>
    <w:rsid w:val="004A0D13"/>
    <w:rsid w:val="004A1820"/>
    <w:rsid w:val="004A4AC4"/>
    <w:rsid w:val="004A4FC4"/>
    <w:rsid w:val="004A573F"/>
    <w:rsid w:val="004A6A28"/>
    <w:rsid w:val="004B534D"/>
    <w:rsid w:val="004B6EC0"/>
    <w:rsid w:val="004C1694"/>
    <w:rsid w:val="004C5585"/>
    <w:rsid w:val="004C56D8"/>
    <w:rsid w:val="004D013C"/>
    <w:rsid w:val="004D1BB5"/>
    <w:rsid w:val="004D1CCA"/>
    <w:rsid w:val="004D4F1C"/>
    <w:rsid w:val="004D72B7"/>
    <w:rsid w:val="004E04CF"/>
    <w:rsid w:val="004E3232"/>
    <w:rsid w:val="004E65CD"/>
    <w:rsid w:val="004F23B3"/>
    <w:rsid w:val="004F360D"/>
    <w:rsid w:val="005009E1"/>
    <w:rsid w:val="00500E42"/>
    <w:rsid w:val="00513A5C"/>
    <w:rsid w:val="005161F2"/>
    <w:rsid w:val="00517357"/>
    <w:rsid w:val="005213FA"/>
    <w:rsid w:val="00521FEF"/>
    <w:rsid w:val="00522C29"/>
    <w:rsid w:val="00523FB3"/>
    <w:rsid w:val="00527184"/>
    <w:rsid w:val="00527EF5"/>
    <w:rsid w:val="00540853"/>
    <w:rsid w:val="00543402"/>
    <w:rsid w:val="005611CE"/>
    <w:rsid w:val="0056555E"/>
    <w:rsid w:val="005728EF"/>
    <w:rsid w:val="00576BB2"/>
    <w:rsid w:val="00576D84"/>
    <w:rsid w:val="00581F5C"/>
    <w:rsid w:val="00583BCD"/>
    <w:rsid w:val="00583F36"/>
    <w:rsid w:val="00584185"/>
    <w:rsid w:val="00587C00"/>
    <w:rsid w:val="0059334A"/>
    <w:rsid w:val="00595BC2"/>
    <w:rsid w:val="00596F63"/>
    <w:rsid w:val="00597CDD"/>
    <w:rsid w:val="005A0852"/>
    <w:rsid w:val="005A2562"/>
    <w:rsid w:val="005A3BA4"/>
    <w:rsid w:val="005A4630"/>
    <w:rsid w:val="005A4833"/>
    <w:rsid w:val="005B169E"/>
    <w:rsid w:val="005B1B87"/>
    <w:rsid w:val="005D066F"/>
    <w:rsid w:val="005D2408"/>
    <w:rsid w:val="005D6CF6"/>
    <w:rsid w:val="005E0843"/>
    <w:rsid w:val="005E220A"/>
    <w:rsid w:val="005E796C"/>
    <w:rsid w:val="005E7A3E"/>
    <w:rsid w:val="005F683B"/>
    <w:rsid w:val="005F74F7"/>
    <w:rsid w:val="00605B0C"/>
    <w:rsid w:val="0060691B"/>
    <w:rsid w:val="0060779E"/>
    <w:rsid w:val="0061068A"/>
    <w:rsid w:val="00616638"/>
    <w:rsid w:val="00617C75"/>
    <w:rsid w:val="00620722"/>
    <w:rsid w:val="00623321"/>
    <w:rsid w:val="0062625B"/>
    <w:rsid w:val="00627AC8"/>
    <w:rsid w:val="006325C2"/>
    <w:rsid w:val="00632CBE"/>
    <w:rsid w:val="00636BB8"/>
    <w:rsid w:val="00640F60"/>
    <w:rsid w:val="00650D25"/>
    <w:rsid w:val="00654560"/>
    <w:rsid w:val="006559A7"/>
    <w:rsid w:val="006568D0"/>
    <w:rsid w:val="00660E2E"/>
    <w:rsid w:val="006618D1"/>
    <w:rsid w:val="006631D4"/>
    <w:rsid w:val="00672EF3"/>
    <w:rsid w:val="00675C46"/>
    <w:rsid w:val="00677CD8"/>
    <w:rsid w:val="006804C6"/>
    <w:rsid w:val="0068662C"/>
    <w:rsid w:val="00692A17"/>
    <w:rsid w:val="00693739"/>
    <w:rsid w:val="0069737D"/>
    <w:rsid w:val="006A7D57"/>
    <w:rsid w:val="006B1FA7"/>
    <w:rsid w:val="006B224A"/>
    <w:rsid w:val="006B28E1"/>
    <w:rsid w:val="006B2E39"/>
    <w:rsid w:val="006C2F4C"/>
    <w:rsid w:val="006C3704"/>
    <w:rsid w:val="006C513A"/>
    <w:rsid w:val="006D4450"/>
    <w:rsid w:val="006D5DC7"/>
    <w:rsid w:val="006D5F01"/>
    <w:rsid w:val="006E084E"/>
    <w:rsid w:val="006F433B"/>
    <w:rsid w:val="006F4395"/>
    <w:rsid w:val="006F5DA3"/>
    <w:rsid w:val="006F65D1"/>
    <w:rsid w:val="00704B8B"/>
    <w:rsid w:val="00710636"/>
    <w:rsid w:val="007176CB"/>
    <w:rsid w:val="00721392"/>
    <w:rsid w:val="00723C10"/>
    <w:rsid w:val="007259F5"/>
    <w:rsid w:val="00725D3B"/>
    <w:rsid w:val="00726C03"/>
    <w:rsid w:val="00730CE6"/>
    <w:rsid w:val="00732656"/>
    <w:rsid w:val="00733F5A"/>
    <w:rsid w:val="007404AF"/>
    <w:rsid w:val="0074084C"/>
    <w:rsid w:val="00740B27"/>
    <w:rsid w:val="00745290"/>
    <w:rsid w:val="0074562E"/>
    <w:rsid w:val="007504DA"/>
    <w:rsid w:val="00752073"/>
    <w:rsid w:val="007557E4"/>
    <w:rsid w:val="00760FCD"/>
    <w:rsid w:val="00761E23"/>
    <w:rsid w:val="00762034"/>
    <w:rsid w:val="007673D5"/>
    <w:rsid w:val="007710FF"/>
    <w:rsid w:val="00782463"/>
    <w:rsid w:val="0078253B"/>
    <w:rsid w:val="00783190"/>
    <w:rsid w:val="0078464E"/>
    <w:rsid w:val="00786A55"/>
    <w:rsid w:val="00791E31"/>
    <w:rsid w:val="007945B3"/>
    <w:rsid w:val="00796729"/>
    <w:rsid w:val="007A0EDF"/>
    <w:rsid w:val="007B1DC6"/>
    <w:rsid w:val="007B5B8D"/>
    <w:rsid w:val="007C1DF6"/>
    <w:rsid w:val="007C501A"/>
    <w:rsid w:val="007D24D3"/>
    <w:rsid w:val="007D7D17"/>
    <w:rsid w:val="007F1ED5"/>
    <w:rsid w:val="007F23FC"/>
    <w:rsid w:val="007F2E54"/>
    <w:rsid w:val="007F5145"/>
    <w:rsid w:val="007F7A97"/>
    <w:rsid w:val="008067EC"/>
    <w:rsid w:val="00811CE8"/>
    <w:rsid w:val="00812DE3"/>
    <w:rsid w:val="00823389"/>
    <w:rsid w:val="00823686"/>
    <w:rsid w:val="00830CB7"/>
    <w:rsid w:val="008342A9"/>
    <w:rsid w:val="008375FF"/>
    <w:rsid w:val="008419D2"/>
    <w:rsid w:val="0084217A"/>
    <w:rsid w:val="00844371"/>
    <w:rsid w:val="00850894"/>
    <w:rsid w:val="00850FA2"/>
    <w:rsid w:val="008519DF"/>
    <w:rsid w:val="00851A6B"/>
    <w:rsid w:val="00851E5A"/>
    <w:rsid w:val="008533E3"/>
    <w:rsid w:val="00860B38"/>
    <w:rsid w:val="00864EA0"/>
    <w:rsid w:val="00866264"/>
    <w:rsid w:val="008671F3"/>
    <w:rsid w:val="00870CCA"/>
    <w:rsid w:val="008718AE"/>
    <w:rsid w:val="00871DAD"/>
    <w:rsid w:val="008757CD"/>
    <w:rsid w:val="00877E17"/>
    <w:rsid w:val="00883276"/>
    <w:rsid w:val="00884C78"/>
    <w:rsid w:val="0088524F"/>
    <w:rsid w:val="0088580B"/>
    <w:rsid w:val="00891EE2"/>
    <w:rsid w:val="008921C0"/>
    <w:rsid w:val="008A009F"/>
    <w:rsid w:val="008A1398"/>
    <w:rsid w:val="008A1FC3"/>
    <w:rsid w:val="008A7F08"/>
    <w:rsid w:val="008B01C1"/>
    <w:rsid w:val="008B0343"/>
    <w:rsid w:val="008C0669"/>
    <w:rsid w:val="008C296E"/>
    <w:rsid w:val="008C71F0"/>
    <w:rsid w:val="008C7E06"/>
    <w:rsid w:val="008D1292"/>
    <w:rsid w:val="008D1622"/>
    <w:rsid w:val="008D2A36"/>
    <w:rsid w:val="008D363E"/>
    <w:rsid w:val="008D3905"/>
    <w:rsid w:val="008D664D"/>
    <w:rsid w:val="008E0252"/>
    <w:rsid w:val="008E264A"/>
    <w:rsid w:val="008E51E5"/>
    <w:rsid w:val="008E76EB"/>
    <w:rsid w:val="008F16F8"/>
    <w:rsid w:val="008F67D2"/>
    <w:rsid w:val="00902C79"/>
    <w:rsid w:val="009040D4"/>
    <w:rsid w:val="009070E6"/>
    <w:rsid w:val="009071CA"/>
    <w:rsid w:val="00916B95"/>
    <w:rsid w:val="009174F3"/>
    <w:rsid w:val="00917FFA"/>
    <w:rsid w:val="00922848"/>
    <w:rsid w:val="00923596"/>
    <w:rsid w:val="00924F34"/>
    <w:rsid w:val="00932982"/>
    <w:rsid w:val="0093310A"/>
    <w:rsid w:val="00933E69"/>
    <w:rsid w:val="00935927"/>
    <w:rsid w:val="00936265"/>
    <w:rsid w:val="00940454"/>
    <w:rsid w:val="00944E37"/>
    <w:rsid w:val="00947579"/>
    <w:rsid w:val="00950B69"/>
    <w:rsid w:val="00953D48"/>
    <w:rsid w:val="00953F67"/>
    <w:rsid w:val="00955355"/>
    <w:rsid w:val="009553A2"/>
    <w:rsid w:val="00955DE0"/>
    <w:rsid w:val="009574C9"/>
    <w:rsid w:val="009663F9"/>
    <w:rsid w:val="0097147D"/>
    <w:rsid w:val="009726E3"/>
    <w:rsid w:val="0097758D"/>
    <w:rsid w:val="0098110F"/>
    <w:rsid w:val="0098296C"/>
    <w:rsid w:val="00983EFF"/>
    <w:rsid w:val="00987FC0"/>
    <w:rsid w:val="00990DD5"/>
    <w:rsid w:val="00992097"/>
    <w:rsid w:val="00992BC4"/>
    <w:rsid w:val="00993222"/>
    <w:rsid w:val="0099622E"/>
    <w:rsid w:val="009A0F10"/>
    <w:rsid w:val="009A2EC2"/>
    <w:rsid w:val="009A2F59"/>
    <w:rsid w:val="009B1C2F"/>
    <w:rsid w:val="009B3B1E"/>
    <w:rsid w:val="009B77F4"/>
    <w:rsid w:val="009D5259"/>
    <w:rsid w:val="009E10C8"/>
    <w:rsid w:val="009E2E30"/>
    <w:rsid w:val="009E7BF8"/>
    <w:rsid w:val="009F016A"/>
    <w:rsid w:val="009F498D"/>
    <w:rsid w:val="009F4AD2"/>
    <w:rsid w:val="009F4D8A"/>
    <w:rsid w:val="009F5D46"/>
    <w:rsid w:val="009F5DEC"/>
    <w:rsid w:val="00A00968"/>
    <w:rsid w:val="00A06B68"/>
    <w:rsid w:val="00A14C16"/>
    <w:rsid w:val="00A17198"/>
    <w:rsid w:val="00A275E8"/>
    <w:rsid w:val="00A32FB3"/>
    <w:rsid w:val="00A34FC4"/>
    <w:rsid w:val="00A351F3"/>
    <w:rsid w:val="00A40D06"/>
    <w:rsid w:val="00A45377"/>
    <w:rsid w:val="00A45508"/>
    <w:rsid w:val="00A45E36"/>
    <w:rsid w:val="00A45E3C"/>
    <w:rsid w:val="00A53C2B"/>
    <w:rsid w:val="00A54C6B"/>
    <w:rsid w:val="00A55C7A"/>
    <w:rsid w:val="00A56DD3"/>
    <w:rsid w:val="00A603FF"/>
    <w:rsid w:val="00A60683"/>
    <w:rsid w:val="00A60FFB"/>
    <w:rsid w:val="00A626A9"/>
    <w:rsid w:val="00A71B89"/>
    <w:rsid w:val="00A73F9F"/>
    <w:rsid w:val="00A765BC"/>
    <w:rsid w:val="00A8132B"/>
    <w:rsid w:val="00A8186B"/>
    <w:rsid w:val="00A82F71"/>
    <w:rsid w:val="00A87490"/>
    <w:rsid w:val="00A9093B"/>
    <w:rsid w:val="00A91A8E"/>
    <w:rsid w:val="00A939D7"/>
    <w:rsid w:val="00A9447E"/>
    <w:rsid w:val="00A95A82"/>
    <w:rsid w:val="00AA1D6A"/>
    <w:rsid w:val="00AA4020"/>
    <w:rsid w:val="00AA6E76"/>
    <w:rsid w:val="00AA6F1E"/>
    <w:rsid w:val="00AA7378"/>
    <w:rsid w:val="00AA7C3B"/>
    <w:rsid w:val="00AB2FE0"/>
    <w:rsid w:val="00AB7B5D"/>
    <w:rsid w:val="00AC032F"/>
    <w:rsid w:val="00AC12F0"/>
    <w:rsid w:val="00AC2A81"/>
    <w:rsid w:val="00AC36EC"/>
    <w:rsid w:val="00AD013C"/>
    <w:rsid w:val="00AD217E"/>
    <w:rsid w:val="00AD3A9A"/>
    <w:rsid w:val="00AD67EC"/>
    <w:rsid w:val="00AE2D63"/>
    <w:rsid w:val="00AE327E"/>
    <w:rsid w:val="00AE383B"/>
    <w:rsid w:val="00AE3A7D"/>
    <w:rsid w:val="00AE7B18"/>
    <w:rsid w:val="00AF09AA"/>
    <w:rsid w:val="00AF2A33"/>
    <w:rsid w:val="00AF4BAC"/>
    <w:rsid w:val="00AF6879"/>
    <w:rsid w:val="00B05FEE"/>
    <w:rsid w:val="00B073D6"/>
    <w:rsid w:val="00B13CBD"/>
    <w:rsid w:val="00B154AD"/>
    <w:rsid w:val="00B2026D"/>
    <w:rsid w:val="00B20587"/>
    <w:rsid w:val="00B211E4"/>
    <w:rsid w:val="00B21587"/>
    <w:rsid w:val="00B221BE"/>
    <w:rsid w:val="00B3157B"/>
    <w:rsid w:val="00B344F3"/>
    <w:rsid w:val="00B35481"/>
    <w:rsid w:val="00B36B66"/>
    <w:rsid w:val="00B36FEE"/>
    <w:rsid w:val="00B377A7"/>
    <w:rsid w:val="00B40966"/>
    <w:rsid w:val="00B461C1"/>
    <w:rsid w:val="00B46764"/>
    <w:rsid w:val="00B51390"/>
    <w:rsid w:val="00B55E50"/>
    <w:rsid w:val="00B55FF9"/>
    <w:rsid w:val="00B60268"/>
    <w:rsid w:val="00B652C8"/>
    <w:rsid w:val="00B65559"/>
    <w:rsid w:val="00B65F1F"/>
    <w:rsid w:val="00B7371A"/>
    <w:rsid w:val="00B73866"/>
    <w:rsid w:val="00B745D6"/>
    <w:rsid w:val="00B752E5"/>
    <w:rsid w:val="00B75C1C"/>
    <w:rsid w:val="00B80B1A"/>
    <w:rsid w:val="00B8333E"/>
    <w:rsid w:val="00B84896"/>
    <w:rsid w:val="00B8573C"/>
    <w:rsid w:val="00B85A4D"/>
    <w:rsid w:val="00B87A14"/>
    <w:rsid w:val="00B93A1A"/>
    <w:rsid w:val="00B95E7E"/>
    <w:rsid w:val="00B97319"/>
    <w:rsid w:val="00BA0353"/>
    <w:rsid w:val="00BA7529"/>
    <w:rsid w:val="00BB1928"/>
    <w:rsid w:val="00BB1F10"/>
    <w:rsid w:val="00BB27DB"/>
    <w:rsid w:val="00BB747D"/>
    <w:rsid w:val="00BC0246"/>
    <w:rsid w:val="00BC129A"/>
    <w:rsid w:val="00BD4069"/>
    <w:rsid w:val="00BD4FFD"/>
    <w:rsid w:val="00BD6991"/>
    <w:rsid w:val="00BD6FE2"/>
    <w:rsid w:val="00BE0D8D"/>
    <w:rsid w:val="00BE1C7D"/>
    <w:rsid w:val="00BE21FF"/>
    <w:rsid w:val="00BE43E5"/>
    <w:rsid w:val="00BF3088"/>
    <w:rsid w:val="00BF58A4"/>
    <w:rsid w:val="00C025C4"/>
    <w:rsid w:val="00C02C27"/>
    <w:rsid w:val="00C04312"/>
    <w:rsid w:val="00C06B54"/>
    <w:rsid w:val="00C12190"/>
    <w:rsid w:val="00C14914"/>
    <w:rsid w:val="00C14BE4"/>
    <w:rsid w:val="00C1525F"/>
    <w:rsid w:val="00C16621"/>
    <w:rsid w:val="00C22FF4"/>
    <w:rsid w:val="00C24F59"/>
    <w:rsid w:val="00C36CF9"/>
    <w:rsid w:val="00C434B2"/>
    <w:rsid w:val="00C4593A"/>
    <w:rsid w:val="00C4594F"/>
    <w:rsid w:val="00C45C6A"/>
    <w:rsid w:val="00C51010"/>
    <w:rsid w:val="00C54D3B"/>
    <w:rsid w:val="00C54F1D"/>
    <w:rsid w:val="00C55948"/>
    <w:rsid w:val="00C56F2B"/>
    <w:rsid w:val="00C661A5"/>
    <w:rsid w:val="00C6705E"/>
    <w:rsid w:val="00C706F0"/>
    <w:rsid w:val="00C70E20"/>
    <w:rsid w:val="00C711FD"/>
    <w:rsid w:val="00C75570"/>
    <w:rsid w:val="00C75C1C"/>
    <w:rsid w:val="00C77B1E"/>
    <w:rsid w:val="00C82258"/>
    <w:rsid w:val="00C84A7E"/>
    <w:rsid w:val="00C96F0D"/>
    <w:rsid w:val="00CA26BC"/>
    <w:rsid w:val="00CA3EDE"/>
    <w:rsid w:val="00CA5CB1"/>
    <w:rsid w:val="00CA636B"/>
    <w:rsid w:val="00CB13B0"/>
    <w:rsid w:val="00CB4C9E"/>
    <w:rsid w:val="00CB4F3B"/>
    <w:rsid w:val="00CC04CD"/>
    <w:rsid w:val="00CC22B9"/>
    <w:rsid w:val="00CC2779"/>
    <w:rsid w:val="00CC4568"/>
    <w:rsid w:val="00CC4668"/>
    <w:rsid w:val="00CC6C32"/>
    <w:rsid w:val="00CD2AB0"/>
    <w:rsid w:val="00CD2B49"/>
    <w:rsid w:val="00CD3628"/>
    <w:rsid w:val="00CD3CA6"/>
    <w:rsid w:val="00CD43C4"/>
    <w:rsid w:val="00CE1141"/>
    <w:rsid w:val="00CE61CE"/>
    <w:rsid w:val="00CE6B55"/>
    <w:rsid w:val="00CE7ED4"/>
    <w:rsid w:val="00CF0BCE"/>
    <w:rsid w:val="00CF0C39"/>
    <w:rsid w:val="00CF4253"/>
    <w:rsid w:val="00CF5AFA"/>
    <w:rsid w:val="00D01200"/>
    <w:rsid w:val="00D04C18"/>
    <w:rsid w:val="00D0533A"/>
    <w:rsid w:val="00D13891"/>
    <w:rsid w:val="00D16DDC"/>
    <w:rsid w:val="00D26E78"/>
    <w:rsid w:val="00D312AD"/>
    <w:rsid w:val="00D31DC5"/>
    <w:rsid w:val="00D35330"/>
    <w:rsid w:val="00D42182"/>
    <w:rsid w:val="00D459CC"/>
    <w:rsid w:val="00D46103"/>
    <w:rsid w:val="00D46251"/>
    <w:rsid w:val="00D50257"/>
    <w:rsid w:val="00D50B44"/>
    <w:rsid w:val="00D533B0"/>
    <w:rsid w:val="00D54413"/>
    <w:rsid w:val="00D56DAD"/>
    <w:rsid w:val="00D57DBC"/>
    <w:rsid w:val="00D64A9C"/>
    <w:rsid w:val="00D72ABE"/>
    <w:rsid w:val="00D73683"/>
    <w:rsid w:val="00D76E26"/>
    <w:rsid w:val="00D8402B"/>
    <w:rsid w:val="00D84974"/>
    <w:rsid w:val="00D909FB"/>
    <w:rsid w:val="00D93C6F"/>
    <w:rsid w:val="00DA1DEA"/>
    <w:rsid w:val="00DA5EEA"/>
    <w:rsid w:val="00DB0177"/>
    <w:rsid w:val="00DB0DC4"/>
    <w:rsid w:val="00DB143E"/>
    <w:rsid w:val="00DB5219"/>
    <w:rsid w:val="00DB69E5"/>
    <w:rsid w:val="00DC28A7"/>
    <w:rsid w:val="00DC3024"/>
    <w:rsid w:val="00DC5BE9"/>
    <w:rsid w:val="00DC6CC1"/>
    <w:rsid w:val="00DD0448"/>
    <w:rsid w:val="00DD1268"/>
    <w:rsid w:val="00DD2516"/>
    <w:rsid w:val="00DD29B3"/>
    <w:rsid w:val="00DD48CC"/>
    <w:rsid w:val="00DD4DCD"/>
    <w:rsid w:val="00DD7969"/>
    <w:rsid w:val="00DE2640"/>
    <w:rsid w:val="00DE4CD0"/>
    <w:rsid w:val="00DF1AA2"/>
    <w:rsid w:val="00DF4DCD"/>
    <w:rsid w:val="00DF7D1C"/>
    <w:rsid w:val="00E11606"/>
    <w:rsid w:val="00E13D30"/>
    <w:rsid w:val="00E14821"/>
    <w:rsid w:val="00E1502C"/>
    <w:rsid w:val="00E209EA"/>
    <w:rsid w:val="00E23390"/>
    <w:rsid w:val="00E25B37"/>
    <w:rsid w:val="00E331B4"/>
    <w:rsid w:val="00E344C4"/>
    <w:rsid w:val="00E346DE"/>
    <w:rsid w:val="00E37FFC"/>
    <w:rsid w:val="00E40A56"/>
    <w:rsid w:val="00E41367"/>
    <w:rsid w:val="00E469AB"/>
    <w:rsid w:val="00E47E9C"/>
    <w:rsid w:val="00E565C5"/>
    <w:rsid w:val="00E573B6"/>
    <w:rsid w:val="00E57522"/>
    <w:rsid w:val="00E57D87"/>
    <w:rsid w:val="00E61521"/>
    <w:rsid w:val="00E61A89"/>
    <w:rsid w:val="00E62BE6"/>
    <w:rsid w:val="00E65330"/>
    <w:rsid w:val="00E66EF1"/>
    <w:rsid w:val="00E72552"/>
    <w:rsid w:val="00E73346"/>
    <w:rsid w:val="00E742B4"/>
    <w:rsid w:val="00E76974"/>
    <w:rsid w:val="00E83AA0"/>
    <w:rsid w:val="00E83EB3"/>
    <w:rsid w:val="00E8417F"/>
    <w:rsid w:val="00E91479"/>
    <w:rsid w:val="00E9172D"/>
    <w:rsid w:val="00E968A9"/>
    <w:rsid w:val="00EA1133"/>
    <w:rsid w:val="00EB098C"/>
    <w:rsid w:val="00EB10D0"/>
    <w:rsid w:val="00EB1AA5"/>
    <w:rsid w:val="00EB6155"/>
    <w:rsid w:val="00EB743D"/>
    <w:rsid w:val="00EC0453"/>
    <w:rsid w:val="00EC3B96"/>
    <w:rsid w:val="00EC58FA"/>
    <w:rsid w:val="00EC5BD3"/>
    <w:rsid w:val="00ED09BE"/>
    <w:rsid w:val="00ED37F8"/>
    <w:rsid w:val="00ED4DCE"/>
    <w:rsid w:val="00ED5BCB"/>
    <w:rsid w:val="00ED5E23"/>
    <w:rsid w:val="00ED6B41"/>
    <w:rsid w:val="00EE5C76"/>
    <w:rsid w:val="00EF0D81"/>
    <w:rsid w:val="00EF3458"/>
    <w:rsid w:val="00EF346D"/>
    <w:rsid w:val="00F0007D"/>
    <w:rsid w:val="00F02F41"/>
    <w:rsid w:val="00F035F4"/>
    <w:rsid w:val="00F1146B"/>
    <w:rsid w:val="00F11BA7"/>
    <w:rsid w:val="00F16FA9"/>
    <w:rsid w:val="00F224A4"/>
    <w:rsid w:val="00F274CA"/>
    <w:rsid w:val="00F31C81"/>
    <w:rsid w:val="00F35519"/>
    <w:rsid w:val="00F416AA"/>
    <w:rsid w:val="00F42354"/>
    <w:rsid w:val="00F424E9"/>
    <w:rsid w:val="00F433BA"/>
    <w:rsid w:val="00F43801"/>
    <w:rsid w:val="00F43F62"/>
    <w:rsid w:val="00F4626F"/>
    <w:rsid w:val="00F4646D"/>
    <w:rsid w:val="00F53281"/>
    <w:rsid w:val="00F532AA"/>
    <w:rsid w:val="00F57834"/>
    <w:rsid w:val="00F602B2"/>
    <w:rsid w:val="00F60E35"/>
    <w:rsid w:val="00F63C5D"/>
    <w:rsid w:val="00F671CE"/>
    <w:rsid w:val="00F70C81"/>
    <w:rsid w:val="00F755D3"/>
    <w:rsid w:val="00F776C3"/>
    <w:rsid w:val="00F8190F"/>
    <w:rsid w:val="00F83457"/>
    <w:rsid w:val="00F83732"/>
    <w:rsid w:val="00F856F0"/>
    <w:rsid w:val="00F86990"/>
    <w:rsid w:val="00F92175"/>
    <w:rsid w:val="00F942F5"/>
    <w:rsid w:val="00F95C2E"/>
    <w:rsid w:val="00F97F3C"/>
    <w:rsid w:val="00FA0B44"/>
    <w:rsid w:val="00FA1699"/>
    <w:rsid w:val="00FA172D"/>
    <w:rsid w:val="00FA2592"/>
    <w:rsid w:val="00FA40FD"/>
    <w:rsid w:val="00FB3395"/>
    <w:rsid w:val="00FB3B08"/>
    <w:rsid w:val="00FC1B22"/>
    <w:rsid w:val="00FC249A"/>
    <w:rsid w:val="00FC2E7D"/>
    <w:rsid w:val="00FC38B5"/>
    <w:rsid w:val="00FC631C"/>
    <w:rsid w:val="00FD2BE1"/>
    <w:rsid w:val="00FD496E"/>
    <w:rsid w:val="00FD4A53"/>
    <w:rsid w:val="00FE1A18"/>
    <w:rsid w:val="00FF2309"/>
    <w:rsid w:val="00FF71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F2FB"/>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qFormat/>
    <w:rsid w:val="009663F9"/>
    <w:pPr>
      <w:keepNext/>
      <w:outlineLvl w:val="0"/>
    </w:pPr>
    <w:rPr>
      <w:b/>
      <w:bCs/>
    </w:rPr>
  </w:style>
  <w:style w:type="paragraph" w:styleId="Cmsor2">
    <w:name w:val="heading 2"/>
    <w:basedOn w:val="Norml"/>
    <w:next w:val="Norml"/>
    <w:link w:val="Cmsor2Char"/>
    <w:qFormat/>
    <w:rsid w:val="009663F9"/>
    <w:pPr>
      <w:keepNext/>
      <w:spacing w:before="40"/>
      <w:outlineLvl w:val="1"/>
    </w:pPr>
    <w:rPr>
      <w:b/>
      <w:bCs/>
      <w:sz w:val="26"/>
    </w:rPr>
  </w:style>
  <w:style w:type="paragraph" w:styleId="Cmsor4">
    <w:name w:val="heading 4"/>
    <w:basedOn w:val="Norml"/>
    <w:next w:val="Norml"/>
    <w:link w:val="Cmsor4Char"/>
    <w:semiHidden/>
    <w:unhideWhenUsed/>
    <w:qFormat/>
    <w:rsid w:val="006325C2"/>
    <w:pPr>
      <w:keepNext/>
      <w:spacing w:line="360" w:lineRule="auto"/>
      <w:jc w:val="center"/>
      <w:outlineLvl w:val="3"/>
    </w:pPr>
    <w:rPr>
      <w:b/>
      <w:bCs/>
      <w:sz w:val="26"/>
      <w:u w:val="single"/>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070F"/>
    <w:rPr>
      <w:b/>
      <w:bCs/>
      <w:sz w:val="24"/>
      <w:szCs w:val="24"/>
      <w:lang w:eastAsia="hu-HU"/>
    </w:rPr>
  </w:style>
  <w:style w:type="character" w:customStyle="1" w:styleId="Cmsor2Char">
    <w:name w:val="Címsor 2 Char"/>
    <w:basedOn w:val="Bekezdsalapbettpusa"/>
    <w:link w:val="Cmsor2"/>
    <w:rsid w:val="0021070F"/>
    <w:rPr>
      <w:b/>
      <w:bCs/>
      <w:sz w:val="26"/>
      <w:szCs w:val="24"/>
      <w:lang w:eastAsia="hu-HU"/>
    </w:rPr>
  </w:style>
  <w:style w:type="paragraph" w:styleId="Szvegtrzs">
    <w:name w:val="Body Text"/>
    <w:basedOn w:val="Norml"/>
    <w:link w:val="SzvegtrzsChar"/>
    <w:rsid w:val="00DA5EEA"/>
    <w:pPr>
      <w:jc w:val="both"/>
    </w:pPr>
    <w:rPr>
      <w:bCs/>
    </w:rPr>
  </w:style>
  <w:style w:type="character" w:customStyle="1" w:styleId="SzvegtrzsChar">
    <w:name w:val="Szövegtörzs Char"/>
    <w:basedOn w:val="Bekezdsalapbettpusa"/>
    <w:link w:val="Szvegtrzs"/>
    <w:rsid w:val="00DA5EEA"/>
    <w:rPr>
      <w:bCs/>
      <w:sz w:val="24"/>
      <w:szCs w:val="24"/>
      <w:lang w:eastAsia="ar-SA"/>
    </w:rPr>
  </w:style>
  <w:style w:type="paragraph" w:styleId="Listaszerbekezds">
    <w:name w:val="List Paragraph"/>
    <w:basedOn w:val="Norml"/>
    <w:qFormat/>
    <w:rsid w:val="008D3905"/>
    <w:pPr>
      <w:ind w:left="720"/>
      <w:contextualSpacing/>
    </w:pPr>
  </w:style>
  <w:style w:type="character" w:customStyle="1" w:styleId="Cmsor4Char">
    <w:name w:val="Címsor 4 Char"/>
    <w:basedOn w:val="Bekezdsalapbettpusa"/>
    <w:link w:val="Cmsor4"/>
    <w:semiHidden/>
    <w:rsid w:val="006325C2"/>
    <w:rPr>
      <w:b/>
      <w:bCs/>
      <w:sz w:val="26"/>
      <w:szCs w:val="24"/>
      <w:u w:val="single"/>
      <w:lang w:val="x-none" w:eastAsia="hu-HU"/>
    </w:rPr>
  </w:style>
  <w:style w:type="paragraph" w:customStyle="1" w:styleId="msonormal0">
    <w:name w:val="msonormal"/>
    <w:basedOn w:val="Norml"/>
    <w:rsid w:val="006325C2"/>
    <w:pPr>
      <w:spacing w:before="100" w:beforeAutospacing="1" w:after="100" w:afterAutospacing="1"/>
    </w:pPr>
    <w:rPr>
      <w:lang w:eastAsia="hu-HU"/>
    </w:rPr>
  </w:style>
  <w:style w:type="paragraph" w:styleId="Lbjegyzetszveg">
    <w:name w:val="footnote text"/>
    <w:basedOn w:val="Norml"/>
    <w:link w:val="LbjegyzetszvegChar"/>
    <w:uiPriority w:val="99"/>
    <w:semiHidden/>
    <w:unhideWhenUsed/>
    <w:rsid w:val="006325C2"/>
    <w:pPr>
      <w:overflowPunct w:val="0"/>
      <w:autoSpaceDE w:val="0"/>
      <w:autoSpaceDN w:val="0"/>
      <w:adjustRightInd w:val="0"/>
    </w:pPr>
    <w:rPr>
      <w:sz w:val="20"/>
      <w:szCs w:val="20"/>
      <w:lang w:val="x-none" w:eastAsia="x-none"/>
    </w:rPr>
  </w:style>
  <w:style w:type="character" w:customStyle="1" w:styleId="LbjegyzetszvegChar">
    <w:name w:val="Lábjegyzetszöveg Char"/>
    <w:basedOn w:val="Bekezdsalapbettpusa"/>
    <w:link w:val="Lbjegyzetszveg"/>
    <w:uiPriority w:val="99"/>
    <w:semiHidden/>
    <w:rsid w:val="006325C2"/>
    <w:rPr>
      <w:lang w:val="x-none" w:eastAsia="x-none"/>
    </w:rPr>
  </w:style>
  <w:style w:type="paragraph" w:styleId="Jegyzetszveg">
    <w:name w:val="annotation text"/>
    <w:basedOn w:val="Norml"/>
    <w:link w:val="JegyzetszvegChar"/>
    <w:uiPriority w:val="99"/>
    <w:semiHidden/>
    <w:unhideWhenUsed/>
    <w:rsid w:val="006325C2"/>
    <w:pPr>
      <w:overflowPunct w:val="0"/>
      <w:autoSpaceDE w:val="0"/>
      <w:autoSpaceDN w:val="0"/>
      <w:adjustRightInd w:val="0"/>
    </w:pPr>
    <w:rPr>
      <w:sz w:val="20"/>
      <w:szCs w:val="20"/>
      <w:lang w:val="x-none" w:eastAsia="x-none"/>
    </w:rPr>
  </w:style>
  <w:style w:type="character" w:customStyle="1" w:styleId="JegyzetszvegChar">
    <w:name w:val="Jegyzetszöveg Char"/>
    <w:basedOn w:val="Bekezdsalapbettpusa"/>
    <w:link w:val="Jegyzetszveg"/>
    <w:uiPriority w:val="99"/>
    <w:semiHidden/>
    <w:rsid w:val="006325C2"/>
    <w:rPr>
      <w:lang w:val="x-none" w:eastAsia="x-none"/>
    </w:rPr>
  </w:style>
  <w:style w:type="paragraph" w:styleId="lfej">
    <w:name w:val="header"/>
    <w:basedOn w:val="Norml"/>
    <w:link w:val="lfejChar"/>
    <w:unhideWhenUsed/>
    <w:rsid w:val="006325C2"/>
    <w:pPr>
      <w:tabs>
        <w:tab w:val="center" w:pos="4536"/>
        <w:tab w:val="right" w:pos="9072"/>
      </w:tabs>
      <w:overflowPunct w:val="0"/>
      <w:autoSpaceDE w:val="0"/>
      <w:autoSpaceDN w:val="0"/>
      <w:adjustRightInd w:val="0"/>
    </w:pPr>
    <w:rPr>
      <w:sz w:val="28"/>
      <w:szCs w:val="20"/>
      <w:lang w:val="x-none" w:eastAsia="hu-HU"/>
    </w:rPr>
  </w:style>
  <w:style w:type="character" w:customStyle="1" w:styleId="lfejChar">
    <w:name w:val="Élőfej Char"/>
    <w:basedOn w:val="Bekezdsalapbettpusa"/>
    <w:link w:val="lfej"/>
    <w:rsid w:val="006325C2"/>
    <w:rPr>
      <w:sz w:val="28"/>
      <w:lang w:val="x-none" w:eastAsia="hu-HU"/>
    </w:rPr>
  </w:style>
  <w:style w:type="paragraph" w:styleId="llb">
    <w:name w:val="footer"/>
    <w:basedOn w:val="Norml"/>
    <w:link w:val="llbChar"/>
    <w:uiPriority w:val="99"/>
    <w:unhideWhenUsed/>
    <w:rsid w:val="006325C2"/>
    <w:pPr>
      <w:tabs>
        <w:tab w:val="center" w:pos="4536"/>
        <w:tab w:val="right" w:pos="9072"/>
      </w:tabs>
      <w:overflowPunct w:val="0"/>
      <w:autoSpaceDE w:val="0"/>
      <w:autoSpaceDN w:val="0"/>
      <w:adjustRightInd w:val="0"/>
    </w:pPr>
    <w:rPr>
      <w:sz w:val="28"/>
      <w:szCs w:val="20"/>
      <w:lang w:val="x-none" w:eastAsia="x-none"/>
    </w:rPr>
  </w:style>
  <w:style w:type="character" w:customStyle="1" w:styleId="llbChar">
    <w:name w:val="Élőláb Char"/>
    <w:basedOn w:val="Bekezdsalapbettpusa"/>
    <w:link w:val="llb"/>
    <w:uiPriority w:val="99"/>
    <w:rsid w:val="006325C2"/>
    <w:rPr>
      <w:sz w:val="28"/>
      <w:lang w:val="x-none" w:eastAsia="x-none"/>
    </w:rPr>
  </w:style>
  <w:style w:type="paragraph" w:styleId="Megjegyzstrgya">
    <w:name w:val="annotation subject"/>
    <w:basedOn w:val="Jegyzetszveg"/>
    <w:next w:val="Jegyzetszveg"/>
    <w:link w:val="MegjegyzstrgyaChar"/>
    <w:uiPriority w:val="99"/>
    <w:semiHidden/>
    <w:unhideWhenUsed/>
    <w:rsid w:val="006325C2"/>
    <w:rPr>
      <w:b/>
      <w:bCs/>
    </w:rPr>
  </w:style>
  <w:style w:type="character" w:customStyle="1" w:styleId="MegjegyzstrgyaChar">
    <w:name w:val="Megjegyzés tárgya Char"/>
    <w:basedOn w:val="JegyzetszvegChar"/>
    <w:link w:val="Megjegyzstrgya"/>
    <w:uiPriority w:val="99"/>
    <w:semiHidden/>
    <w:rsid w:val="006325C2"/>
    <w:rPr>
      <w:b/>
      <w:bCs/>
      <w:lang w:val="x-none" w:eastAsia="x-none"/>
    </w:rPr>
  </w:style>
  <w:style w:type="paragraph" w:styleId="Buborkszveg">
    <w:name w:val="Balloon Text"/>
    <w:basedOn w:val="Norml"/>
    <w:link w:val="BuborkszvegChar"/>
    <w:uiPriority w:val="99"/>
    <w:semiHidden/>
    <w:unhideWhenUsed/>
    <w:rsid w:val="006325C2"/>
    <w:pPr>
      <w:overflowPunct w:val="0"/>
      <w:autoSpaceDE w:val="0"/>
      <w:autoSpaceDN w:val="0"/>
      <w:adjustRightInd w:val="0"/>
    </w:pPr>
    <w:rPr>
      <w:rFonts w:ascii="Segoe UI" w:hAnsi="Segoe UI"/>
      <w:sz w:val="18"/>
      <w:szCs w:val="18"/>
      <w:lang w:val="x-none" w:eastAsia="x-none"/>
    </w:rPr>
  </w:style>
  <w:style w:type="character" w:customStyle="1" w:styleId="BuborkszvegChar">
    <w:name w:val="Buborékszöveg Char"/>
    <w:basedOn w:val="Bekezdsalapbettpusa"/>
    <w:link w:val="Buborkszveg"/>
    <w:uiPriority w:val="99"/>
    <w:semiHidden/>
    <w:rsid w:val="006325C2"/>
    <w:rPr>
      <w:rFonts w:ascii="Segoe UI" w:hAnsi="Segoe UI"/>
      <w:sz w:val="18"/>
      <w:szCs w:val="18"/>
      <w:lang w:val="x-none" w:eastAsia="x-none"/>
    </w:rPr>
  </w:style>
  <w:style w:type="character" w:styleId="Lbjegyzet-hivatkozs">
    <w:name w:val="footnote reference"/>
    <w:uiPriority w:val="99"/>
    <w:semiHidden/>
    <w:unhideWhenUsed/>
    <w:rsid w:val="006325C2"/>
    <w:rPr>
      <w:vertAlign w:val="superscript"/>
    </w:rPr>
  </w:style>
  <w:style w:type="character" w:styleId="Jegyzethivatkozs">
    <w:name w:val="annotation reference"/>
    <w:uiPriority w:val="99"/>
    <w:semiHidden/>
    <w:unhideWhenUsed/>
    <w:rsid w:val="006325C2"/>
    <w:rPr>
      <w:sz w:val="16"/>
      <w:szCs w:val="16"/>
    </w:rPr>
  </w:style>
  <w:style w:type="table" w:styleId="Rcsostblzat">
    <w:name w:val="Table Grid"/>
    <w:basedOn w:val="Normltblzat"/>
    <w:uiPriority w:val="59"/>
    <w:rsid w:val="006325C2"/>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6325C2"/>
    <w:rPr>
      <w:b/>
      <w:bCs/>
    </w:rPr>
  </w:style>
  <w:style w:type="paragraph" w:styleId="Vltozat">
    <w:name w:val="Revision"/>
    <w:hidden/>
    <w:uiPriority w:val="99"/>
    <w:semiHidden/>
    <w:rsid w:val="00675C4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3339">
      <w:bodyDiv w:val="1"/>
      <w:marLeft w:val="0"/>
      <w:marRight w:val="0"/>
      <w:marTop w:val="0"/>
      <w:marBottom w:val="0"/>
      <w:divBdr>
        <w:top w:val="none" w:sz="0" w:space="0" w:color="auto"/>
        <w:left w:val="none" w:sz="0" w:space="0" w:color="auto"/>
        <w:bottom w:val="none" w:sz="0" w:space="0" w:color="auto"/>
        <w:right w:val="none" w:sz="0" w:space="0" w:color="auto"/>
      </w:divBdr>
    </w:div>
    <w:div w:id="100881939">
      <w:bodyDiv w:val="1"/>
      <w:marLeft w:val="0"/>
      <w:marRight w:val="0"/>
      <w:marTop w:val="0"/>
      <w:marBottom w:val="0"/>
      <w:divBdr>
        <w:top w:val="none" w:sz="0" w:space="0" w:color="auto"/>
        <w:left w:val="none" w:sz="0" w:space="0" w:color="auto"/>
        <w:bottom w:val="none" w:sz="0" w:space="0" w:color="auto"/>
        <w:right w:val="none" w:sz="0" w:space="0" w:color="auto"/>
      </w:divBdr>
    </w:div>
    <w:div w:id="145973053">
      <w:bodyDiv w:val="1"/>
      <w:marLeft w:val="0"/>
      <w:marRight w:val="0"/>
      <w:marTop w:val="0"/>
      <w:marBottom w:val="0"/>
      <w:divBdr>
        <w:top w:val="none" w:sz="0" w:space="0" w:color="auto"/>
        <w:left w:val="none" w:sz="0" w:space="0" w:color="auto"/>
        <w:bottom w:val="none" w:sz="0" w:space="0" w:color="auto"/>
        <w:right w:val="none" w:sz="0" w:space="0" w:color="auto"/>
      </w:divBdr>
    </w:div>
    <w:div w:id="148059033">
      <w:bodyDiv w:val="1"/>
      <w:marLeft w:val="0"/>
      <w:marRight w:val="0"/>
      <w:marTop w:val="0"/>
      <w:marBottom w:val="0"/>
      <w:divBdr>
        <w:top w:val="none" w:sz="0" w:space="0" w:color="auto"/>
        <w:left w:val="none" w:sz="0" w:space="0" w:color="auto"/>
        <w:bottom w:val="none" w:sz="0" w:space="0" w:color="auto"/>
        <w:right w:val="none" w:sz="0" w:space="0" w:color="auto"/>
      </w:divBdr>
    </w:div>
    <w:div w:id="263154413">
      <w:bodyDiv w:val="1"/>
      <w:marLeft w:val="0"/>
      <w:marRight w:val="0"/>
      <w:marTop w:val="0"/>
      <w:marBottom w:val="0"/>
      <w:divBdr>
        <w:top w:val="none" w:sz="0" w:space="0" w:color="auto"/>
        <w:left w:val="none" w:sz="0" w:space="0" w:color="auto"/>
        <w:bottom w:val="none" w:sz="0" w:space="0" w:color="auto"/>
        <w:right w:val="none" w:sz="0" w:space="0" w:color="auto"/>
      </w:divBdr>
    </w:div>
    <w:div w:id="410196745">
      <w:bodyDiv w:val="1"/>
      <w:marLeft w:val="0"/>
      <w:marRight w:val="0"/>
      <w:marTop w:val="0"/>
      <w:marBottom w:val="0"/>
      <w:divBdr>
        <w:top w:val="none" w:sz="0" w:space="0" w:color="auto"/>
        <w:left w:val="none" w:sz="0" w:space="0" w:color="auto"/>
        <w:bottom w:val="none" w:sz="0" w:space="0" w:color="auto"/>
        <w:right w:val="none" w:sz="0" w:space="0" w:color="auto"/>
      </w:divBdr>
    </w:div>
    <w:div w:id="432824633">
      <w:bodyDiv w:val="1"/>
      <w:marLeft w:val="0"/>
      <w:marRight w:val="0"/>
      <w:marTop w:val="0"/>
      <w:marBottom w:val="0"/>
      <w:divBdr>
        <w:top w:val="none" w:sz="0" w:space="0" w:color="auto"/>
        <w:left w:val="none" w:sz="0" w:space="0" w:color="auto"/>
        <w:bottom w:val="none" w:sz="0" w:space="0" w:color="auto"/>
        <w:right w:val="none" w:sz="0" w:space="0" w:color="auto"/>
      </w:divBdr>
    </w:div>
    <w:div w:id="447941146">
      <w:bodyDiv w:val="1"/>
      <w:marLeft w:val="0"/>
      <w:marRight w:val="0"/>
      <w:marTop w:val="0"/>
      <w:marBottom w:val="0"/>
      <w:divBdr>
        <w:top w:val="none" w:sz="0" w:space="0" w:color="auto"/>
        <w:left w:val="none" w:sz="0" w:space="0" w:color="auto"/>
        <w:bottom w:val="none" w:sz="0" w:space="0" w:color="auto"/>
        <w:right w:val="none" w:sz="0" w:space="0" w:color="auto"/>
      </w:divBdr>
    </w:div>
    <w:div w:id="615914260">
      <w:bodyDiv w:val="1"/>
      <w:marLeft w:val="0"/>
      <w:marRight w:val="0"/>
      <w:marTop w:val="0"/>
      <w:marBottom w:val="0"/>
      <w:divBdr>
        <w:top w:val="none" w:sz="0" w:space="0" w:color="auto"/>
        <w:left w:val="none" w:sz="0" w:space="0" w:color="auto"/>
        <w:bottom w:val="none" w:sz="0" w:space="0" w:color="auto"/>
        <w:right w:val="none" w:sz="0" w:space="0" w:color="auto"/>
      </w:divBdr>
    </w:div>
    <w:div w:id="650250564">
      <w:bodyDiv w:val="1"/>
      <w:marLeft w:val="0"/>
      <w:marRight w:val="0"/>
      <w:marTop w:val="0"/>
      <w:marBottom w:val="0"/>
      <w:divBdr>
        <w:top w:val="none" w:sz="0" w:space="0" w:color="auto"/>
        <w:left w:val="none" w:sz="0" w:space="0" w:color="auto"/>
        <w:bottom w:val="none" w:sz="0" w:space="0" w:color="auto"/>
        <w:right w:val="none" w:sz="0" w:space="0" w:color="auto"/>
      </w:divBdr>
    </w:div>
    <w:div w:id="663510234">
      <w:bodyDiv w:val="1"/>
      <w:marLeft w:val="0"/>
      <w:marRight w:val="0"/>
      <w:marTop w:val="0"/>
      <w:marBottom w:val="0"/>
      <w:divBdr>
        <w:top w:val="none" w:sz="0" w:space="0" w:color="auto"/>
        <w:left w:val="none" w:sz="0" w:space="0" w:color="auto"/>
        <w:bottom w:val="none" w:sz="0" w:space="0" w:color="auto"/>
        <w:right w:val="none" w:sz="0" w:space="0" w:color="auto"/>
      </w:divBdr>
    </w:div>
    <w:div w:id="889614212">
      <w:bodyDiv w:val="1"/>
      <w:marLeft w:val="0"/>
      <w:marRight w:val="0"/>
      <w:marTop w:val="0"/>
      <w:marBottom w:val="0"/>
      <w:divBdr>
        <w:top w:val="none" w:sz="0" w:space="0" w:color="auto"/>
        <w:left w:val="none" w:sz="0" w:space="0" w:color="auto"/>
        <w:bottom w:val="none" w:sz="0" w:space="0" w:color="auto"/>
        <w:right w:val="none" w:sz="0" w:space="0" w:color="auto"/>
      </w:divBdr>
    </w:div>
    <w:div w:id="927347182">
      <w:bodyDiv w:val="1"/>
      <w:marLeft w:val="0"/>
      <w:marRight w:val="0"/>
      <w:marTop w:val="0"/>
      <w:marBottom w:val="0"/>
      <w:divBdr>
        <w:top w:val="none" w:sz="0" w:space="0" w:color="auto"/>
        <w:left w:val="none" w:sz="0" w:space="0" w:color="auto"/>
        <w:bottom w:val="none" w:sz="0" w:space="0" w:color="auto"/>
        <w:right w:val="none" w:sz="0" w:space="0" w:color="auto"/>
      </w:divBdr>
    </w:div>
    <w:div w:id="1012682740">
      <w:bodyDiv w:val="1"/>
      <w:marLeft w:val="0"/>
      <w:marRight w:val="0"/>
      <w:marTop w:val="0"/>
      <w:marBottom w:val="0"/>
      <w:divBdr>
        <w:top w:val="none" w:sz="0" w:space="0" w:color="auto"/>
        <w:left w:val="none" w:sz="0" w:space="0" w:color="auto"/>
        <w:bottom w:val="none" w:sz="0" w:space="0" w:color="auto"/>
        <w:right w:val="none" w:sz="0" w:space="0" w:color="auto"/>
      </w:divBdr>
    </w:div>
    <w:div w:id="1034768831">
      <w:bodyDiv w:val="1"/>
      <w:marLeft w:val="0"/>
      <w:marRight w:val="0"/>
      <w:marTop w:val="0"/>
      <w:marBottom w:val="0"/>
      <w:divBdr>
        <w:top w:val="none" w:sz="0" w:space="0" w:color="auto"/>
        <w:left w:val="none" w:sz="0" w:space="0" w:color="auto"/>
        <w:bottom w:val="none" w:sz="0" w:space="0" w:color="auto"/>
        <w:right w:val="none" w:sz="0" w:space="0" w:color="auto"/>
      </w:divBdr>
    </w:div>
    <w:div w:id="1301612776">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78893083">
      <w:bodyDiv w:val="1"/>
      <w:marLeft w:val="0"/>
      <w:marRight w:val="0"/>
      <w:marTop w:val="0"/>
      <w:marBottom w:val="0"/>
      <w:divBdr>
        <w:top w:val="none" w:sz="0" w:space="0" w:color="auto"/>
        <w:left w:val="none" w:sz="0" w:space="0" w:color="auto"/>
        <w:bottom w:val="none" w:sz="0" w:space="0" w:color="auto"/>
        <w:right w:val="none" w:sz="0" w:space="0" w:color="auto"/>
      </w:divBdr>
    </w:div>
    <w:div w:id="1409420789">
      <w:bodyDiv w:val="1"/>
      <w:marLeft w:val="0"/>
      <w:marRight w:val="0"/>
      <w:marTop w:val="0"/>
      <w:marBottom w:val="0"/>
      <w:divBdr>
        <w:top w:val="none" w:sz="0" w:space="0" w:color="auto"/>
        <w:left w:val="none" w:sz="0" w:space="0" w:color="auto"/>
        <w:bottom w:val="none" w:sz="0" w:space="0" w:color="auto"/>
        <w:right w:val="none" w:sz="0" w:space="0" w:color="auto"/>
      </w:divBdr>
    </w:div>
    <w:div w:id="1420635179">
      <w:bodyDiv w:val="1"/>
      <w:marLeft w:val="0"/>
      <w:marRight w:val="0"/>
      <w:marTop w:val="0"/>
      <w:marBottom w:val="0"/>
      <w:divBdr>
        <w:top w:val="none" w:sz="0" w:space="0" w:color="auto"/>
        <w:left w:val="none" w:sz="0" w:space="0" w:color="auto"/>
        <w:bottom w:val="none" w:sz="0" w:space="0" w:color="auto"/>
        <w:right w:val="none" w:sz="0" w:space="0" w:color="auto"/>
      </w:divBdr>
    </w:div>
    <w:div w:id="1462572481">
      <w:bodyDiv w:val="1"/>
      <w:marLeft w:val="0"/>
      <w:marRight w:val="0"/>
      <w:marTop w:val="0"/>
      <w:marBottom w:val="0"/>
      <w:divBdr>
        <w:top w:val="none" w:sz="0" w:space="0" w:color="auto"/>
        <w:left w:val="none" w:sz="0" w:space="0" w:color="auto"/>
        <w:bottom w:val="none" w:sz="0" w:space="0" w:color="auto"/>
        <w:right w:val="none" w:sz="0" w:space="0" w:color="auto"/>
      </w:divBdr>
    </w:div>
    <w:div w:id="1462765807">
      <w:bodyDiv w:val="1"/>
      <w:marLeft w:val="0"/>
      <w:marRight w:val="0"/>
      <w:marTop w:val="0"/>
      <w:marBottom w:val="0"/>
      <w:divBdr>
        <w:top w:val="none" w:sz="0" w:space="0" w:color="auto"/>
        <w:left w:val="none" w:sz="0" w:space="0" w:color="auto"/>
        <w:bottom w:val="none" w:sz="0" w:space="0" w:color="auto"/>
        <w:right w:val="none" w:sz="0" w:space="0" w:color="auto"/>
      </w:divBdr>
    </w:div>
    <w:div w:id="1611939143">
      <w:bodyDiv w:val="1"/>
      <w:marLeft w:val="0"/>
      <w:marRight w:val="0"/>
      <w:marTop w:val="0"/>
      <w:marBottom w:val="0"/>
      <w:divBdr>
        <w:top w:val="none" w:sz="0" w:space="0" w:color="auto"/>
        <w:left w:val="none" w:sz="0" w:space="0" w:color="auto"/>
        <w:bottom w:val="none" w:sz="0" w:space="0" w:color="auto"/>
        <w:right w:val="none" w:sz="0" w:space="0" w:color="auto"/>
      </w:divBdr>
    </w:div>
    <w:div w:id="1635519165">
      <w:bodyDiv w:val="1"/>
      <w:marLeft w:val="0"/>
      <w:marRight w:val="0"/>
      <w:marTop w:val="0"/>
      <w:marBottom w:val="0"/>
      <w:divBdr>
        <w:top w:val="none" w:sz="0" w:space="0" w:color="auto"/>
        <w:left w:val="none" w:sz="0" w:space="0" w:color="auto"/>
        <w:bottom w:val="none" w:sz="0" w:space="0" w:color="auto"/>
        <w:right w:val="none" w:sz="0" w:space="0" w:color="auto"/>
      </w:divBdr>
    </w:div>
    <w:div w:id="1636107844">
      <w:bodyDiv w:val="1"/>
      <w:marLeft w:val="0"/>
      <w:marRight w:val="0"/>
      <w:marTop w:val="0"/>
      <w:marBottom w:val="0"/>
      <w:divBdr>
        <w:top w:val="none" w:sz="0" w:space="0" w:color="auto"/>
        <w:left w:val="none" w:sz="0" w:space="0" w:color="auto"/>
        <w:bottom w:val="none" w:sz="0" w:space="0" w:color="auto"/>
        <w:right w:val="none" w:sz="0" w:space="0" w:color="auto"/>
      </w:divBdr>
    </w:div>
    <w:div w:id="1790926537">
      <w:bodyDiv w:val="1"/>
      <w:marLeft w:val="0"/>
      <w:marRight w:val="0"/>
      <w:marTop w:val="0"/>
      <w:marBottom w:val="0"/>
      <w:divBdr>
        <w:top w:val="none" w:sz="0" w:space="0" w:color="auto"/>
        <w:left w:val="none" w:sz="0" w:space="0" w:color="auto"/>
        <w:bottom w:val="none" w:sz="0" w:space="0" w:color="auto"/>
        <w:right w:val="none" w:sz="0" w:space="0" w:color="auto"/>
      </w:divBdr>
    </w:div>
    <w:div w:id="1875969663">
      <w:bodyDiv w:val="1"/>
      <w:marLeft w:val="0"/>
      <w:marRight w:val="0"/>
      <w:marTop w:val="0"/>
      <w:marBottom w:val="0"/>
      <w:divBdr>
        <w:top w:val="none" w:sz="0" w:space="0" w:color="auto"/>
        <w:left w:val="none" w:sz="0" w:space="0" w:color="auto"/>
        <w:bottom w:val="none" w:sz="0" w:space="0" w:color="auto"/>
        <w:right w:val="none" w:sz="0" w:space="0" w:color="auto"/>
      </w:divBdr>
    </w:div>
    <w:div w:id="1944456786">
      <w:bodyDiv w:val="1"/>
      <w:marLeft w:val="0"/>
      <w:marRight w:val="0"/>
      <w:marTop w:val="0"/>
      <w:marBottom w:val="0"/>
      <w:divBdr>
        <w:top w:val="none" w:sz="0" w:space="0" w:color="auto"/>
        <w:left w:val="none" w:sz="0" w:space="0" w:color="auto"/>
        <w:bottom w:val="none" w:sz="0" w:space="0" w:color="auto"/>
        <w:right w:val="none" w:sz="0" w:space="0" w:color="auto"/>
      </w:divBdr>
    </w:div>
    <w:div w:id="2003270085">
      <w:bodyDiv w:val="1"/>
      <w:marLeft w:val="0"/>
      <w:marRight w:val="0"/>
      <w:marTop w:val="0"/>
      <w:marBottom w:val="0"/>
      <w:divBdr>
        <w:top w:val="none" w:sz="0" w:space="0" w:color="auto"/>
        <w:left w:val="none" w:sz="0" w:space="0" w:color="auto"/>
        <w:bottom w:val="none" w:sz="0" w:space="0" w:color="auto"/>
        <w:right w:val="none" w:sz="0" w:space="0" w:color="auto"/>
      </w:divBdr>
    </w:div>
    <w:div w:id="2030175109">
      <w:bodyDiv w:val="1"/>
      <w:marLeft w:val="0"/>
      <w:marRight w:val="0"/>
      <w:marTop w:val="0"/>
      <w:marBottom w:val="0"/>
      <w:divBdr>
        <w:top w:val="none" w:sz="0" w:space="0" w:color="auto"/>
        <w:left w:val="none" w:sz="0" w:space="0" w:color="auto"/>
        <w:bottom w:val="none" w:sz="0" w:space="0" w:color="auto"/>
        <w:right w:val="none" w:sz="0" w:space="0" w:color="auto"/>
      </w:divBdr>
    </w:div>
    <w:div w:id="20627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A4C53-8B23-410B-9D64-2A811445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5263</Words>
  <Characters>36321</Characters>
  <Application>Microsoft Office Word</Application>
  <DocSecurity>0</DocSecurity>
  <Lines>302</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6</cp:revision>
  <cp:lastPrinted>2026-02-04T12:33:00Z</cp:lastPrinted>
  <dcterms:created xsi:type="dcterms:W3CDTF">2026-02-05T07:48:00Z</dcterms:created>
  <dcterms:modified xsi:type="dcterms:W3CDTF">2026-02-06T06:25:00Z</dcterms:modified>
</cp:coreProperties>
</file>