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2E3" w:rsidRDefault="00F60321">
      <w:pPr>
        <w:spacing w:before="100" w:after="100" w:line="276" w:lineRule="auto"/>
        <w:outlineLvl w:val="0"/>
        <w:rPr>
          <w:rFonts w:ascii="Times New Roman" w:eastAsia="Times New Roman" w:hAnsi="Times New Roman"/>
          <w:b/>
          <w:bCs/>
          <w:sz w:val="48"/>
          <w:szCs w:val="48"/>
          <w:lang w:eastAsia="hu-H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48"/>
          <w:szCs w:val="48"/>
          <w:lang w:eastAsia="hu-HU"/>
        </w:rPr>
        <w:t>ELŐTERJESZTÉS</w:t>
      </w:r>
    </w:p>
    <w:p w:rsidR="00AA02E3" w:rsidRDefault="00AA02E3">
      <w:pPr>
        <w:spacing w:before="100" w:after="100" w:line="276" w:lineRule="auto"/>
        <w:outlineLvl w:val="0"/>
        <w:rPr>
          <w:rFonts w:ascii="Times New Roman" w:eastAsia="Times New Roman" w:hAnsi="Times New Roman"/>
          <w:b/>
          <w:bCs/>
          <w:sz w:val="48"/>
          <w:szCs w:val="48"/>
          <w:lang w:eastAsia="hu-HU"/>
        </w:rPr>
      </w:pPr>
    </w:p>
    <w:p w:rsidR="00AA02E3" w:rsidRDefault="00F60321">
      <w:pPr>
        <w:spacing w:before="100" w:after="100" w:line="276" w:lineRule="auto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Bátaszék Város Önkormányzata Képviselő-testületének</w:t>
      </w:r>
    </w:p>
    <w:p w:rsidR="00AA02E3" w:rsidRDefault="00F60321">
      <w:pPr>
        <w:spacing w:before="100" w:after="100" w:line="276" w:lineRule="auto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Tárgy: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A X. Bátaszéki Bornapok 2027. évi megrendezésének előkészítése</w:t>
      </w:r>
    </w:p>
    <w:p w:rsidR="00AA02E3" w:rsidRDefault="00F60321">
      <w:pPr>
        <w:spacing w:before="100" w:after="100" w:line="276" w:lineRule="auto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Készítette: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Bátaszékért Marketing Nonprofit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Kft.</w:t>
      </w:r>
    </w:p>
    <w:p w:rsidR="00AA02E3" w:rsidRDefault="00F60321">
      <w:pPr>
        <w:spacing w:before="100" w:after="100" w:line="276" w:lineRule="auto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Tárgyalja:</w:t>
      </w:r>
    </w:p>
    <w:p w:rsidR="00AA02E3" w:rsidRDefault="00F60321">
      <w:pPr>
        <w:numPr>
          <w:ilvl w:val="0"/>
          <w:numId w:val="1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Pénzügyi és Gazdasági Bizottság</w:t>
      </w:r>
    </w:p>
    <w:p w:rsidR="00AA02E3" w:rsidRDefault="00F60321">
      <w:pPr>
        <w:numPr>
          <w:ilvl w:val="0"/>
          <w:numId w:val="1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Közművelődési, Oktatási, Ifjúsági és Sport Bizottság</w:t>
      </w:r>
    </w:p>
    <w:p w:rsidR="00AA02E3" w:rsidRDefault="00AA02E3">
      <w:pPr>
        <w:spacing w:after="0" w:line="276" w:lineRule="auto"/>
      </w:pPr>
    </w:p>
    <w:p w:rsidR="00AA02E3" w:rsidRDefault="00F60321">
      <w:pPr>
        <w:spacing w:before="100" w:after="100" w:line="276" w:lineRule="auto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1. Az előterjesztés tárgya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Bátaszéki Bornapok Bátaszék egyik legjelentősebb, évről évre visszatérő kulturális és közösségi rendezvénye.</w:t>
      </w:r>
    </w:p>
    <w:p w:rsidR="00AA02E3" w:rsidRDefault="00F60321">
      <w:pPr>
        <w:spacing w:before="100" w:after="100" w:line="276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2027. év ebből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a szempontból kiemelt jelentőségű, hiszen ekkor kerülne sor a X. Bátaszéki Bornapok, azaz a rendezvény jubileumi, tizedik alkalommal történő megrendezésére.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jubileumi rendezvény előkészítését indokolt már legkésőbb 2026 novemberében megkezdeni annak érd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ekében, hogy a szükséges szakmai, szervezési és pénzügyi előkészítési feladatok időben elvégezhetők legyenek, továbbá a 2027. évben várható pályázati és egyéb külső források bevonására megfelelő szakmai színvonalú projekt álljon rendelkezésre.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Az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előterjesztés célja ezért annak eldöntése, hogy Bátaszék Város Önkormányzata támogatja-e a X. Bátaszéki Bornapok 2027. évi megrendezésének előkészítését, valamint felhatalmazza-e a Bátaszékért Marketing Nonprofit Kft.-t a szükséges előkészítő munkák megkez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désére.</w:t>
      </w:r>
    </w:p>
    <w:p w:rsidR="00AA02E3" w:rsidRDefault="00AA02E3">
      <w:pPr>
        <w:spacing w:after="0" w:line="276" w:lineRule="auto"/>
      </w:pPr>
    </w:p>
    <w:p w:rsidR="00AA02E3" w:rsidRDefault="00F60321">
      <w:pPr>
        <w:spacing w:before="100" w:after="100" w:line="276" w:lineRule="auto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hu-HU"/>
        </w:rPr>
        <w:t>2. A Bátaszéki Bornapok eddigi jelentősége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Bátaszéki Bornapok az elmúlt években Bátaszék egyik meghatározó városi rendezvényévé vált.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rendezvény háromnapos fesztiválként kapcsolja össze a Szekszárdi Borvidék bor- és gasztronómiai kultúráját, 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helyi és térségi hagyományokat, a szüreti programokat, a néptáncot, a népzenét, a családi és gyermekprogramokat, valamint a kortárs magyar könnyűzenei produkciókat.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2026. szeptember 11–13. között megrendezett IX. Bátaszéki Bornapok programjában többek k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özött szüreti felvonulás, királyi koronázási ceremónia, néptáncbemutatók, civil bemutatkozó, családi programok és több könnyűzenei koncert szerepelt. A város hivatalos kommunikációja a rendezvényt a Szekszárdi Borvidék hangulatát, a helyi borokat, a hagyom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ányőrzést és a nagyszínpados koncerteket összekapcsoló háromnapos fesztiválként mutatta be.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lastRenderedPageBreak/>
        <w:t>A Bornapok tehát nem egyszeri vagy újonnan kialakítandó rendezvény, hanem többéves hagyományra épülő, a város kulturális életében és turisztikai kínálatában is megh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atározó esemény.</w:t>
      </w:r>
    </w:p>
    <w:p w:rsidR="00AA02E3" w:rsidRDefault="00AA02E3">
      <w:pPr>
        <w:spacing w:after="0" w:line="276" w:lineRule="auto"/>
      </w:pPr>
    </w:p>
    <w:p w:rsidR="00AA02E3" w:rsidRDefault="00F60321">
      <w:pPr>
        <w:spacing w:before="100" w:after="100" w:line="276" w:lineRule="auto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hu-HU"/>
        </w:rPr>
        <w:t>3. A X. Bornapok jubileumi jelentősége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2027. évi X. Bátaszéki Bornapok a rendezvény történetében kiemelkedő alkalom.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tizedik megrendezés lehetőséget teremt arra, hogy a rendezvény az eddig kialakított hagyományokra építve, ugyanakkor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szakmai és művészeti szempontból megújulva valósuljon meg.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jubileumi Bornapok célja ezért nem pusztán az előző évek rendezvényeinek megismétlése, hanem:</w:t>
      </w:r>
    </w:p>
    <w:p w:rsidR="00AA02E3" w:rsidRDefault="00F60321">
      <w:pPr>
        <w:numPr>
          <w:ilvl w:val="0"/>
          <w:numId w:val="2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az elmúlt tíz év eredményeinek bemutatása;</w:t>
      </w:r>
    </w:p>
    <w:p w:rsidR="00AA02E3" w:rsidRDefault="00F60321">
      <w:pPr>
        <w:numPr>
          <w:ilvl w:val="0"/>
          <w:numId w:val="2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Bátaszéki Bornapok kulturális értékeinek összegzése;</w:t>
      </w:r>
    </w:p>
    <w:p w:rsidR="00AA02E3" w:rsidRDefault="00F60321">
      <w:pPr>
        <w:numPr>
          <w:ilvl w:val="0"/>
          <w:numId w:val="2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h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elyi hagyományok kiemelt bemutatása;</w:t>
      </w:r>
    </w:p>
    <w:p w:rsidR="00AA02E3" w:rsidRDefault="00F60321">
      <w:pPr>
        <w:numPr>
          <w:ilvl w:val="0"/>
          <w:numId w:val="2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bátaszéki bor- és szőlőkultúra hangsúlyosabb megjelenítése;</w:t>
      </w:r>
    </w:p>
    <w:p w:rsidR="00AA02E3" w:rsidRDefault="00F60321">
      <w:pPr>
        <w:numPr>
          <w:ilvl w:val="0"/>
          <w:numId w:val="2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helyi kulturális közösségek és civil szervezetek bevonása;</w:t>
      </w:r>
    </w:p>
    <w:p w:rsidR="00AA02E3" w:rsidRDefault="00F60321">
      <w:pPr>
        <w:numPr>
          <w:ilvl w:val="0"/>
          <w:numId w:val="2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magas színvonalú hazai művészeti produkciók bemutatása;</w:t>
      </w:r>
    </w:p>
    <w:p w:rsidR="00AA02E3" w:rsidRDefault="00F60321">
      <w:pPr>
        <w:numPr>
          <w:ilvl w:val="0"/>
          <w:numId w:val="2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gyermek- és családi programok bővítése;</w:t>
      </w:r>
    </w:p>
    <w:p w:rsidR="00AA02E3" w:rsidRDefault="00F60321">
      <w:pPr>
        <w:numPr>
          <w:ilvl w:val="0"/>
          <w:numId w:val="2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rendezvény turisztikai vonzerejének erősítése;</w:t>
      </w:r>
    </w:p>
    <w:p w:rsidR="00AA02E3" w:rsidRDefault="00F60321">
      <w:pPr>
        <w:numPr>
          <w:ilvl w:val="0"/>
          <w:numId w:val="2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valamint a következő évtized Bornapjainak szakmai megalapozása.</w:t>
      </w:r>
    </w:p>
    <w:p w:rsidR="00AA02E3" w:rsidRDefault="00AA02E3">
      <w:pPr>
        <w:spacing w:after="0" w:line="276" w:lineRule="auto"/>
      </w:pPr>
    </w:p>
    <w:p w:rsidR="00AA02E3" w:rsidRDefault="00F60321">
      <w:pPr>
        <w:spacing w:before="100" w:after="100" w:line="276" w:lineRule="auto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hu-HU"/>
        </w:rPr>
        <w:t>4. A rendezvény kulturális jellege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X. Bátaszéki Bornapok tervezése során kiemelt szempont, hogy a rendezvény ne kizárólag szórakoztató és ga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sztronómiai eseményként jelenjen meg, hanem egyértelműen kulturális és közösségi fesztiválként.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Ennek megfelelően a programstruktúra az alábbi fő elemekből épülhet fel:</w:t>
      </w:r>
    </w:p>
    <w:p w:rsidR="00AA02E3" w:rsidRDefault="00F60321">
      <w:pPr>
        <w:spacing w:before="100" w:after="100" w:line="276" w:lineRule="auto"/>
        <w:outlineLvl w:val="2"/>
        <w:rPr>
          <w:rFonts w:ascii="Times New Roman" w:eastAsia="Times New Roman" w:hAnsi="Times New Roman"/>
          <w:b/>
          <w:bCs/>
          <w:kern w:val="0"/>
          <w:sz w:val="27"/>
          <w:szCs w:val="27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27"/>
          <w:szCs w:val="27"/>
          <w:lang w:eastAsia="hu-HU"/>
        </w:rPr>
        <w:t>1. Helyi hagyományőrzés</w:t>
      </w:r>
    </w:p>
    <w:p w:rsidR="00AA02E3" w:rsidRDefault="00F60321">
      <w:pPr>
        <w:numPr>
          <w:ilvl w:val="0"/>
          <w:numId w:val="3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szüreti felvonulás;</w:t>
      </w:r>
    </w:p>
    <w:p w:rsidR="00AA02E3" w:rsidRDefault="00F60321">
      <w:pPr>
        <w:numPr>
          <w:ilvl w:val="0"/>
          <w:numId w:val="3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koronázási ceremónia;</w:t>
      </w:r>
    </w:p>
    <w:p w:rsidR="00AA02E3" w:rsidRDefault="00F60321">
      <w:pPr>
        <w:numPr>
          <w:ilvl w:val="0"/>
          <w:numId w:val="3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hagyományőrző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csoportok;</w:t>
      </w:r>
    </w:p>
    <w:p w:rsidR="00AA02E3" w:rsidRDefault="00F60321">
      <w:pPr>
        <w:numPr>
          <w:ilvl w:val="0"/>
          <w:numId w:val="3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néptánc;</w:t>
      </w:r>
    </w:p>
    <w:p w:rsidR="00AA02E3" w:rsidRDefault="00F60321">
      <w:pPr>
        <w:numPr>
          <w:ilvl w:val="0"/>
          <w:numId w:val="3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népzene;</w:t>
      </w:r>
    </w:p>
    <w:p w:rsidR="00AA02E3" w:rsidRDefault="00F60321">
      <w:pPr>
        <w:numPr>
          <w:ilvl w:val="0"/>
          <w:numId w:val="3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helyi nemzetiségi hagyományok;</w:t>
      </w:r>
    </w:p>
    <w:p w:rsidR="00AA02E3" w:rsidRDefault="00F60321">
      <w:pPr>
        <w:numPr>
          <w:ilvl w:val="0"/>
          <w:numId w:val="3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kézműves bemutatók;</w:t>
      </w:r>
    </w:p>
    <w:p w:rsidR="00AA02E3" w:rsidRDefault="00F60321">
      <w:pPr>
        <w:spacing w:before="100" w:after="100" w:line="276" w:lineRule="auto"/>
        <w:outlineLvl w:val="2"/>
        <w:rPr>
          <w:rFonts w:ascii="Times New Roman" w:eastAsia="Times New Roman" w:hAnsi="Times New Roman"/>
          <w:b/>
          <w:bCs/>
          <w:kern w:val="0"/>
          <w:sz w:val="27"/>
          <w:szCs w:val="27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27"/>
          <w:szCs w:val="27"/>
          <w:lang w:eastAsia="hu-HU"/>
        </w:rPr>
        <w:lastRenderedPageBreak/>
        <w:t>2. Bor- és szőlőkultúra</w:t>
      </w:r>
    </w:p>
    <w:p w:rsidR="00AA02E3" w:rsidRDefault="00F60321">
      <w:pPr>
        <w:numPr>
          <w:ilvl w:val="0"/>
          <w:numId w:val="4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helyi és térségi borászok bemutatkozása;</w:t>
      </w:r>
    </w:p>
    <w:p w:rsidR="00AA02E3" w:rsidRDefault="00F60321">
      <w:pPr>
        <w:numPr>
          <w:ilvl w:val="0"/>
          <w:numId w:val="4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borászati programok;</w:t>
      </w:r>
    </w:p>
    <w:p w:rsidR="00AA02E3" w:rsidRDefault="00F60321">
      <w:pPr>
        <w:numPr>
          <w:ilvl w:val="0"/>
          <w:numId w:val="4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borkóstolók;</w:t>
      </w:r>
    </w:p>
    <w:p w:rsidR="00AA02E3" w:rsidRDefault="00F60321">
      <w:pPr>
        <w:numPr>
          <w:ilvl w:val="0"/>
          <w:numId w:val="4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borászati ismeretterjesztés;</w:t>
      </w:r>
    </w:p>
    <w:p w:rsidR="00AA02E3" w:rsidRDefault="00F60321">
      <w:pPr>
        <w:numPr>
          <w:ilvl w:val="0"/>
          <w:numId w:val="4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helyi termelők bemutatkozása;</w:t>
      </w:r>
    </w:p>
    <w:p w:rsidR="00AA02E3" w:rsidRDefault="00F60321">
      <w:pPr>
        <w:numPr>
          <w:ilvl w:val="0"/>
          <w:numId w:val="4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gasztronómiai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programok.</w:t>
      </w:r>
    </w:p>
    <w:p w:rsidR="00AA02E3" w:rsidRDefault="00F60321">
      <w:pPr>
        <w:spacing w:before="100" w:after="100" w:line="276" w:lineRule="auto"/>
        <w:outlineLvl w:val="2"/>
        <w:rPr>
          <w:rFonts w:ascii="Times New Roman" w:eastAsia="Times New Roman" w:hAnsi="Times New Roman"/>
          <w:b/>
          <w:bCs/>
          <w:kern w:val="0"/>
          <w:sz w:val="27"/>
          <w:szCs w:val="27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27"/>
          <w:szCs w:val="27"/>
          <w:lang w:eastAsia="hu-HU"/>
        </w:rPr>
        <w:t>3. Kortárs magyar kultúra</w:t>
      </w:r>
    </w:p>
    <w:p w:rsidR="00AA02E3" w:rsidRDefault="00F60321">
      <w:pPr>
        <w:numPr>
          <w:ilvl w:val="0"/>
          <w:numId w:val="5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könnyűzenei koncertek;</w:t>
      </w:r>
    </w:p>
    <w:p w:rsidR="00AA02E3" w:rsidRDefault="00F60321">
      <w:pPr>
        <w:numPr>
          <w:ilvl w:val="0"/>
          <w:numId w:val="5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hazai előadóművészek;</w:t>
      </w:r>
    </w:p>
    <w:p w:rsidR="00AA02E3" w:rsidRDefault="00F60321">
      <w:pPr>
        <w:numPr>
          <w:ilvl w:val="0"/>
          <w:numId w:val="5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fiatal tehetségek bemutatkozása;</w:t>
      </w:r>
    </w:p>
    <w:p w:rsidR="00AA02E3" w:rsidRDefault="00F60321">
      <w:pPr>
        <w:numPr>
          <w:ilvl w:val="0"/>
          <w:numId w:val="5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kulturális és művészeti produkciók.</w:t>
      </w:r>
    </w:p>
    <w:p w:rsidR="00AA02E3" w:rsidRDefault="00F60321">
      <w:pPr>
        <w:spacing w:before="100" w:after="100" w:line="276" w:lineRule="auto"/>
        <w:outlineLvl w:val="2"/>
        <w:rPr>
          <w:rFonts w:ascii="Times New Roman" w:eastAsia="Times New Roman" w:hAnsi="Times New Roman"/>
          <w:b/>
          <w:bCs/>
          <w:kern w:val="0"/>
          <w:sz w:val="27"/>
          <w:szCs w:val="27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27"/>
          <w:szCs w:val="27"/>
          <w:lang w:eastAsia="hu-HU"/>
        </w:rPr>
        <w:t>4. Családi és gyermekprogramok</w:t>
      </w:r>
    </w:p>
    <w:p w:rsidR="00AA02E3" w:rsidRDefault="00F60321">
      <w:pPr>
        <w:numPr>
          <w:ilvl w:val="0"/>
          <w:numId w:val="6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gyermekelőadások;</w:t>
      </w:r>
    </w:p>
    <w:p w:rsidR="00AA02E3" w:rsidRDefault="00F60321">
      <w:pPr>
        <w:numPr>
          <w:ilvl w:val="0"/>
          <w:numId w:val="6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kézműves foglalkozások;</w:t>
      </w:r>
    </w:p>
    <w:p w:rsidR="00AA02E3" w:rsidRDefault="00F60321">
      <w:pPr>
        <w:numPr>
          <w:ilvl w:val="0"/>
          <w:numId w:val="6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interaktív kulturális programok;</w:t>
      </w:r>
    </w:p>
    <w:p w:rsidR="00AA02E3" w:rsidRDefault="00F60321">
      <w:pPr>
        <w:numPr>
          <w:ilvl w:val="0"/>
          <w:numId w:val="6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vidámparki elemek;</w:t>
      </w:r>
    </w:p>
    <w:p w:rsidR="00AA02E3" w:rsidRDefault="00AA02E3">
      <w:pPr>
        <w:spacing w:after="0" w:line="276" w:lineRule="auto"/>
      </w:pPr>
    </w:p>
    <w:p w:rsidR="00AA02E3" w:rsidRDefault="00F60321">
      <w:pPr>
        <w:spacing w:before="100" w:after="100" w:line="276" w:lineRule="auto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hu-HU"/>
        </w:rPr>
        <w:t>5. Az NKA pályázati lehetősége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X. Bátaszéki Bornapok előkészítése szempontjából különösen fontos a Nemzeti Kulturális Alap Közösségi Programok és Fesztiválok Kollégiumának pályázati rendszere.</w:t>
      </w:r>
    </w:p>
    <w:p w:rsidR="00AA02E3" w:rsidRDefault="00F60321">
      <w:pPr>
        <w:spacing w:before="100" w:after="100" w:line="276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2026. évi pályázati felhívásban külön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pályázati célként szerepelt a „hagyománnyal rendelkező, rendszeresen megrendezett, magas színvonalú hazai fesztiválok megvalósításának támogatása”.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pályázati feltételek szerint a támogatandó fesztiválnak többek között:</w:t>
      </w:r>
    </w:p>
    <w:p w:rsidR="00AA02E3" w:rsidRDefault="00F60321">
      <w:pPr>
        <w:numPr>
          <w:ilvl w:val="0"/>
          <w:numId w:val="7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Magyarországon kell megvalósulnia;</w:t>
      </w:r>
    </w:p>
    <w:p w:rsidR="00AA02E3" w:rsidRDefault="00F60321">
      <w:pPr>
        <w:numPr>
          <w:ilvl w:val="0"/>
          <w:numId w:val="7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nem első alkalommal kell megrendezni;</w:t>
      </w:r>
    </w:p>
    <w:p w:rsidR="00AA02E3" w:rsidRDefault="00F60321">
      <w:pPr>
        <w:numPr>
          <w:ilvl w:val="0"/>
          <w:numId w:val="7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legalább három egymást követő napig kell tartania;</w:t>
      </w:r>
    </w:p>
    <w:p w:rsidR="00AA02E3" w:rsidRDefault="00F60321">
      <w:pPr>
        <w:numPr>
          <w:ilvl w:val="0"/>
          <w:numId w:val="7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több és sokrétű kulturális programot kell tartalmaznia;</w:t>
      </w:r>
    </w:p>
    <w:p w:rsidR="00AA02E3" w:rsidRDefault="00F60321">
      <w:pPr>
        <w:numPr>
          <w:ilvl w:val="0"/>
          <w:numId w:val="7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meghatározott kulturális térben kell megvalósulnia;</w:t>
      </w:r>
    </w:p>
    <w:p w:rsidR="00AA02E3" w:rsidRDefault="00F60321">
      <w:pPr>
        <w:numPr>
          <w:ilvl w:val="0"/>
          <w:numId w:val="7"/>
        </w:num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valamint megfelelő nagyságú költségvetéssel kell rendelkezn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ie. 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2026. évi konstrukcióban a pályázatonként igényelhető támogatás felső határa 20 millió forint volt, a pályázó számára pedig legalább az igényelt támogatás 25%-ának megfelelő saját forrás biztosítását írták elő. 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lastRenderedPageBreak/>
        <w:t>A pályázat szempontjából különösen fo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ntos, hogy a támogatás nem automatikus, és a fesztiválnak egyértelmű kulturális értéket kell képviselnie. Az NKA nem támogatja többek között a településnapokat, az elsődlegesen turisztikai/gasztronómiai fesztiválokat, illetve azokat a rendezvényeket, amely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ek elsődlegesen szórakoztató vagy kereskedelmi célúak. Naponta legalább három különböző kulturális program megléte is feltétel volt a 2026. évi kiírásban. </w:t>
      </w:r>
    </w:p>
    <w:p w:rsidR="00AA02E3" w:rsidRDefault="00F60321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Bátaszéki Bornapok programstruktúrája ugyanakkor alkalmas arra, hogy a rendezvény a kulturális fes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ztivál kategóriában jelenjen meg, különösen a szüreti hagyományok, a néptánc, a népzene, a helyi kulturális örökség, a borászati kultúra, a közösségi programok és a kortárs magyar művészeti produkciók együttes bemutatásával.</w:t>
      </w:r>
    </w:p>
    <w:p w:rsidR="00AA02E3" w:rsidRDefault="00AA02E3">
      <w:pPr>
        <w:spacing w:after="0" w:line="276" w:lineRule="auto"/>
      </w:pPr>
    </w:p>
    <w:p w:rsidR="00AA02E3" w:rsidRDefault="00F60321">
      <w:pPr>
        <w:spacing w:before="100" w:after="100" w:line="276" w:lineRule="auto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hu-HU"/>
        </w:rPr>
        <w:t>6. A 2027. évi NKA-forrás terv</w:t>
      </w:r>
      <w:r>
        <w:rPr>
          <w:rFonts w:ascii="Times New Roman" w:eastAsia="Times New Roman" w:hAnsi="Times New Roman"/>
          <w:b/>
          <w:bCs/>
          <w:sz w:val="36"/>
          <w:szCs w:val="36"/>
          <w:lang w:eastAsia="hu-HU"/>
        </w:rPr>
        <w:t>ezhetősége</w:t>
      </w:r>
    </w:p>
    <w:p w:rsidR="00AA02E3" w:rsidRDefault="00F60321">
      <w:pPr>
        <w:pStyle w:val="x12ofw9d"/>
        <w:spacing w:line="276" w:lineRule="auto"/>
        <w:jc w:val="both"/>
      </w:pPr>
      <w:r>
        <w:t>A X. Bátaszéki Bornapok előkészítésének egyik lehetséges finanszírozási eleme a Nemzeti Kulturális Alap pályázati rendszerében elérhető fesztiváltámogatás.</w:t>
      </w:r>
    </w:p>
    <w:p w:rsidR="00AA02E3" w:rsidRDefault="00F60321">
      <w:pPr>
        <w:pStyle w:val="x12ofw9d"/>
        <w:spacing w:line="276" w:lineRule="auto"/>
        <w:jc w:val="both"/>
      </w:pPr>
      <w:r>
        <w:t>A 2026. évi pályázati konstrukció alapján a rendezvény kulturális programstruktúrája lehe</w:t>
      </w:r>
      <w:r>
        <w:t>tőséget teremthet arra, hogy a szervező a 2027. évi pályázati felhívás feltételeinek ismeretében támogatási kérelmet nyújtson be. A korábbi pályázati konstrukció azonban önmagában nem jelent garanciát arra, hogy 2027-ben azonos feltételekkel, azonos támoga</w:t>
      </w:r>
      <w:r>
        <w:t>tási kerettel vagy azonos összegű támogatással lehet számolni.</w:t>
      </w:r>
    </w:p>
    <w:p w:rsidR="00AA02E3" w:rsidRDefault="00F60321">
      <w:pPr>
        <w:pStyle w:val="x12ofw9d"/>
        <w:spacing w:line="276" w:lineRule="auto"/>
        <w:jc w:val="both"/>
      </w:pPr>
      <w:r>
        <w:t xml:space="preserve">Külön hangsúlyozandó, hogy a 2027. évi pályázat eredménye jelenleg nem ismert. Nem tekinthető biztosnak sem a pályázat benyújthatósága és eredményessége, sem a támogatás elnyerése, sem annak </w:t>
      </w:r>
      <w:r>
        <w:t>összege. Eredményes pályázat esetén sem garantált, hogy a szervező a teljes igényelt összeget megkapja.</w:t>
      </w:r>
    </w:p>
    <w:p w:rsidR="00AA02E3" w:rsidRDefault="00F60321">
      <w:pPr>
        <w:pStyle w:val="x12ofw9d"/>
        <w:spacing w:line="276" w:lineRule="auto"/>
        <w:jc w:val="both"/>
      </w:pPr>
      <w:r>
        <w:t>A jelen előterjesztésben szereplő 20 000 000 Ft összegű NKA-támogatás ezért kizárólag tervezési feltételezésként kezelhető. Nem tekinthető biztos bevéte</w:t>
      </w:r>
      <w:r>
        <w:t>lnek, és nem képezheti önmagában olyan pénzügyi kötelezettségvállalás alapját, amelynek teljesítése e támogatás megérkezésétől függ.</w:t>
      </w:r>
    </w:p>
    <w:p w:rsidR="00AA02E3" w:rsidRDefault="00F60321">
      <w:pPr>
        <w:pStyle w:val="x12ofw9d"/>
        <w:spacing w:line="276" w:lineRule="auto"/>
        <w:jc w:val="both"/>
      </w:pPr>
      <w:r>
        <w:rPr>
          <w:rStyle w:val="Kiemels2"/>
        </w:rPr>
        <w:t>A fő szervező álláspontja szerint az NKA-támogatás megszerzésének és összegének bizonytalansága a rendezvény finanszírozásá</w:t>
      </w:r>
      <w:r>
        <w:rPr>
          <w:rStyle w:val="Kiemels2"/>
        </w:rPr>
        <w:t>t érintő egyik legjelentősebb kockázati tényező.</w:t>
      </w:r>
      <w:r>
        <w:t xml:space="preserve"> A pénzügyi tervezés során ezért nem a támogatás elnyeréséből, hanem annak bizonytalanságából kell kiindulni, és a rendezvény megvalósíthatóságát a támogatás elmaradásának vagy csökkentett összegű megítélésén</w:t>
      </w:r>
      <w:r>
        <w:t>ek esetére is vizsgálni szükséges.</w:t>
      </w:r>
    </w:p>
    <w:p w:rsidR="00AA02E3" w:rsidRDefault="00AA02E3">
      <w:pPr>
        <w:spacing w:after="0" w:line="276" w:lineRule="auto"/>
      </w:pPr>
    </w:p>
    <w:p w:rsidR="00AA02E3" w:rsidRDefault="00F60321">
      <w:pPr>
        <w:suppressAutoHyphens w:val="0"/>
        <w:spacing w:before="100" w:after="100" w:line="276" w:lineRule="auto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7. A korai előkészítés szükségessége és annak pénzügyi korlátai</w:t>
      </w:r>
    </w:p>
    <w:p w:rsidR="00AA02E3" w:rsidRDefault="00F60321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jubileumi rendezvény szakmai előkészítése, a fellépőkkel történő egyeztetés, a technikai szolgáltatók ajánlatainak bekérése, a pályázati dokumentáció elké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szítése és a szponzori tárgyalások megkezdése indokoltan már 2026 novemberében megkezdhető.</w:t>
      </w:r>
    </w:p>
    <w:p w:rsidR="00AA02E3" w:rsidRDefault="00F60321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lastRenderedPageBreak/>
        <w:t>A korai előkészítés azonban nem azonos a rendezvény teljes költségvetésének vállalásával. A két folyamatot egyértelműen el kell különíteni.</w:t>
      </w:r>
    </w:p>
    <w:p w:rsidR="00AA02E3" w:rsidRDefault="00F60321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szervezési feladatok e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lső szakaszában elsősorban olyan tevékenységek végezhetők, amelyek nem vagy csak korlátozott mértékben járnak pénzügyi kötelezettségvállalással. Ide tartozik különösen a szakmai koncepció kidolgozása, az előzetes ajánlatok bekérése, a pályázati lehetőségek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vizsgálata, a szponzori tárgyalások lefolytatása és a különböző költségvetési forgatókönyvek összeállítása.</w:t>
      </w:r>
    </w:p>
    <w:p w:rsidR="00AA02E3" w:rsidRDefault="00F60321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fellépők és szolgáltatók végleges lekötése, az előlegek kifizetése, illetve a jelentősebb pénzügyi kötelezettséget keletkeztető szerződések megkö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tése csak a rendelkezésre álló források, a vállalható pénzügyi kockázatok és az illetékes döntéshozó által jóváhagyott költségkeret ismeretében indokolt.</w:t>
      </w:r>
    </w:p>
    <w:p w:rsidR="00AA02E3" w:rsidRDefault="00F60321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fő szervező álláspontja szerint a jubileumi rendezvény előkészítése támogatható, ugyanakkor a finans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zírozás tényleges biztosítása előtti, visszafordíthatatlan kötelezettségvállalás nem tekinthető kellően megalapozottnak.</w:t>
      </w:r>
    </w:p>
    <w:p w:rsidR="00AA02E3" w:rsidRDefault="00AA02E3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AA02E3" w:rsidRDefault="00F60321">
      <w:pPr>
        <w:suppressAutoHyphens w:val="0"/>
        <w:spacing w:before="100" w:after="100" w:line="276" w:lineRule="auto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8. A 2027. évi rendezvény előzetes költségvetése</w:t>
      </w:r>
    </w:p>
    <w:p w:rsidR="00AA02E3" w:rsidRDefault="00F60321">
      <w:pPr>
        <w:suppressAutoHyphens w:val="0"/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X. Bátaszéki Bornapok tervezett költségvetése jelenleg előzetesen 45 000 000 Ft öss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zegben határozható meg.</w:t>
      </w:r>
    </w:p>
    <w:tbl>
      <w:tblPr>
        <w:tblW w:w="658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15"/>
        <w:gridCol w:w="2567"/>
      </w:tblGrid>
      <w:tr w:rsidR="00AA02E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1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u-HU"/>
              </w:rPr>
              <w:t>Költségtétel</w:t>
            </w:r>
          </w:p>
        </w:tc>
        <w:tc>
          <w:tcPr>
            <w:tcW w:w="256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u-HU"/>
              </w:rPr>
              <w:t>Előzetes tervezett összeg</w:t>
            </w:r>
          </w:p>
        </w:tc>
      </w:tr>
      <w:tr w:rsidR="00AA02E3">
        <w:tblPrEx>
          <w:tblCellMar>
            <w:top w:w="0" w:type="dxa"/>
            <w:bottom w:w="0" w:type="dxa"/>
          </w:tblCellMar>
        </w:tblPrEx>
        <w:tc>
          <w:tcPr>
            <w:tcW w:w="401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Művészeti és előadói díjak</w:t>
            </w:r>
          </w:p>
        </w:tc>
        <w:tc>
          <w:tcPr>
            <w:tcW w:w="256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22 000 000 Ft</w:t>
            </w:r>
          </w:p>
        </w:tc>
      </w:tr>
      <w:tr w:rsidR="00AA02E3">
        <w:tblPrEx>
          <w:tblCellMar>
            <w:top w:w="0" w:type="dxa"/>
            <w:bottom w:w="0" w:type="dxa"/>
          </w:tblCellMar>
        </w:tblPrEx>
        <w:tc>
          <w:tcPr>
            <w:tcW w:w="401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Színpad-, hang- és fénytechnika</w:t>
            </w:r>
          </w:p>
        </w:tc>
        <w:tc>
          <w:tcPr>
            <w:tcW w:w="256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6 000 000 Ft</w:t>
            </w:r>
          </w:p>
        </w:tc>
      </w:tr>
      <w:tr w:rsidR="00AA02E3">
        <w:tblPrEx>
          <w:tblCellMar>
            <w:top w:w="0" w:type="dxa"/>
            <w:bottom w:w="0" w:type="dxa"/>
          </w:tblCellMar>
        </w:tblPrEx>
        <w:tc>
          <w:tcPr>
            <w:tcW w:w="401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Rendezvénytechnika és infrastruktúra</w:t>
            </w:r>
          </w:p>
        </w:tc>
        <w:tc>
          <w:tcPr>
            <w:tcW w:w="256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4 000 000 Ft</w:t>
            </w:r>
          </w:p>
        </w:tc>
      </w:tr>
      <w:tr w:rsidR="00AA02E3">
        <w:tblPrEx>
          <w:tblCellMar>
            <w:top w:w="0" w:type="dxa"/>
            <w:bottom w:w="0" w:type="dxa"/>
          </w:tblCellMar>
        </w:tblPrEx>
        <w:tc>
          <w:tcPr>
            <w:tcW w:w="401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Hagyományőrző és kulturális programok</w:t>
            </w:r>
          </w:p>
        </w:tc>
        <w:tc>
          <w:tcPr>
            <w:tcW w:w="256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3 000 000 Ft</w:t>
            </w:r>
          </w:p>
        </w:tc>
      </w:tr>
      <w:tr w:rsidR="00AA02E3">
        <w:tblPrEx>
          <w:tblCellMar>
            <w:top w:w="0" w:type="dxa"/>
            <w:bottom w:w="0" w:type="dxa"/>
          </w:tblCellMar>
        </w:tblPrEx>
        <w:tc>
          <w:tcPr>
            <w:tcW w:w="401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Gyermek- és családi programok</w:t>
            </w:r>
          </w:p>
        </w:tc>
        <w:tc>
          <w:tcPr>
            <w:tcW w:w="256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1 500 000 Ft</w:t>
            </w:r>
          </w:p>
        </w:tc>
      </w:tr>
      <w:tr w:rsidR="00AA02E3">
        <w:tblPrEx>
          <w:tblCellMar>
            <w:top w:w="0" w:type="dxa"/>
            <w:bottom w:w="0" w:type="dxa"/>
          </w:tblCellMar>
        </w:tblPrEx>
        <w:tc>
          <w:tcPr>
            <w:tcW w:w="401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Marketing és kommunikáció</w:t>
            </w:r>
          </w:p>
        </w:tc>
        <w:tc>
          <w:tcPr>
            <w:tcW w:w="256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2 500 000 Ft</w:t>
            </w:r>
          </w:p>
        </w:tc>
      </w:tr>
      <w:tr w:rsidR="00AA02E3">
        <w:tblPrEx>
          <w:tblCellMar>
            <w:top w:w="0" w:type="dxa"/>
            <w:bottom w:w="0" w:type="dxa"/>
          </w:tblCellMar>
        </w:tblPrEx>
        <w:tc>
          <w:tcPr>
            <w:tcW w:w="401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Biztonsági és egészségügyi feladatok</w:t>
            </w:r>
          </w:p>
        </w:tc>
        <w:tc>
          <w:tcPr>
            <w:tcW w:w="256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3 000 000 Ft</w:t>
            </w:r>
          </w:p>
        </w:tc>
      </w:tr>
      <w:tr w:rsidR="00AA02E3">
        <w:tblPrEx>
          <w:tblCellMar>
            <w:top w:w="0" w:type="dxa"/>
            <w:bottom w:w="0" w:type="dxa"/>
          </w:tblCellMar>
        </w:tblPrEx>
        <w:tc>
          <w:tcPr>
            <w:tcW w:w="401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Logisztika, szállítás, szállás, szervezés</w:t>
            </w:r>
          </w:p>
        </w:tc>
        <w:tc>
          <w:tcPr>
            <w:tcW w:w="256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3 000 000 Ft</w:t>
            </w:r>
          </w:p>
        </w:tc>
      </w:tr>
      <w:tr w:rsidR="00AA02E3">
        <w:tblPrEx>
          <w:tblCellMar>
            <w:top w:w="0" w:type="dxa"/>
            <w:bottom w:w="0" w:type="dxa"/>
          </w:tblCellMar>
        </w:tblPrEx>
        <w:tc>
          <w:tcPr>
            <w:tcW w:w="401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u-HU"/>
              </w:rPr>
              <w:t>Összesen</w:t>
            </w:r>
          </w:p>
        </w:tc>
        <w:tc>
          <w:tcPr>
            <w:tcW w:w="256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u-HU"/>
              </w:rPr>
              <w:t>45 000 000 Ft</w:t>
            </w:r>
          </w:p>
        </w:tc>
      </w:tr>
    </w:tbl>
    <w:p w:rsidR="00AA02E3" w:rsidRDefault="00F60321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fenti költségvetés előzetes becslés, ne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m pedig végleges, ajánlatokkal és biztosított forrásokkal alátámasztott pénzügyi terv. A tényleges költségek a szolgáltatói ajánlatok, a fellépői díjak, a technikai igények és az egyéb szerződéses feltételek függvényében változhatnak.</w:t>
      </w:r>
    </w:p>
    <w:p w:rsidR="00AA02E3" w:rsidRDefault="00F60321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tervezett 45 000 00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0 Ft-os kiadási szint jelenleg nem tekinthető biztonságosan finanszírozottnak, mivel az ahhoz rendelt külső bevételek jelentős része nem biztosított.</w:t>
      </w:r>
    </w:p>
    <w:p w:rsidR="00AA02E3" w:rsidRDefault="00F60321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végleges költségvetés meghatározásakor nemcsak az egyes kiadási tételeket, hanem azok finanszírozási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fedezetét, a bevételek realizálhatóságát és az esetleges bevételkiesések kezelésének módját is vizsgálni kell.</w:t>
      </w:r>
    </w:p>
    <w:p w:rsidR="00AA02E3" w:rsidRDefault="00AA02E3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AA02E3" w:rsidRDefault="00AA02E3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AA02E3" w:rsidRDefault="00F60321">
      <w:pPr>
        <w:suppressAutoHyphens w:val="0"/>
        <w:spacing w:before="100" w:after="100" w:line="276" w:lineRule="auto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lastRenderedPageBreak/>
        <w:t>9. Tervezett finanszírozás és a bevételi kockázatok értékelése</w:t>
      </w:r>
    </w:p>
    <w:p w:rsidR="00AA02E3" w:rsidRDefault="00F60321">
      <w:pPr>
        <w:suppressAutoHyphens w:val="0"/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jelenlegi előzetes finanszírozási terv az alábbi forrásokkal számol:</w:t>
      </w: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2"/>
        <w:gridCol w:w="1607"/>
        <w:gridCol w:w="4053"/>
      </w:tblGrid>
      <w:tr w:rsidR="00AA02E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1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u-HU"/>
              </w:rPr>
              <w:t>Finanszírozási forrás</w:t>
            </w:r>
          </w:p>
        </w:tc>
        <w:tc>
          <w:tcPr>
            <w:tcW w:w="160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u-HU"/>
              </w:rPr>
              <w:t>Tervezett összeg</w:t>
            </w:r>
          </w:p>
        </w:tc>
        <w:tc>
          <w:tcPr>
            <w:tcW w:w="405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u-HU"/>
              </w:rPr>
              <w:t>Jelenlegi megítélés</w:t>
            </w:r>
          </w:p>
        </w:tc>
      </w:tr>
      <w:tr w:rsidR="00AA02E3">
        <w:tblPrEx>
          <w:tblCellMar>
            <w:top w:w="0" w:type="dxa"/>
            <w:bottom w:w="0" w:type="dxa"/>
          </w:tblCellMar>
        </w:tblPrEx>
        <w:tc>
          <w:tcPr>
            <w:tcW w:w="341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NKA-pályázati támogatás</w:t>
            </w:r>
          </w:p>
        </w:tc>
        <w:tc>
          <w:tcPr>
            <w:tcW w:w="160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20 000 000 Ft</w:t>
            </w:r>
          </w:p>
        </w:tc>
        <w:tc>
          <w:tcPr>
            <w:tcW w:w="405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Bizonytalan, nem elnyert támogatás</w:t>
            </w:r>
          </w:p>
        </w:tc>
      </w:tr>
      <w:tr w:rsidR="00AA02E3">
        <w:tblPrEx>
          <w:tblCellMar>
            <w:top w:w="0" w:type="dxa"/>
            <w:bottom w:w="0" w:type="dxa"/>
          </w:tblCellMar>
        </w:tblPrEx>
        <w:tc>
          <w:tcPr>
            <w:tcW w:w="341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Önkormányzati hozzájárulás</w:t>
            </w:r>
          </w:p>
        </w:tc>
        <w:tc>
          <w:tcPr>
            <w:tcW w:w="160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15 000 000 Ft</w:t>
            </w:r>
          </w:p>
        </w:tc>
        <w:tc>
          <w:tcPr>
            <w:tcW w:w="405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Külön döntést igényel</w:t>
            </w:r>
          </w:p>
        </w:tc>
      </w:tr>
      <w:tr w:rsidR="00AA02E3">
        <w:tblPrEx>
          <w:tblCellMar>
            <w:top w:w="0" w:type="dxa"/>
            <w:bottom w:w="0" w:type="dxa"/>
          </w:tblCellMar>
        </w:tblPrEx>
        <w:tc>
          <w:tcPr>
            <w:tcW w:w="341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Vállalkozói és szponzori támogatások</w:t>
            </w:r>
          </w:p>
        </w:tc>
        <w:tc>
          <w:tcPr>
            <w:tcW w:w="160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5 000 000 Ft</w:t>
            </w:r>
          </w:p>
        </w:tc>
        <w:tc>
          <w:tcPr>
            <w:tcW w:w="405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Előzetes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 xml:space="preserve"> terv, nem igazolt bevétel</w:t>
            </w:r>
          </w:p>
        </w:tc>
      </w:tr>
      <w:tr w:rsidR="00AA02E3">
        <w:tblPrEx>
          <w:tblCellMar>
            <w:top w:w="0" w:type="dxa"/>
            <w:bottom w:w="0" w:type="dxa"/>
          </w:tblCellMar>
        </w:tblPrEx>
        <w:tc>
          <w:tcPr>
            <w:tcW w:w="341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Saját és egyéb rendezvénybevétel</w:t>
            </w:r>
          </w:p>
        </w:tc>
        <w:tc>
          <w:tcPr>
            <w:tcW w:w="160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5 000 000 Ft</w:t>
            </w:r>
          </w:p>
        </w:tc>
        <w:tc>
          <w:tcPr>
            <w:tcW w:w="405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u-HU"/>
              </w:rPr>
              <w:t>Előzetes terv, a tényleges bevétel bizonytalan</w:t>
            </w:r>
          </w:p>
        </w:tc>
      </w:tr>
      <w:tr w:rsidR="00AA02E3">
        <w:tblPrEx>
          <w:tblCellMar>
            <w:top w:w="0" w:type="dxa"/>
            <w:bottom w:w="0" w:type="dxa"/>
          </w:tblCellMar>
        </w:tblPrEx>
        <w:tc>
          <w:tcPr>
            <w:tcW w:w="341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u-HU"/>
              </w:rPr>
              <w:t>Összesen</w:t>
            </w:r>
          </w:p>
        </w:tc>
        <w:tc>
          <w:tcPr>
            <w:tcW w:w="160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u-HU"/>
              </w:rPr>
              <w:t>45 000 000 Ft</w:t>
            </w:r>
          </w:p>
        </w:tc>
        <w:tc>
          <w:tcPr>
            <w:tcW w:w="405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02E3" w:rsidRDefault="00F60321">
            <w:pPr>
              <w:suppressAutoHyphens w:val="0"/>
              <w:spacing w:after="0" w:line="276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u-HU"/>
              </w:rPr>
              <w:t>Nem biztosított teljes finanszírozás</w:t>
            </w:r>
          </w:p>
        </w:tc>
      </w:tr>
    </w:tbl>
    <w:p w:rsidR="00AA02E3" w:rsidRDefault="00F60321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finanszírozási kockázat megítélésekor különös jelentősége van a 2026.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évi rendezvény tapasztalatainak. A vállalkozói bevételek esetében 15 000 000 Ft összegű tervvel szemben ténylegesen 12 000 000 Ft bevétel realizálódott. Ez 3 000 000 Ft-os elmaradást, vagyis a tervezett bevétel 20%-ának kiesését jelentette.</w:t>
      </w:r>
    </w:p>
    <w:p w:rsidR="00AA02E3" w:rsidRDefault="00F60321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fő szervező e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gyértelmű álláspontja, hogy a 2027. évi rendezvény finanszírozási kockázata jelenleg magas. </w:t>
      </w:r>
    </w:p>
    <w:p w:rsidR="00AA02E3" w:rsidRDefault="00AA02E3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AA02E3" w:rsidRDefault="00F60321">
      <w:pPr>
        <w:suppressAutoHyphens w:val="0"/>
        <w:spacing w:before="100" w:after="100" w:line="276" w:lineRule="auto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11. Összegzés és a fő szervező szakmai álláspontja</w:t>
      </w:r>
    </w:p>
    <w:p w:rsidR="00AA02E3" w:rsidRDefault="00F60321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Bátaszéki Bornapok eddigi történetében két alkalommal is elmaradt a rendezvény, és az elmaradásoknak nem volt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kimutatható kedvezőtlen utóhatása. Ez alapján nem igazolható az a feltételezés, hogy a jubileumi, X. Bornapok 2028-ra történő halasztása szükségszerűen hátrányosan érintené a rendezvény vagy a város megítélését. Ezzel szemben egy megfelelő pénzügyi fedeze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t nélkül, csökkentett költségvetéssel, a szakmai színvonal rovására megvalósított rendezvény nagyobb kockázatot jelenthet a fesztivál jelenleg kedvező szakmai és látogatói megítélésére.</w:t>
      </w:r>
    </w:p>
    <w:p w:rsidR="00AA02E3" w:rsidRDefault="00F60321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fő szervező szakmai szempontból 2027-ben is képesnek tartja magát a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jubileumi rendezvény megszervezésére, azonban ezt csak megfelelően biztosított pénzügyi háttér mellett tartja felelősen vállalhatónak. Amennyiben a szükséges források nem állnak rendelkezésre, a rendezvény 2028-ra történő halasztása reális alternatíva lehe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t, amely nagyobb esélyt teremthet egy magas színvonalú, méltó jubileumi esemény megvalósítására.</w:t>
      </w:r>
    </w:p>
    <w:p w:rsidR="00AA02E3" w:rsidRDefault="00F60321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Bornapok évenkénti megrendezése ugyanakkor fontos városi érdek: erősíti Bátaszék kulturális életét, közösségét és turisztikai vonzerejét. A rendszeres megren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dezésre való törekvést ezért fenn kell tartani, de annak pénzügyi biztonságát is meg kell teremteni. Amennyiben a város gazdasági helyzete, a rendelkezésre álló források és a támogatási lehetőségek kedvezőbbé válnak, a Bornapok évenkénti megrendezését indo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kolt célként kezelni.</w:t>
      </w:r>
    </w:p>
    <w:p w:rsidR="00AA02E3" w:rsidRDefault="00F60321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lastRenderedPageBreak/>
        <w:t>A fő szervező álláspontja tehát egyértelmű: nem a rendezvény megvalósítása, hanem a megfelelő pénzügyi fedezet nélküli, a fesztivál szakmai színvonalát veszélyeztető megvalósítás jelent elfogadhatatlan kockázatot. A jubileum időpontjá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nál fontosabb, hogy a X. Bátaszéki Bornapok méltó módon, megfelelő szakmai színvonalon és pénzügyileg felelősen valósuljon meg.</w:t>
      </w:r>
    </w:p>
    <w:p w:rsidR="00AA02E3" w:rsidRDefault="00AA02E3">
      <w:pPr>
        <w:suppressAutoHyphens w:val="0"/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AA02E3" w:rsidRDefault="00F60321">
      <w:pPr>
        <w:pStyle w:val="x12ofw9d"/>
        <w:spacing w:line="276" w:lineRule="auto"/>
        <w:jc w:val="both"/>
      </w:pPr>
      <w:r>
        <w:t>Kérem a Tisztelt Képviselő-testületet, hogy az előterjesztésben foglalt szakmai és pénzügyi szempontok mérlegelésével hozza meg</w:t>
      </w:r>
      <w:r>
        <w:t xml:space="preserve"> döntését a X. Bátaszéki Bornapok előkészítésének és további szervezési feladatainak folytatásáról. A Képviselő-testület döntését elfogadva, annak tartalmával és feltételeivel összhangban végzem a további előkészítési és szervezési feladatokat, szem előtt </w:t>
      </w:r>
      <w:r>
        <w:t>tartva a rendezvény szakmai színvonalának megőrzését és a pénzügyi kockázatok felelős kezelését.</w:t>
      </w:r>
    </w:p>
    <w:p w:rsidR="00AA02E3" w:rsidRDefault="00AA02E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AA02E3" w:rsidRDefault="00AA02E3">
      <w:p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AA02E3" w:rsidRDefault="00F60321">
      <w:p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Bátaszék, 2026. október 28.</w:t>
      </w:r>
    </w:p>
    <w:p w:rsidR="00AA02E3" w:rsidRDefault="00AA02E3">
      <w:p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AA02E3" w:rsidRDefault="00AA02E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AA02E3" w:rsidRDefault="00F60321">
      <w:pPr>
        <w:spacing w:before="100" w:after="100" w:line="276" w:lineRule="auto"/>
        <w:jc w:val="right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Ócsai Krisztina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br/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ügyvezető igazgató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br/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Bátaszékért Marketing Nonprofit Kft.</w:t>
      </w:r>
    </w:p>
    <w:p w:rsidR="00AA02E3" w:rsidRDefault="00AA02E3">
      <w:pPr>
        <w:spacing w:before="100" w:after="100" w:line="276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AA02E3" w:rsidRDefault="00AA02E3">
      <w:pPr>
        <w:spacing w:line="276" w:lineRule="auto"/>
      </w:pPr>
    </w:p>
    <w:sectPr w:rsidR="00AA02E3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60321">
      <w:pPr>
        <w:spacing w:after="0" w:line="240" w:lineRule="auto"/>
      </w:pPr>
      <w:r>
        <w:separator/>
      </w:r>
    </w:p>
  </w:endnote>
  <w:endnote w:type="continuationSeparator" w:id="0">
    <w:p w:rsidR="00000000" w:rsidRDefault="00F60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F45" w:rsidRDefault="00F60321">
    <w:pPr>
      <w:pStyle w:val="llb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581F45" w:rsidRDefault="00F6032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6032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F60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26FE5"/>
    <w:multiLevelType w:val="multilevel"/>
    <w:tmpl w:val="C8EA361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2AFB17BD"/>
    <w:multiLevelType w:val="multilevel"/>
    <w:tmpl w:val="B8228A2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32552FD0"/>
    <w:multiLevelType w:val="multilevel"/>
    <w:tmpl w:val="1070199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535B0E2E"/>
    <w:multiLevelType w:val="multilevel"/>
    <w:tmpl w:val="446A016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7A780D78"/>
    <w:multiLevelType w:val="multilevel"/>
    <w:tmpl w:val="F2B6C84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7BD749A4"/>
    <w:multiLevelType w:val="multilevel"/>
    <w:tmpl w:val="B9E6326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7CE4194E"/>
    <w:multiLevelType w:val="multilevel"/>
    <w:tmpl w:val="121E589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AA02E3"/>
    <w:rsid w:val="00AA02E3"/>
    <w:rsid w:val="00F6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1A53C5-F6A2-44A4-B090-F2E95FCD3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hu-HU" w:eastAsia="en-US" w:bidi="ar-SA"/>
      </w:rPr>
    </w:rPrDefault>
    <w:pPrDefault>
      <w:pPr>
        <w:autoSpaceDN w:val="0"/>
        <w:spacing w:after="160" w:line="24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uppressAutoHyphens/>
    </w:pPr>
  </w:style>
  <w:style w:type="paragraph" w:styleId="Cmsor1">
    <w:name w:val="heading 1"/>
    <w:basedOn w:val="Norml"/>
    <w:next w:val="Norml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Cmsor2">
    <w:name w:val="heading 2"/>
    <w:basedOn w:val="Norml"/>
    <w:next w:val="Norml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Cmsor3">
    <w:name w:val="heading 3"/>
    <w:basedOn w:val="Norml"/>
    <w:next w:val="Norml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Cmsor5">
    <w:name w:val="heading 5"/>
    <w:basedOn w:val="Norml"/>
    <w:next w:val="Norml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Cmsor6">
    <w:name w:val="heading 6"/>
    <w:basedOn w:val="Norml"/>
    <w:next w:val="Norml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Cmsor7">
    <w:name w:val="heading 7"/>
    <w:basedOn w:val="Norml"/>
    <w:next w:val="Norm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Cmsor8">
    <w:name w:val="heading 8"/>
    <w:basedOn w:val="Norml"/>
    <w:next w:val="Norm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Cmsor9">
    <w:name w:val="heading 9"/>
    <w:basedOn w:val="Norml"/>
    <w:next w:val="Norm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Cmsor2Char">
    <w:name w:val="Címsor 2 Char"/>
    <w:basedOn w:val="Bekezdsalapbettpus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Cmsor3Char">
    <w:name w:val="Címsor 3 Char"/>
    <w:basedOn w:val="Bekezdsalapbettpusa"/>
    <w:rPr>
      <w:rFonts w:eastAsia="Times New Roman" w:cs="Times New Roman"/>
      <w:color w:val="2F5496"/>
      <w:sz w:val="28"/>
      <w:szCs w:val="28"/>
    </w:rPr>
  </w:style>
  <w:style w:type="character" w:customStyle="1" w:styleId="Cmsor4Char">
    <w:name w:val="Címsor 4 Char"/>
    <w:basedOn w:val="Bekezdsalapbettpusa"/>
    <w:rPr>
      <w:rFonts w:eastAsia="Times New Roman" w:cs="Times New Roman"/>
      <w:i/>
      <w:iCs/>
      <w:color w:val="2F5496"/>
    </w:rPr>
  </w:style>
  <w:style w:type="character" w:customStyle="1" w:styleId="Cmsor5Char">
    <w:name w:val="Címsor 5 Char"/>
    <w:basedOn w:val="Bekezdsalapbettpusa"/>
    <w:rPr>
      <w:rFonts w:eastAsia="Times New Roman" w:cs="Times New Roman"/>
      <w:color w:val="2F5496"/>
    </w:rPr>
  </w:style>
  <w:style w:type="character" w:customStyle="1" w:styleId="Cmsor6Char">
    <w:name w:val="Címsor 6 Char"/>
    <w:basedOn w:val="Bekezdsalapbettpusa"/>
    <w:rPr>
      <w:rFonts w:eastAsia="Times New Roman" w:cs="Times New Roman"/>
      <w:i/>
      <w:iCs/>
      <w:color w:val="595959"/>
    </w:rPr>
  </w:style>
  <w:style w:type="character" w:customStyle="1" w:styleId="Cmsor7Char">
    <w:name w:val="Címsor 7 Char"/>
    <w:basedOn w:val="Bekezdsalapbettpusa"/>
    <w:rPr>
      <w:rFonts w:eastAsia="Times New Roman" w:cs="Times New Roman"/>
      <w:color w:val="595959"/>
    </w:rPr>
  </w:style>
  <w:style w:type="character" w:customStyle="1" w:styleId="Cmsor8Char">
    <w:name w:val="Címsor 8 Char"/>
    <w:basedOn w:val="Bekezdsalapbettpusa"/>
    <w:rPr>
      <w:rFonts w:eastAsia="Times New Roman" w:cs="Times New Roman"/>
      <w:i/>
      <w:iCs/>
      <w:color w:val="272727"/>
    </w:rPr>
  </w:style>
  <w:style w:type="character" w:customStyle="1" w:styleId="Cmsor9Char">
    <w:name w:val="Címsor 9 Char"/>
    <w:basedOn w:val="Bekezdsalapbettpusa"/>
    <w:rPr>
      <w:rFonts w:eastAsia="Times New Roman" w:cs="Times New Roman"/>
      <w:color w:val="272727"/>
    </w:rPr>
  </w:style>
  <w:style w:type="paragraph" w:styleId="Cm">
    <w:name w:val="Title"/>
    <w:basedOn w:val="Norml"/>
    <w:next w:val="Norml"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CmChar">
    <w:name w:val="Cím Char"/>
    <w:basedOn w:val="Bekezdsalapbettpus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Alcm">
    <w:name w:val="Subtitle"/>
    <w:basedOn w:val="Norml"/>
    <w:next w:val="Norml"/>
    <w:rPr>
      <w:rFonts w:eastAsia="Times New Roman"/>
      <w:color w:val="595959"/>
      <w:spacing w:val="15"/>
      <w:sz w:val="28"/>
      <w:szCs w:val="28"/>
    </w:rPr>
  </w:style>
  <w:style w:type="character" w:customStyle="1" w:styleId="AlcmChar">
    <w:name w:val="Alcím Char"/>
    <w:basedOn w:val="Bekezdsalapbettpusa"/>
    <w:rPr>
      <w:rFonts w:eastAsia="Times New Roman" w:cs="Times New Roman"/>
      <w:color w:val="595959"/>
      <w:spacing w:val="15"/>
      <w:sz w:val="28"/>
      <w:szCs w:val="28"/>
    </w:rPr>
  </w:style>
  <w:style w:type="paragraph" w:styleId="Idzet">
    <w:name w:val="Quote"/>
    <w:basedOn w:val="Norml"/>
    <w:next w:val="Norml"/>
    <w:pPr>
      <w:spacing w:before="160"/>
      <w:jc w:val="center"/>
    </w:pPr>
    <w:rPr>
      <w:i/>
      <w:iCs/>
      <w:color w:val="404040"/>
    </w:rPr>
  </w:style>
  <w:style w:type="character" w:customStyle="1" w:styleId="IdzetChar">
    <w:name w:val="Idézet Char"/>
    <w:basedOn w:val="Bekezdsalapbettpusa"/>
    <w:rPr>
      <w:i/>
      <w:iCs/>
      <w:color w:val="404040"/>
    </w:rPr>
  </w:style>
  <w:style w:type="paragraph" w:styleId="Listaszerbekezds">
    <w:name w:val="List Paragraph"/>
    <w:basedOn w:val="Norml"/>
    <w:pPr>
      <w:ind w:left="720"/>
    </w:pPr>
  </w:style>
  <w:style w:type="character" w:styleId="Erskiemels">
    <w:name w:val="Intense Emphasis"/>
    <w:basedOn w:val="Bekezdsalapbettpusa"/>
    <w:rPr>
      <w:i/>
      <w:iCs/>
      <w:color w:val="2F5496"/>
    </w:rPr>
  </w:style>
  <w:style w:type="paragraph" w:styleId="Kiemeltidzet">
    <w:name w:val="Intense Quote"/>
    <w:basedOn w:val="Norml"/>
    <w:next w:val="Norm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KiemeltidzetChar">
    <w:name w:val="Kiemelt idézet Char"/>
    <w:basedOn w:val="Bekezdsalapbettpusa"/>
    <w:rPr>
      <w:i/>
      <w:iCs/>
      <w:color w:val="2F5496"/>
    </w:rPr>
  </w:style>
  <w:style w:type="character" w:styleId="Ershivatkozs">
    <w:name w:val="Intense Reference"/>
    <w:basedOn w:val="Bekezdsalapbettpusa"/>
    <w:rPr>
      <w:b/>
      <w:bCs/>
      <w:smallCaps/>
      <w:color w:val="2F5496"/>
      <w:spacing w:val="5"/>
    </w:rPr>
  </w:style>
  <w:style w:type="paragraph" w:styleId="lfej">
    <w:name w:val="header"/>
    <w:basedOn w:val="Norm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</w:style>
  <w:style w:type="paragraph" w:styleId="llb">
    <w:name w:val="footer"/>
    <w:basedOn w:val="Norm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</w:style>
  <w:style w:type="paragraph" w:customStyle="1" w:styleId="x12ofw9d">
    <w:name w:val="x12ofw9d"/>
    <w:basedOn w:val="Norml"/>
    <w:pPr>
      <w:suppressAutoHyphens w:val="0"/>
      <w:spacing w:before="100" w:after="100" w:line="240" w:lineRule="auto"/>
    </w:pPr>
    <w:rPr>
      <w:rFonts w:ascii="Times New Roman" w:eastAsia="Times New Roman" w:hAnsi="Times New Roman"/>
      <w:kern w:val="0"/>
      <w:sz w:val="24"/>
      <w:szCs w:val="24"/>
      <w:lang w:eastAsia="hu-HU"/>
    </w:rPr>
  </w:style>
  <w:style w:type="character" w:styleId="Kiemels2">
    <w:name w:val="Strong"/>
    <w:basedOn w:val="Bekezdsalapbettpus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1696</Words>
  <Characters>11708</Characters>
  <Application>Microsoft Office Word</Application>
  <DocSecurity>0</DocSecurity>
  <Lines>97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 Bátaszékért</dc:creator>
  <dc:description/>
  <cp:lastModifiedBy>Info</cp:lastModifiedBy>
  <cp:revision>2</cp:revision>
  <dcterms:created xsi:type="dcterms:W3CDTF">2026-10-22T09:54:00Z</dcterms:created>
  <dcterms:modified xsi:type="dcterms:W3CDTF">2026-10-22T09:54:00Z</dcterms:modified>
</cp:coreProperties>
</file>